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CBB1A" w14:textId="77777777" w:rsidR="002D2C05" w:rsidRPr="004F3556" w:rsidRDefault="002D2C05" w:rsidP="002D2C05">
      <w:pPr>
        <w:jc w:val="both"/>
        <w:rPr>
          <w:rFonts w:ascii="Arial" w:hAnsi="Arial" w:cs="Arial"/>
          <w:sz w:val="23"/>
          <w:szCs w:val="23"/>
        </w:rPr>
      </w:pPr>
      <w:r w:rsidRPr="004F3556">
        <w:rPr>
          <w:rFonts w:ascii="Arial" w:hAnsi="Arial" w:cs="Arial"/>
          <w:noProof/>
          <w:sz w:val="23"/>
          <w:szCs w:val="23"/>
        </w:rPr>
        <w:drawing>
          <wp:anchor distT="0" distB="0" distL="114300" distR="114300" simplePos="0" relativeHeight="251658240" behindDoc="0" locked="0" layoutInCell="1" allowOverlap="1" wp14:anchorId="1A88FCD2" wp14:editId="1457B824">
            <wp:simplePos x="0" y="0"/>
            <wp:positionH relativeFrom="margin">
              <wp:posOffset>-933450</wp:posOffset>
            </wp:positionH>
            <wp:positionV relativeFrom="margin">
              <wp:posOffset>-740410</wp:posOffset>
            </wp:positionV>
            <wp:extent cx="4862195" cy="1125220"/>
            <wp:effectExtent l="0" t="0" r="0" b="0"/>
            <wp:wrapSquare wrapText="bothSides"/>
            <wp:docPr id="3" name="Slika 3" descr="memorandum_pula_uprava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orandum_pula_uprava_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62195" cy="1125220"/>
                    </a:xfrm>
                    <a:prstGeom prst="rect">
                      <a:avLst/>
                    </a:prstGeom>
                    <a:noFill/>
                    <a:ln>
                      <a:noFill/>
                    </a:ln>
                    <a:effectLst>
                      <a:outerShdw algn="ctr" rotWithShape="0">
                        <a:srgbClr val="808080"/>
                      </a:outerShdw>
                    </a:effectLst>
                  </pic:spPr>
                </pic:pic>
              </a:graphicData>
            </a:graphic>
            <wp14:sizeRelH relativeFrom="page">
              <wp14:pctWidth>0</wp14:pctWidth>
            </wp14:sizeRelH>
            <wp14:sizeRelV relativeFrom="page">
              <wp14:pctHeight>0</wp14:pctHeight>
            </wp14:sizeRelV>
          </wp:anchor>
        </w:drawing>
      </w:r>
    </w:p>
    <w:p w14:paraId="49A2A4B1" w14:textId="77777777" w:rsidR="002D2C05" w:rsidRPr="004F3556" w:rsidRDefault="002D2C05" w:rsidP="002D2C05">
      <w:pPr>
        <w:jc w:val="both"/>
        <w:rPr>
          <w:rFonts w:ascii="Arial" w:hAnsi="Arial" w:cs="Arial"/>
          <w:sz w:val="23"/>
          <w:szCs w:val="23"/>
        </w:rPr>
      </w:pPr>
    </w:p>
    <w:p w14:paraId="7F9508BE" w14:textId="77777777" w:rsidR="002D2C05" w:rsidRPr="004F3556" w:rsidRDefault="002D2C05" w:rsidP="002D2C05">
      <w:pPr>
        <w:jc w:val="both"/>
        <w:rPr>
          <w:rFonts w:ascii="Arial" w:hAnsi="Arial" w:cs="Arial"/>
          <w:sz w:val="23"/>
          <w:szCs w:val="23"/>
        </w:rPr>
      </w:pPr>
    </w:p>
    <w:p w14:paraId="137D5730" w14:textId="77777777" w:rsidR="002D2C05" w:rsidRPr="004F3556" w:rsidRDefault="002D2C05" w:rsidP="002D2C05">
      <w:pPr>
        <w:jc w:val="both"/>
        <w:rPr>
          <w:rFonts w:ascii="Arial" w:hAnsi="Arial" w:cs="Arial"/>
          <w:sz w:val="23"/>
          <w:szCs w:val="23"/>
        </w:rPr>
      </w:pPr>
    </w:p>
    <w:p w14:paraId="4A869125" w14:textId="77777777" w:rsidR="002D2C05" w:rsidRPr="004F3556" w:rsidRDefault="002D2C05" w:rsidP="002D2C05">
      <w:pPr>
        <w:jc w:val="both"/>
        <w:rPr>
          <w:rFonts w:ascii="Arial" w:hAnsi="Arial" w:cs="Arial"/>
          <w:sz w:val="23"/>
          <w:szCs w:val="23"/>
        </w:rPr>
      </w:pPr>
    </w:p>
    <w:p w14:paraId="277B27F0" w14:textId="77777777" w:rsidR="002D2C05" w:rsidRPr="004F3556" w:rsidRDefault="002D2C05" w:rsidP="002D2C05">
      <w:pPr>
        <w:jc w:val="both"/>
        <w:rPr>
          <w:rFonts w:ascii="Arial" w:hAnsi="Arial" w:cs="Arial"/>
          <w:sz w:val="23"/>
          <w:szCs w:val="23"/>
        </w:rPr>
      </w:pPr>
    </w:p>
    <w:p w14:paraId="3AB7E074" w14:textId="77777777" w:rsidR="002D2C05" w:rsidRPr="004F3556" w:rsidRDefault="002D2C05" w:rsidP="002D2C05">
      <w:pPr>
        <w:jc w:val="both"/>
        <w:rPr>
          <w:rFonts w:ascii="Arial" w:hAnsi="Arial" w:cs="Arial"/>
          <w:sz w:val="23"/>
          <w:szCs w:val="23"/>
        </w:rPr>
      </w:pPr>
    </w:p>
    <w:p w14:paraId="3B2A99CF" w14:textId="77777777" w:rsidR="002D2C05" w:rsidRPr="004F3556" w:rsidRDefault="002D2C05" w:rsidP="002D2C05">
      <w:pPr>
        <w:jc w:val="both"/>
        <w:rPr>
          <w:rFonts w:ascii="Arial" w:hAnsi="Arial" w:cs="Arial"/>
          <w:sz w:val="23"/>
          <w:szCs w:val="23"/>
        </w:rPr>
      </w:pPr>
    </w:p>
    <w:p w14:paraId="6C5B619A" w14:textId="77777777" w:rsidR="009F22A3" w:rsidRPr="004F3556" w:rsidRDefault="009F22A3" w:rsidP="002D2C05">
      <w:pPr>
        <w:jc w:val="both"/>
        <w:rPr>
          <w:rFonts w:ascii="Arial" w:hAnsi="Arial" w:cs="Arial"/>
          <w:sz w:val="23"/>
          <w:szCs w:val="23"/>
        </w:rPr>
      </w:pPr>
    </w:p>
    <w:p w14:paraId="08BC551F" w14:textId="77777777" w:rsidR="002D2C05" w:rsidRPr="004F3556" w:rsidRDefault="002D2C05" w:rsidP="002D2C05">
      <w:pPr>
        <w:jc w:val="both"/>
        <w:rPr>
          <w:rFonts w:ascii="Arial" w:hAnsi="Arial" w:cs="Arial"/>
          <w:sz w:val="23"/>
          <w:szCs w:val="23"/>
        </w:rPr>
      </w:pPr>
    </w:p>
    <w:p w14:paraId="3C1A499F" w14:textId="77777777" w:rsidR="002D2C05" w:rsidRPr="004F3556" w:rsidRDefault="002D2C05" w:rsidP="002D2C05">
      <w:pPr>
        <w:jc w:val="both"/>
        <w:rPr>
          <w:rFonts w:ascii="Arial" w:hAnsi="Arial" w:cs="Arial"/>
          <w:sz w:val="23"/>
          <w:szCs w:val="23"/>
        </w:rPr>
      </w:pPr>
    </w:p>
    <w:p w14:paraId="57873DEA" w14:textId="77777777" w:rsidR="002D2C05" w:rsidRPr="004F3556" w:rsidRDefault="002D2C05" w:rsidP="002D2C05">
      <w:pPr>
        <w:jc w:val="both"/>
        <w:rPr>
          <w:rFonts w:ascii="Arial" w:hAnsi="Arial" w:cs="Arial"/>
          <w:sz w:val="23"/>
          <w:szCs w:val="23"/>
        </w:rPr>
      </w:pPr>
    </w:p>
    <w:p w14:paraId="7A5F1C16" w14:textId="77777777" w:rsidR="002D2C05" w:rsidRPr="004F3556" w:rsidRDefault="002D2C05" w:rsidP="002D2C05">
      <w:pPr>
        <w:jc w:val="both"/>
        <w:rPr>
          <w:rFonts w:ascii="Arial" w:hAnsi="Arial" w:cs="Arial"/>
          <w:sz w:val="23"/>
          <w:szCs w:val="23"/>
        </w:rPr>
      </w:pPr>
    </w:p>
    <w:p w14:paraId="2DC56F48" w14:textId="77777777" w:rsidR="009F22A3" w:rsidRPr="004F3556" w:rsidRDefault="009F22A3" w:rsidP="002D2C05">
      <w:pPr>
        <w:jc w:val="both"/>
        <w:rPr>
          <w:rFonts w:ascii="Arial" w:hAnsi="Arial" w:cs="Arial"/>
          <w:sz w:val="23"/>
          <w:szCs w:val="23"/>
        </w:rPr>
      </w:pPr>
    </w:p>
    <w:p w14:paraId="0A4AD73B" w14:textId="77777777" w:rsidR="002D2C05" w:rsidRPr="004F3556" w:rsidRDefault="002D2C05" w:rsidP="002D2C05">
      <w:pPr>
        <w:jc w:val="both"/>
        <w:rPr>
          <w:rFonts w:ascii="Arial" w:hAnsi="Arial" w:cs="Arial"/>
          <w:sz w:val="23"/>
          <w:szCs w:val="23"/>
        </w:rPr>
      </w:pPr>
    </w:p>
    <w:p w14:paraId="742F9D24" w14:textId="77777777" w:rsidR="00B45EDE" w:rsidRPr="004F3556" w:rsidRDefault="00B45EDE" w:rsidP="002D2C05">
      <w:pPr>
        <w:jc w:val="both"/>
        <w:rPr>
          <w:rFonts w:ascii="Arial" w:hAnsi="Arial" w:cs="Arial"/>
          <w:sz w:val="23"/>
          <w:szCs w:val="23"/>
        </w:rPr>
      </w:pPr>
    </w:p>
    <w:p w14:paraId="61AC5C72" w14:textId="77777777" w:rsidR="002D2C05" w:rsidRPr="004F3556" w:rsidRDefault="002D2C05" w:rsidP="002D2C05">
      <w:pPr>
        <w:jc w:val="both"/>
        <w:rPr>
          <w:rFonts w:ascii="Arial" w:hAnsi="Arial" w:cs="Arial"/>
          <w:sz w:val="23"/>
          <w:szCs w:val="23"/>
        </w:rPr>
      </w:pPr>
    </w:p>
    <w:p w14:paraId="2C6370AF" w14:textId="77777777" w:rsidR="002D2C05" w:rsidRPr="004F3556" w:rsidRDefault="002D2C05" w:rsidP="002D2C05">
      <w:pPr>
        <w:jc w:val="both"/>
        <w:rPr>
          <w:rFonts w:ascii="Arial" w:hAnsi="Arial" w:cs="Arial"/>
          <w:sz w:val="23"/>
          <w:szCs w:val="23"/>
        </w:rPr>
      </w:pPr>
    </w:p>
    <w:p w14:paraId="7DE6B94B" w14:textId="77777777" w:rsidR="002D2C05" w:rsidRPr="004F3556" w:rsidRDefault="002D2C05" w:rsidP="002D2C05">
      <w:pPr>
        <w:jc w:val="both"/>
        <w:rPr>
          <w:rFonts w:ascii="Arial" w:hAnsi="Arial" w:cs="Arial"/>
          <w:sz w:val="23"/>
          <w:szCs w:val="23"/>
        </w:rPr>
      </w:pPr>
    </w:p>
    <w:p w14:paraId="175F7CA4" w14:textId="77777777" w:rsidR="00B45EDE" w:rsidRPr="004F3556" w:rsidRDefault="00B45EDE" w:rsidP="00B45EDE">
      <w:pPr>
        <w:spacing w:line="360" w:lineRule="auto"/>
        <w:jc w:val="center"/>
        <w:outlineLvl w:val="0"/>
        <w:rPr>
          <w:rFonts w:ascii="Arial" w:hAnsi="Arial" w:cs="Arial"/>
          <w:b/>
          <w:sz w:val="36"/>
          <w:szCs w:val="38"/>
        </w:rPr>
      </w:pPr>
      <w:r w:rsidRPr="004F3556">
        <w:rPr>
          <w:rFonts w:ascii="Arial" w:hAnsi="Arial" w:cs="Arial"/>
          <w:b/>
          <w:sz w:val="36"/>
          <w:szCs w:val="38"/>
        </w:rPr>
        <w:t>Izvještaj o izvršenju Financijskog plana</w:t>
      </w:r>
    </w:p>
    <w:p w14:paraId="453D65F0" w14:textId="77777777" w:rsidR="00B45EDE" w:rsidRPr="004F3556" w:rsidRDefault="00B45EDE" w:rsidP="00B45EDE">
      <w:pPr>
        <w:spacing w:line="360" w:lineRule="auto"/>
        <w:jc w:val="center"/>
        <w:outlineLvl w:val="0"/>
        <w:rPr>
          <w:rFonts w:ascii="Arial" w:hAnsi="Arial" w:cs="Arial"/>
          <w:b/>
          <w:sz w:val="14"/>
          <w:szCs w:val="38"/>
        </w:rPr>
      </w:pPr>
    </w:p>
    <w:p w14:paraId="5F7C712B" w14:textId="3F98CBDF" w:rsidR="00B45EDE" w:rsidRPr="004F3556" w:rsidRDefault="00B45EDE" w:rsidP="00B45EDE">
      <w:pPr>
        <w:pStyle w:val="Odlomakpopisa"/>
        <w:spacing w:line="360" w:lineRule="auto"/>
        <w:ind w:left="0"/>
        <w:jc w:val="center"/>
        <w:rPr>
          <w:rFonts w:ascii="Arial" w:hAnsi="Arial" w:cs="Arial"/>
          <w:b/>
          <w:sz w:val="32"/>
          <w:szCs w:val="38"/>
        </w:rPr>
      </w:pPr>
      <w:r w:rsidRPr="004F3556">
        <w:rPr>
          <w:rFonts w:ascii="Arial" w:hAnsi="Arial" w:cs="Arial"/>
          <w:b/>
          <w:sz w:val="32"/>
          <w:szCs w:val="38"/>
        </w:rPr>
        <w:t xml:space="preserve">01. siječnja do </w:t>
      </w:r>
      <w:r w:rsidR="00B22107" w:rsidRPr="004F3556">
        <w:rPr>
          <w:rFonts w:ascii="Arial" w:hAnsi="Arial" w:cs="Arial"/>
          <w:b/>
          <w:sz w:val="32"/>
          <w:szCs w:val="38"/>
        </w:rPr>
        <w:t>31</w:t>
      </w:r>
      <w:r w:rsidRPr="004F3556">
        <w:rPr>
          <w:rFonts w:ascii="Arial" w:hAnsi="Arial" w:cs="Arial"/>
          <w:b/>
          <w:sz w:val="32"/>
          <w:szCs w:val="38"/>
        </w:rPr>
        <w:t xml:space="preserve">. </w:t>
      </w:r>
      <w:r w:rsidR="00B22107" w:rsidRPr="004F3556">
        <w:rPr>
          <w:rFonts w:ascii="Arial" w:hAnsi="Arial" w:cs="Arial"/>
          <w:b/>
          <w:sz w:val="32"/>
          <w:szCs w:val="38"/>
        </w:rPr>
        <w:t>prosinca</w:t>
      </w:r>
      <w:r w:rsidRPr="004F3556">
        <w:rPr>
          <w:rFonts w:ascii="Arial" w:hAnsi="Arial" w:cs="Arial"/>
          <w:b/>
          <w:sz w:val="32"/>
          <w:szCs w:val="38"/>
        </w:rPr>
        <w:t xml:space="preserve"> 202</w:t>
      </w:r>
      <w:r w:rsidR="007E0E73">
        <w:rPr>
          <w:rFonts w:ascii="Arial" w:hAnsi="Arial" w:cs="Arial"/>
          <w:b/>
          <w:sz w:val="32"/>
          <w:szCs w:val="38"/>
        </w:rPr>
        <w:t>5</w:t>
      </w:r>
      <w:r w:rsidRPr="004F3556">
        <w:rPr>
          <w:rFonts w:ascii="Arial" w:hAnsi="Arial" w:cs="Arial"/>
          <w:b/>
          <w:sz w:val="32"/>
          <w:szCs w:val="38"/>
        </w:rPr>
        <w:t>. g.</w:t>
      </w:r>
    </w:p>
    <w:p w14:paraId="440E5550" w14:textId="77777777" w:rsidR="00B45EDE" w:rsidRPr="004F3556" w:rsidRDefault="00B45EDE" w:rsidP="00B45EDE">
      <w:pPr>
        <w:pStyle w:val="Odlomakpopisa"/>
        <w:spacing w:line="360" w:lineRule="auto"/>
        <w:ind w:left="0"/>
        <w:jc w:val="center"/>
        <w:rPr>
          <w:rFonts w:ascii="Arial" w:hAnsi="Arial" w:cs="Arial"/>
          <w:b/>
          <w:sz w:val="14"/>
          <w:szCs w:val="38"/>
        </w:rPr>
      </w:pPr>
    </w:p>
    <w:p w14:paraId="74EBBDF8" w14:textId="77777777" w:rsidR="002D2C05" w:rsidRPr="004F3556" w:rsidRDefault="00B45EDE" w:rsidP="00B45EDE">
      <w:pPr>
        <w:jc w:val="center"/>
        <w:rPr>
          <w:rFonts w:ascii="Arial" w:hAnsi="Arial" w:cs="Arial"/>
          <w:b/>
          <w:sz w:val="32"/>
          <w:szCs w:val="38"/>
        </w:rPr>
      </w:pPr>
      <w:r w:rsidRPr="004F3556">
        <w:rPr>
          <w:rFonts w:ascii="Arial" w:hAnsi="Arial" w:cs="Arial"/>
          <w:b/>
          <w:sz w:val="28"/>
          <w:szCs w:val="36"/>
        </w:rPr>
        <w:t>Istarskih domova zdravlja - Case della salute dell'Istria</w:t>
      </w:r>
    </w:p>
    <w:p w14:paraId="12E3C01E" w14:textId="77777777" w:rsidR="004C4B92" w:rsidRPr="004F3556" w:rsidRDefault="004C4B92" w:rsidP="002D2C05">
      <w:pPr>
        <w:jc w:val="both"/>
        <w:rPr>
          <w:rFonts w:ascii="Arial" w:hAnsi="Arial" w:cs="Arial"/>
          <w:b/>
          <w:sz w:val="38"/>
          <w:szCs w:val="38"/>
        </w:rPr>
      </w:pPr>
    </w:p>
    <w:p w14:paraId="464DFD77" w14:textId="77777777" w:rsidR="002D2C05" w:rsidRPr="004F3556" w:rsidRDefault="002D2C05" w:rsidP="002D2C05">
      <w:pPr>
        <w:jc w:val="both"/>
        <w:rPr>
          <w:rFonts w:ascii="Arial" w:hAnsi="Arial" w:cs="Arial"/>
          <w:sz w:val="23"/>
          <w:szCs w:val="23"/>
        </w:rPr>
      </w:pPr>
    </w:p>
    <w:p w14:paraId="39018B68" w14:textId="77777777" w:rsidR="002D2C05" w:rsidRPr="004F3556" w:rsidRDefault="002D2C05" w:rsidP="002D2C05">
      <w:pPr>
        <w:jc w:val="both"/>
        <w:rPr>
          <w:rFonts w:ascii="Arial" w:hAnsi="Arial" w:cs="Arial"/>
          <w:sz w:val="23"/>
          <w:szCs w:val="23"/>
        </w:rPr>
      </w:pPr>
    </w:p>
    <w:p w14:paraId="0B4DF212" w14:textId="77777777" w:rsidR="002D2C05" w:rsidRPr="004F3556" w:rsidRDefault="002D2C05" w:rsidP="002D2C05">
      <w:pPr>
        <w:jc w:val="both"/>
        <w:rPr>
          <w:rFonts w:ascii="Arial" w:hAnsi="Arial" w:cs="Arial"/>
          <w:sz w:val="23"/>
          <w:szCs w:val="23"/>
        </w:rPr>
      </w:pPr>
    </w:p>
    <w:p w14:paraId="484C557C" w14:textId="77777777" w:rsidR="002D2C05" w:rsidRPr="004F3556" w:rsidRDefault="002D2C05" w:rsidP="002D2C05">
      <w:pPr>
        <w:jc w:val="both"/>
        <w:rPr>
          <w:rFonts w:ascii="Arial" w:hAnsi="Arial" w:cs="Arial"/>
          <w:sz w:val="23"/>
          <w:szCs w:val="23"/>
        </w:rPr>
      </w:pPr>
    </w:p>
    <w:p w14:paraId="337851AF" w14:textId="77777777" w:rsidR="002D2C05" w:rsidRPr="004F3556" w:rsidRDefault="002D2C05" w:rsidP="002D2C05">
      <w:pPr>
        <w:jc w:val="both"/>
        <w:rPr>
          <w:rFonts w:ascii="Arial" w:hAnsi="Arial" w:cs="Arial"/>
          <w:sz w:val="23"/>
          <w:szCs w:val="23"/>
        </w:rPr>
      </w:pPr>
    </w:p>
    <w:p w14:paraId="29E28609" w14:textId="77777777" w:rsidR="002D2C05" w:rsidRPr="004F3556" w:rsidRDefault="002D2C05" w:rsidP="002D2C05">
      <w:pPr>
        <w:jc w:val="both"/>
        <w:rPr>
          <w:rFonts w:ascii="Arial" w:hAnsi="Arial" w:cs="Arial"/>
          <w:sz w:val="23"/>
          <w:szCs w:val="23"/>
        </w:rPr>
      </w:pPr>
    </w:p>
    <w:p w14:paraId="723CCA7A" w14:textId="77777777" w:rsidR="002D2C05" w:rsidRPr="004F3556" w:rsidRDefault="002D2C05" w:rsidP="002D2C05">
      <w:pPr>
        <w:jc w:val="both"/>
        <w:rPr>
          <w:rFonts w:ascii="Arial" w:hAnsi="Arial" w:cs="Arial"/>
          <w:sz w:val="23"/>
          <w:szCs w:val="23"/>
        </w:rPr>
      </w:pPr>
    </w:p>
    <w:p w14:paraId="2130A7E7" w14:textId="77777777" w:rsidR="009F22A3" w:rsidRPr="004F3556" w:rsidRDefault="009F22A3" w:rsidP="002D2C05">
      <w:pPr>
        <w:jc w:val="both"/>
        <w:rPr>
          <w:rFonts w:ascii="Arial" w:hAnsi="Arial" w:cs="Arial"/>
          <w:sz w:val="23"/>
          <w:szCs w:val="23"/>
        </w:rPr>
      </w:pPr>
    </w:p>
    <w:p w14:paraId="62A60CE0" w14:textId="77777777" w:rsidR="002D2C05" w:rsidRPr="004F3556" w:rsidRDefault="002D2C05" w:rsidP="002D2C05">
      <w:pPr>
        <w:jc w:val="both"/>
        <w:rPr>
          <w:rFonts w:ascii="Arial" w:hAnsi="Arial" w:cs="Arial"/>
          <w:sz w:val="23"/>
          <w:szCs w:val="23"/>
        </w:rPr>
      </w:pPr>
    </w:p>
    <w:p w14:paraId="1748E3EA" w14:textId="77777777" w:rsidR="002D2C05" w:rsidRPr="004F3556" w:rsidRDefault="002D2C05" w:rsidP="002D2C05">
      <w:pPr>
        <w:jc w:val="both"/>
        <w:rPr>
          <w:rFonts w:ascii="Arial" w:hAnsi="Arial" w:cs="Arial"/>
          <w:sz w:val="23"/>
          <w:szCs w:val="23"/>
        </w:rPr>
      </w:pPr>
    </w:p>
    <w:p w14:paraId="625C491E" w14:textId="77777777" w:rsidR="002D2C05" w:rsidRPr="004F3556" w:rsidRDefault="002D2C05" w:rsidP="002D2C05">
      <w:pPr>
        <w:jc w:val="both"/>
        <w:rPr>
          <w:rFonts w:ascii="Arial" w:hAnsi="Arial" w:cs="Arial"/>
          <w:sz w:val="23"/>
          <w:szCs w:val="23"/>
        </w:rPr>
      </w:pPr>
    </w:p>
    <w:p w14:paraId="096DFE2F" w14:textId="77777777" w:rsidR="002D2C05" w:rsidRPr="004F3556" w:rsidRDefault="002D2C05" w:rsidP="002D2C05">
      <w:pPr>
        <w:jc w:val="both"/>
        <w:rPr>
          <w:rFonts w:ascii="Arial" w:hAnsi="Arial" w:cs="Arial"/>
          <w:sz w:val="23"/>
          <w:szCs w:val="23"/>
        </w:rPr>
      </w:pPr>
    </w:p>
    <w:p w14:paraId="5BBD1555" w14:textId="77777777" w:rsidR="002D2C05" w:rsidRPr="004F3556" w:rsidRDefault="002D2C05" w:rsidP="002D2C05">
      <w:pPr>
        <w:jc w:val="both"/>
        <w:rPr>
          <w:rFonts w:ascii="Arial" w:hAnsi="Arial" w:cs="Arial"/>
          <w:sz w:val="23"/>
          <w:szCs w:val="23"/>
        </w:rPr>
      </w:pPr>
    </w:p>
    <w:p w14:paraId="7FE849EC" w14:textId="77777777" w:rsidR="002D2C05" w:rsidRPr="004F3556" w:rsidRDefault="002D2C05" w:rsidP="002D2C05">
      <w:pPr>
        <w:jc w:val="both"/>
        <w:rPr>
          <w:rFonts w:ascii="Arial" w:hAnsi="Arial" w:cs="Arial"/>
          <w:sz w:val="23"/>
          <w:szCs w:val="23"/>
        </w:rPr>
      </w:pPr>
    </w:p>
    <w:p w14:paraId="0D68E018" w14:textId="77777777" w:rsidR="002D2C05" w:rsidRPr="004F3556" w:rsidRDefault="002D2C05" w:rsidP="002D2C05">
      <w:pPr>
        <w:jc w:val="both"/>
        <w:rPr>
          <w:rFonts w:ascii="Arial" w:hAnsi="Arial" w:cs="Arial"/>
          <w:sz w:val="23"/>
          <w:szCs w:val="23"/>
        </w:rPr>
      </w:pPr>
    </w:p>
    <w:p w14:paraId="0B69A7DA" w14:textId="77777777" w:rsidR="002D2C05" w:rsidRPr="004F3556" w:rsidRDefault="002D2C05" w:rsidP="002D2C05">
      <w:pPr>
        <w:jc w:val="both"/>
        <w:rPr>
          <w:rFonts w:ascii="Arial" w:hAnsi="Arial" w:cs="Arial"/>
          <w:sz w:val="23"/>
          <w:szCs w:val="23"/>
        </w:rPr>
      </w:pPr>
    </w:p>
    <w:p w14:paraId="6F591356" w14:textId="77777777" w:rsidR="002D2C05" w:rsidRPr="004F3556" w:rsidRDefault="002D2C05" w:rsidP="002D2C05">
      <w:pPr>
        <w:jc w:val="both"/>
        <w:outlineLvl w:val="0"/>
        <w:rPr>
          <w:rFonts w:ascii="Arial" w:hAnsi="Arial" w:cs="Arial"/>
          <w:sz w:val="23"/>
          <w:szCs w:val="23"/>
        </w:rPr>
      </w:pPr>
      <w:r w:rsidRPr="004F3556">
        <w:rPr>
          <w:rFonts w:ascii="Arial" w:hAnsi="Arial" w:cs="Arial"/>
          <w:sz w:val="23"/>
          <w:szCs w:val="23"/>
        </w:rPr>
        <w:t xml:space="preserve">                                                            </w:t>
      </w:r>
    </w:p>
    <w:p w14:paraId="4747AC79" w14:textId="77777777" w:rsidR="006C20B2" w:rsidRPr="004F3556" w:rsidRDefault="006C20B2" w:rsidP="002D2C05">
      <w:pPr>
        <w:jc w:val="both"/>
        <w:outlineLvl w:val="0"/>
        <w:rPr>
          <w:rFonts w:ascii="Arial" w:hAnsi="Arial" w:cs="Arial"/>
          <w:sz w:val="23"/>
          <w:szCs w:val="23"/>
        </w:rPr>
      </w:pPr>
    </w:p>
    <w:p w14:paraId="23B07CE5" w14:textId="77777777" w:rsidR="006C20B2" w:rsidRPr="004F3556" w:rsidRDefault="006C20B2" w:rsidP="002D2C05">
      <w:pPr>
        <w:jc w:val="both"/>
        <w:outlineLvl w:val="0"/>
        <w:rPr>
          <w:rFonts w:ascii="Arial" w:hAnsi="Arial" w:cs="Arial"/>
          <w:sz w:val="23"/>
          <w:szCs w:val="23"/>
        </w:rPr>
      </w:pPr>
    </w:p>
    <w:p w14:paraId="44B415FD" w14:textId="77777777" w:rsidR="00B45EDE" w:rsidRPr="004F3556" w:rsidRDefault="00B45EDE" w:rsidP="002D2C05">
      <w:pPr>
        <w:jc w:val="both"/>
        <w:outlineLvl w:val="0"/>
        <w:rPr>
          <w:rFonts w:ascii="Arial" w:hAnsi="Arial" w:cs="Arial"/>
          <w:sz w:val="23"/>
          <w:szCs w:val="23"/>
        </w:rPr>
      </w:pPr>
    </w:p>
    <w:p w14:paraId="4BBC589C" w14:textId="77777777" w:rsidR="002D2C05" w:rsidRPr="004F3556" w:rsidRDefault="002D2C05" w:rsidP="002D2C05">
      <w:pPr>
        <w:jc w:val="both"/>
        <w:outlineLvl w:val="0"/>
        <w:rPr>
          <w:rFonts w:ascii="Arial" w:hAnsi="Arial" w:cs="Arial"/>
          <w:sz w:val="23"/>
          <w:szCs w:val="23"/>
        </w:rPr>
      </w:pPr>
      <w:r w:rsidRPr="004F3556">
        <w:rPr>
          <w:rFonts w:ascii="Arial" w:hAnsi="Arial" w:cs="Arial"/>
          <w:sz w:val="23"/>
          <w:szCs w:val="23"/>
        </w:rPr>
        <w:t xml:space="preserve">                                                     </w:t>
      </w:r>
    </w:p>
    <w:p w14:paraId="13A04060" w14:textId="77777777" w:rsidR="002D2C05" w:rsidRPr="004F3556" w:rsidRDefault="002D2C05" w:rsidP="002D2C05">
      <w:pPr>
        <w:jc w:val="both"/>
        <w:outlineLvl w:val="0"/>
        <w:rPr>
          <w:rFonts w:ascii="Arial" w:hAnsi="Arial" w:cs="Arial"/>
          <w:sz w:val="23"/>
          <w:szCs w:val="23"/>
        </w:rPr>
      </w:pPr>
      <w:r w:rsidRPr="004F3556">
        <w:rPr>
          <w:rFonts w:ascii="Arial" w:hAnsi="Arial" w:cs="Arial"/>
          <w:sz w:val="23"/>
          <w:szCs w:val="23"/>
        </w:rPr>
        <w:t xml:space="preserve">                                                       </w:t>
      </w:r>
    </w:p>
    <w:p w14:paraId="05D26557" w14:textId="77777777" w:rsidR="002D2C05" w:rsidRPr="004F3556" w:rsidRDefault="002D2C05" w:rsidP="002D2C05">
      <w:pPr>
        <w:jc w:val="both"/>
        <w:outlineLvl w:val="0"/>
        <w:rPr>
          <w:rFonts w:ascii="Arial" w:hAnsi="Arial" w:cs="Arial"/>
          <w:sz w:val="23"/>
          <w:szCs w:val="23"/>
        </w:rPr>
      </w:pPr>
      <w:r w:rsidRPr="004F3556">
        <w:rPr>
          <w:rFonts w:ascii="Arial" w:hAnsi="Arial" w:cs="Arial"/>
          <w:sz w:val="23"/>
          <w:szCs w:val="23"/>
        </w:rPr>
        <w:t xml:space="preserve">                                </w:t>
      </w:r>
    </w:p>
    <w:p w14:paraId="73867280" w14:textId="0B800D25" w:rsidR="00582C85" w:rsidRPr="004F3556" w:rsidRDefault="00B22107" w:rsidP="002D2C05">
      <w:pPr>
        <w:jc w:val="center"/>
        <w:outlineLvl w:val="0"/>
        <w:rPr>
          <w:rFonts w:ascii="Arial" w:hAnsi="Arial" w:cs="Arial"/>
        </w:rPr>
      </w:pPr>
      <w:r w:rsidRPr="004F3556">
        <w:rPr>
          <w:rFonts w:ascii="Arial" w:hAnsi="Arial" w:cs="Arial"/>
        </w:rPr>
        <w:t>Ožujak</w:t>
      </w:r>
      <w:r w:rsidR="007D172A" w:rsidRPr="004F3556">
        <w:rPr>
          <w:rFonts w:ascii="Arial" w:hAnsi="Arial" w:cs="Arial"/>
        </w:rPr>
        <w:t xml:space="preserve"> 202</w:t>
      </w:r>
      <w:r w:rsidR="007E0E73">
        <w:rPr>
          <w:rFonts w:ascii="Arial" w:hAnsi="Arial" w:cs="Arial"/>
        </w:rPr>
        <w:t>6</w:t>
      </w:r>
      <w:r w:rsidR="007D172A" w:rsidRPr="004F3556">
        <w:rPr>
          <w:rFonts w:ascii="Arial" w:hAnsi="Arial" w:cs="Arial"/>
        </w:rPr>
        <w:t>.</w:t>
      </w:r>
      <w:r w:rsidR="002D2C05" w:rsidRPr="004F3556">
        <w:rPr>
          <w:rFonts w:ascii="Arial" w:hAnsi="Arial" w:cs="Arial"/>
        </w:rPr>
        <w:t xml:space="preserve">      </w:t>
      </w:r>
    </w:p>
    <w:p w14:paraId="07E385AD" w14:textId="77777777" w:rsidR="000267E0" w:rsidRPr="004F3556" w:rsidRDefault="000267E0" w:rsidP="007E300A">
      <w:pPr>
        <w:jc w:val="center"/>
        <w:rPr>
          <w:rFonts w:ascii="Arial" w:hAnsi="Arial" w:cs="Arial"/>
          <w:sz w:val="22"/>
          <w:szCs w:val="22"/>
        </w:rPr>
      </w:pPr>
    </w:p>
    <w:p w14:paraId="3E8BE3FD" w14:textId="77777777" w:rsidR="00A91E1A" w:rsidRPr="004F3556" w:rsidRDefault="00A91E1A" w:rsidP="007E300A">
      <w:pPr>
        <w:jc w:val="center"/>
        <w:rPr>
          <w:rFonts w:ascii="Arial" w:hAnsi="Arial" w:cs="Arial"/>
          <w:sz w:val="22"/>
          <w:szCs w:val="22"/>
        </w:rPr>
      </w:pPr>
    </w:p>
    <w:p w14:paraId="17B625D9" w14:textId="77777777" w:rsidR="004374F6" w:rsidRPr="004F3556" w:rsidRDefault="00865F3F" w:rsidP="00177FCD">
      <w:pPr>
        <w:jc w:val="center"/>
        <w:rPr>
          <w:rFonts w:ascii="Arial" w:hAnsi="Arial" w:cs="Arial"/>
          <w:b/>
          <w:sz w:val="28"/>
          <w:szCs w:val="22"/>
          <w:u w:val="single"/>
        </w:rPr>
      </w:pPr>
      <w:r w:rsidRPr="004F3556">
        <w:rPr>
          <w:rFonts w:ascii="Arial" w:hAnsi="Arial" w:cs="Arial"/>
          <w:b/>
          <w:sz w:val="28"/>
          <w:szCs w:val="22"/>
          <w:u w:val="single"/>
        </w:rPr>
        <w:lastRenderedPageBreak/>
        <w:t>OPĆI DIO</w:t>
      </w:r>
    </w:p>
    <w:p w14:paraId="41D6AD81" w14:textId="77777777" w:rsidR="00865F3F" w:rsidRPr="004F3556" w:rsidRDefault="00865F3F" w:rsidP="00425962">
      <w:pPr>
        <w:rPr>
          <w:rFonts w:ascii="Arial" w:hAnsi="Arial" w:cs="Arial"/>
          <w:sz w:val="22"/>
          <w:szCs w:val="22"/>
        </w:rPr>
      </w:pPr>
    </w:p>
    <w:p w14:paraId="63CB0620" w14:textId="77777777" w:rsidR="00177FCD" w:rsidRPr="004F3556" w:rsidRDefault="00D23CE2" w:rsidP="00953031">
      <w:pPr>
        <w:spacing w:line="276" w:lineRule="auto"/>
        <w:jc w:val="both"/>
        <w:rPr>
          <w:rFonts w:ascii="Arial" w:hAnsi="Arial" w:cs="Arial"/>
          <w:sz w:val="22"/>
          <w:szCs w:val="22"/>
        </w:rPr>
      </w:pPr>
      <w:r w:rsidRPr="004F3556">
        <w:rPr>
          <w:rFonts w:ascii="Arial" w:hAnsi="Arial" w:cs="Arial"/>
          <w:sz w:val="22"/>
          <w:szCs w:val="22"/>
        </w:rPr>
        <w:t xml:space="preserve">Opći dio obrazloženja Financijskog plana sastoji se od Sažetka Računa prihoda i rashoda, te sažetka Računa financiranja. </w:t>
      </w:r>
    </w:p>
    <w:p w14:paraId="7EB6F8C6" w14:textId="77777777" w:rsidR="006A4ACD" w:rsidRPr="004F3556" w:rsidRDefault="006A4ACD" w:rsidP="00C9766C">
      <w:pPr>
        <w:jc w:val="both"/>
        <w:rPr>
          <w:rFonts w:ascii="Arial" w:hAnsi="Arial" w:cs="Arial"/>
          <w:sz w:val="22"/>
          <w:szCs w:val="22"/>
        </w:rPr>
      </w:pPr>
    </w:p>
    <w:p w14:paraId="4C72CD7F" w14:textId="77777777" w:rsidR="00773923" w:rsidRPr="004F3556" w:rsidRDefault="00773923" w:rsidP="00773923">
      <w:pPr>
        <w:rPr>
          <w:rFonts w:ascii="Arial" w:hAnsi="Arial" w:cs="Arial"/>
          <w:b/>
          <w:sz w:val="22"/>
          <w:szCs w:val="22"/>
        </w:rPr>
      </w:pPr>
      <w:r w:rsidRPr="004F3556">
        <w:rPr>
          <w:rFonts w:ascii="Arial" w:hAnsi="Arial" w:cs="Arial"/>
          <w:b/>
          <w:sz w:val="22"/>
          <w:szCs w:val="22"/>
        </w:rPr>
        <w:t>SAŽETAK</w:t>
      </w:r>
    </w:p>
    <w:p w14:paraId="0E10366F" w14:textId="7A5812C7" w:rsidR="006A4ACD" w:rsidRPr="004F3556" w:rsidRDefault="006A4ACD" w:rsidP="00C9766C">
      <w:pPr>
        <w:jc w:val="both"/>
        <w:rPr>
          <w:rFonts w:ascii="Arial" w:hAnsi="Arial" w:cs="Arial"/>
          <w:sz w:val="12"/>
          <w:szCs w:val="22"/>
        </w:rPr>
      </w:pPr>
    </w:p>
    <w:tbl>
      <w:tblPr>
        <w:tblW w:w="10471" w:type="dxa"/>
        <w:jc w:val="center"/>
        <w:tblLook w:val="04A0" w:firstRow="1" w:lastRow="0" w:firstColumn="1" w:lastColumn="0" w:noHBand="0" w:noVBand="1"/>
      </w:tblPr>
      <w:tblGrid>
        <w:gridCol w:w="3114"/>
        <w:gridCol w:w="1576"/>
        <w:gridCol w:w="1596"/>
        <w:gridCol w:w="1639"/>
        <w:gridCol w:w="1227"/>
        <w:gridCol w:w="1097"/>
        <w:gridCol w:w="222"/>
      </w:tblGrid>
      <w:tr w:rsidR="00DA1046" w:rsidRPr="00DA1046" w14:paraId="7B731B31" w14:textId="77777777" w:rsidTr="00E827EA">
        <w:trPr>
          <w:gridAfter w:val="1"/>
          <w:wAfter w:w="222" w:type="dxa"/>
          <w:trHeight w:val="517"/>
          <w:jc w:val="center"/>
        </w:trPr>
        <w:tc>
          <w:tcPr>
            <w:tcW w:w="3114"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2FA30E9E" w14:textId="77777777" w:rsidR="00E827EA" w:rsidRPr="00DA1046" w:rsidRDefault="00E827EA">
            <w:pPr>
              <w:jc w:val="center"/>
              <w:rPr>
                <w:rFonts w:ascii="Calibri" w:hAnsi="Calibri" w:cs="Calibri"/>
                <w:b/>
                <w:bCs/>
                <w:sz w:val="20"/>
                <w:szCs w:val="20"/>
              </w:rPr>
            </w:pPr>
            <w:r w:rsidRPr="00DA1046">
              <w:rPr>
                <w:rFonts w:ascii="Calibri" w:hAnsi="Calibri" w:cs="Calibri"/>
                <w:b/>
                <w:bCs/>
                <w:sz w:val="20"/>
                <w:szCs w:val="20"/>
              </w:rPr>
              <w:t>PRIHODI / RASHODI TEKUĆA GODINA</w:t>
            </w:r>
          </w:p>
        </w:tc>
        <w:tc>
          <w:tcPr>
            <w:tcW w:w="1576" w:type="dxa"/>
            <w:vMerge w:val="restart"/>
            <w:tcBorders>
              <w:top w:val="single" w:sz="4" w:space="0" w:color="auto"/>
              <w:left w:val="single" w:sz="4" w:space="0" w:color="auto"/>
              <w:bottom w:val="single" w:sz="4" w:space="0" w:color="000000"/>
              <w:right w:val="nil"/>
            </w:tcBorders>
            <w:shd w:val="clear" w:color="000000" w:fill="D9D9D9"/>
            <w:vAlign w:val="center"/>
            <w:hideMark/>
          </w:tcPr>
          <w:p w14:paraId="1D749D77" w14:textId="77777777" w:rsidR="00E827EA" w:rsidRPr="00DA1046" w:rsidRDefault="00E827EA">
            <w:pPr>
              <w:jc w:val="center"/>
              <w:rPr>
                <w:rFonts w:ascii="Arial" w:hAnsi="Arial" w:cs="Arial"/>
                <w:b/>
                <w:bCs/>
                <w:sz w:val="20"/>
                <w:szCs w:val="20"/>
              </w:rPr>
            </w:pPr>
            <w:r w:rsidRPr="00DA1046">
              <w:rPr>
                <w:rFonts w:ascii="Arial" w:hAnsi="Arial" w:cs="Arial"/>
                <w:b/>
                <w:bCs/>
                <w:sz w:val="20"/>
                <w:szCs w:val="20"/>
              </w:rPr>
              <w:t>Izvršenje       01.-12.2024.</w:t>
            </w:r>
          </w:p>
        </w:tc>
        <w:tc>
          <w:tcPr>
            <w:tcW w:w="1596"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DC99E72" w14:textId="77777777" w:rsidR="00E827EA" w:rsidRPr="00DA1046" w:rsidRDefault="00E827EA">
            <w:pPr>
              <w:jc w:val="center"/>
              <w:rPr>
                <w:rFonts w:ascii="Arial" w:hAnsi="Arial" w:cs="Arial"/>
                <w:b/>
                <w:bCs/>
                <w:sz w:val="18"/>
                <w:szCs w:val="18"/>
              </w:rPr>
            </w:pPr>
            <w:r w:rsidRPr="00DA1046">
              <w:rPr>
                <w:rFonts w:ascii="Arial" w:hAnsi="Arial" w:cs="Arial"/>
                <w:b/>
                <w:bCs/>
                <w:sz w:val="20"/>
                <w:szCs w:val="20"/>
              </w:rPr>
              <w:t>Financijski plan 2025.</w:t>
            </w:r>
          </w:p>
        </w:tc>
        <w:tc>
          <w:tcPr>
            <w:tcW w:w="163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AD04870" w14:textId="77777777" w:rsidR="00E827EA" w:rsidRPr="00DA1046" w:rsidRDefault="00E827EA">
            <w:pPr>
              <w:jc w:val="center"/>
              <w:rPr>
                <w:rFonts w:ascii="Arial" w:hAnsi="Arial" w:cs="Arial"/>
                <w:b/>
                <w:bCs/>
                <w:sz w:val="20"/>
                <w:szCs w:val="20"/>
              </w:rPr>
            </w:pPr>
            <w:r w:rsidRPr="00DA1046">
              <w:rPr>
                <w:rFonts w:ascii="Arial" w:hAnsi="Arial" w:cs="Arial"/>
                <w:b/>
                <w:bCs/>
                <w:sz w:val="20"/>
                <w:szCs w:val="20"/>
              </w:rPr>
              <w:t>Izvršenje             01.-12.2025.</w:t>
            </w:r>
          </w:p>
        </w:tc>
        <w:tc>
          <w:tcPr>
            <w:tcW w:w="1227"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0377E667" w14:textId="10B9EEBC" w:rsidR="00E827EA" w:rsidRPr="00DA1046" w:rsidRDefault="00E827EA">
            <w:pPr>
              <w:jc w:val="center"/>
              <w:rPr>
                <w:rFonts w:ascii="Arial" w:hAnsi="Arial" w:cs="Arial"/>
                <w:b/>
                <w:bCs/>
                <w:sz w:val="20"/>
                <w:szCs w:val="20"/>
              </w:rPr>
            </w:pPr>
            <w:r w:rsidRPr="00DA1046">
              <w:rPr>
                <w:rFonts w:ascii="Arial" w:hAnsi="Arial" w:cs="Arial"/>
                <w:b/>
                <w:bCs/>
                <w:sz w:val="20"/>
                <w:szCs w:val="20"/>
              </w:rPr>
              <w:t xml:space="preserve">Indeks     </w:t>
            </w:r>
            <w:r w:rsidRPr="00DA1046">
              <w:rPr>
                <w:rFonts w:ascii="Arial" w:hAnsi="Arial" w:cs="Arial"/>
                <w:b/>
                <w:bCs/>
                <w:sz w:val="18"/>
                <w:szCs w:val="18"/>
              </w:rPr>
              <w:t>(Izvršenje 2025. /2024.)</w:t>
            </w:r>
          </w:p>
        </w:tc>
        <w:tc>
          <w:tcPr>
            <w:tcW w:w="1097"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29CEBE9B" w14:textId="6B1B3486" w:rsidR="00E827EA" w:rsidRPr="00DA1046" w:rsidRDefault="00E827EA">
            <w:pPr>
              <w:jc w:val="center"/>
              <w:rPr>
                <w:rFonts w:ascii="Arial" w:hAnsi="Arial" w:cs="Arial"/>
                <w:b/>
                <w:bCs/>
                <w:sz w:val="20"/>
                <w:szCs w:val="20"/>
              </w:rPr>
            </w:pPr>
            <w:r w:rsidRPr="00DA1046">
              <w:rPr>
                <w:rFonts w:ascii="Arial" w:hAnsi="Arial" w:cs="Arial"/>
                <w:b/>
                <w:bCs/>
                <w:sz w:val="20"/>
                <w:szCs w:val="20"/>
              </w:rPr>
              <w:t xml:space="preserve">Indeks     </w:t>
            </w:r>
            <w:r w:rsidRPr="00DA1046">
              <w:rPr>
                <w:rFonts w:ascii="Arial" w:hAnsi="Arial" w:cs="Arial"/>
                <w:b/>
                <w:bCs/>
                <w:sz w:val="18"/>
                <w:szCs w:val="18"/>
              </w:rPr>
              <w:t>(Fin. Plan/ izvršenje)</w:t>
            </w:r>
          </w:p>
        </w:tc>
      </w:tr>
      <w:tr w:rsidR="00DA1046" w:rsidRPr="00DA1046" w14:paraId="35C8D77E" w14:textId="77777777" w:rsidTr="00E827EA">
        <w:trPr>
          <w:trHeight w:val="550"/>
          <w:jc w:val="center"/>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09E733AB" w14:textId="77777777" w:rsidR="00E827EA" w:rsidRPr="00DA1046" w:rsidRDefault="00E827EA">
            <w:pPr>
              <w:rPr>
                <w:rFonts w:ascii="Calibri" w:hAnsi="Calibri" w:cs="Calibri"/>
                <w:b/>
                <w:bCs/>
                <w:sz w:val="20"/>
                <w:szCs w:val="20"/>
              </w:rPr>
            </w:pPr>
          </w:p>
        </w:tc>
        <w:tc>
          <w:tcPr>
            <w:tcW w:w="1576" w:type="dxa"/>
            <w:vMerge/>
            <w:tcBorders>
              <w:top w:val="single" w:sz="4" w:space="0" w:color="auto"/>
              <w:left w:val="single" w:sz="4" w:space="0" w:color="auto"/>
              <w:bottom w:val="single" w:sz="4" w:space="0" w:color="000000"/>
              <w:right w:val="nil"/>
            </w:tcBorders>
            <w:vAlign w:val="center"/>
            <w:hideMark/>
          </w:tcPr>
          <w:p w14:paraId="05B5ED2F" w14:textId="77777777" w:rsidR="00E827EA" w:rsidRPr="00DA1046" w:rsidRDefault="00E827EA">
            <w:pPr>
              <w:rPr>
                <w:rFonts w:ascii="Arial" w:hAnsi="Arial" w:cs="Arial"/>
                <w:b/>
                <w:bCs/>
                <w:sz w:val="20"/>
                <w:szCs w:val="20"/>
              </w:rPr>
            </w:pPr>
          </w:p>
        </w:tc>
        <w:tc>
          <w:tcPr>
            <w:tcW w:w="1596" w:type="dxa"/>
            <w:vMerge/>
            <w:tcBorders>
              <w:top w:val="single" w:sz="4" w:space="0" w:color="auto"/>
              <w:left w:val="single" w:sz="4" w:space="0" w:color="auto"/>
              <w:bottom w:val="single" w:sz="4" w:space="0" w:color="auto"/>
              <w:right w:val="single" w:sz="4" w:space="0" w:color="auto"/>
            </w:tcBorders>
            <w:vAlign w:val="center"/>
            <w:hideMark/>
          </w:tcPr>
          <w:p w14:paraId="2F58D12F" w14:textId="77777777" w:rsidR="00E827EA" w:rsidRPr="00DA1046" w:rsidRDefault="00E827EA">
            <w:pPr>
              <w:rPr>
                <w:rFonts w:ascii="Arial" w:hAnsi="Arial" w:cs="Arial"/>
                <w:b/>
                <w:bCs/>
                <w:sz w:val="18"/>
                <w:szCs w:val="18"/>
              </w:rPr>
            </w:pPr>
          </w:p>
        </w:tc>
        <w:tc>
          <w:tcPr>
            <w:tcW w:w="1639" w:type="dxa"/>
            <w:vMerge/>
            <w:tcBorders>
              <w:top w:val="single" w:sz="4" w:space="0" w:color="auto"/>
              <w:left w:val="single" w:sz="4" w:space="0" w:color="auto"/>
              <w:bottom w:val="single" w:sz="4" w:space="0" w:color="auto"/>
              <w:right w:val="single" w:sz="4" w:space="0" w:color="auto"/>
            </w:tcBorders>
            <w:vAlign w:val="center"/>
            <w:hideMark/>
          </w:tcPr>
          <w:p w14:paraId="7D5DB8E2" w14:textId="77777777" w:rsidR="00E827EA" w:rsidRPr="00DA1046" w:rsidRDefault="00E827EA">
            <w:pPr>
              <w:rPr>
                <w:rFonts w:ascii="Arial" w:hAnsi="Arial" w:cs="Arial"/>
                <w:b/>
                <w:bCs/>
                <w:sz w:val="20"/>
                <w:szCs w:val="20"/>
              </w:rPr>
            </w:pPr>
          </w:p>
        </w:tc>
        <w:tc>
          <w:tcPr>
            <w:tcW w:w="1227" w:type="dxa"/>
            <w:vMerge/>
            <w:tcBorders>
              <w:top w:val="single" w:sz="4" w:space="0" w:color="auto"/>
              <w:left w:val="single" w:sz="4" w:space="0" w:color="auto"/>
              <w:bottom w:val="single" w:sz="4" w:space="0" w:color="000000"/>
              <w:right w:val="single" w:sz="4" w:space="0" w:color="auto"/>
            </w:tcBorders>
            <w:vAlign w:val="center"/>
            <w:hideMark/>
          </w:tcPr>
          <w:p w14:paraId="0F8ABAE1" w14:textId="77777777" w:rsidR="00E827EA" w:rsidRPr="00DA1046" w:rsidRDefault="00E827EA">
            <w:pPr>
              <w:rPr>
                <w:rFonts w:ascii="Arial" w:hAnsi="Arial" w:cs="Arial"/>
                <w:b/>
                <w:bCs/>
                <w:sz w:val="20"/>
                <w:szCs w:val="20"/>
              </w:rPr>
            </w:pPr>
          </w:p>
        </w:tc>
        <w:tc>
          <w:tcPr>
            <w:tcW w:w="1097" w:type="dxa"/>
            <w:vMerge/>
            <w:tcBorders>
              <w:top w:val="single" w:sz="4" w:space="0" w:color="auto"/>
              <w:left w:val="single" w:sz="4" w:space="0" w:color="auto"/>
              <w:bottom w:val="single" w:sz="4" w:space="0" w:color="000000"/>
              <w:right w:val="single" w:sz="4" w:space="0" w:color="auto"/>
            </w:tcBorders>
            <w:vAlign w:val="center"/>
            <w:hideMark/>
          </w:tcPr>
          <w:p w14:paraId="582FF81E" w14:textId="77777777" w:rsidR="00E827EA" w:rsidRPr="00DA1046" w:rsidRDefault="00E827EA">
            <w:pPr>
              <w:rPr>
                <w:rFonts w:ascii="Arial" w:hAnsi="Arial" w:cs="Arial"/>
                <w:b/>
                <w:bCs/>
                <w:sz w:val="20"/>
                <w:szCs w:val="20"/>
              </w:rPr>
            </w:pPr>
          </w:p>
        </w:tc>
        <w:tc>
          <w:tcPr>
            <w:tcW w:w="222" w:type="dxa"/>
            <w:tcBorders>
              <w:top w:val="nil"/>
              <w:left w:val="nil"/>
              <w:bottom w:val="nil"/>
              <w:right w:val="nil"/>
            </w:tcBorders>
            <w:noWrap/>
            <w:vAlign w:val="bottom"/>
            <w:hideMark/>
          </w:tcPr>
          <w:p w14:paraId="434E8172" w14:textId="77777777" w:rsidR="00E827EA" w:rsidRPr="00DA1046" w:rsidRDefault="00E827EA">
            <w:pPr>
              <w:jc w:val="center"/>
              <w:rPr>
                <w:rFonts w:ascii="Arial" w:hAnsi="Arial" w:cs="Arial"/>
                <w:b/>
                <w:bCs/>
                <w:sz w:val="20"/>
                <w:szCs w:val="20"/>
              </w:rPr>
            </w:pPr>
          </w:p>
        </w:tc>
      </w:tr>
      <w:tr w:rsidR="00DA1046" w:rsidRPr="00DA1046" w14:paraId="0C5E63C7" w14:textId="77777777" w:rsidTr="00E827EA">
        <w:trPr>
          <w:trHeight w:val="400"/>
          <w:jc w:val="center"/>
        </w:trPr>
        <w:tc>
          <w:tcPr>
            <w:tcW w:w="3114" w:type="dxa"/>
            <w:tcBorders>
              <w:top w:val="nil"/>
              <w:left w:val="single" w:sz="4" w:space="0" w:color="auto"/>
              <w:bottom w:val="single" w:sz="4" w:space="0" w:color="auto"/>
              <w:right w:val="single" w:sz="4" w:space="0" w:color="auto"/>
            </w:tcBorders>
            <w:noWrap/>
            <w:vAlign w:val="center"/>
            <w:hideMark/>
          </w:tcPr>
          <w:p w14:paraId="74FFD7E2" w14:textId="77777777" w:rsidR="00E827EA" w:rsidRPr="00DA1046" w:rsidRDefault="00E827EA">
            <w:pPr>
              <w:rPr>
                <w:rFonts w:ascii="Calibri" w:hAnsi="Calibri" w:cs="Calibri"/>
                <w:b/>
                <w:bCs/>
                <w:sz w:val="22"/>
                <w:szCs w:val="22"/>
              </w:rPr>
            </w:pPr>
            <w:r w:rsidRPr="00DA1046">
              <w:rPr>
                <w:rFonts w:ascii="Calibri" w:hAnsi="Calibri" w:cs="Calibri"/>
                <w:b/>
                <w:bCs/>
                <w:sz w:val="22"/>
                <w:szCs w:val="22"/>
              </w:rPr>
              <w:t>PRIHODI UKUPNO</w:t>
            </w:r>
          </w:p>
        </w:tc>
        <w:tc>
          <w:tcPr>
            <w:tcW w:w="1576" w:type="dxa"/>
            <w:tcBorders>
              <w:top w:val="nil"/>
              <w:left w:val="nil"/>
              <w:bottom w:val="single" w:sz="4" w:space="0" w:color="auto"/>
              <w:right w:val="single" w:sz="4" w:space="0" w:color="auto"/>
            </w:tcBorders>
            <w:noWrap/>
            <w:vAlign w:val="center"/>
            <w:hideMark/>
          </w:tcPr>
          <w:p w14:paraId="1609F483" w14:textId="77777777" w:rsidR="00E827EA" w:rsidRPr="00DA1046" w:rsidRDefault="00E827EA">
            <w:pPr>
              <w:jc w:val="right"/>
              <w:rPr>
                <w:rFonts w:ascii="Calibri" w:hAnsi="Calibri" w:cs="Calibri"/>
                <w:b/>
                <w:bCs/>
                <w:sz w:val="22"/>
                <w:szCs w:val="22"/>
              </w:rPr>
            </w:pPr>
            <w:r w:rsidRPr="00DA1046">
              <w:rPr>
                <w:rFonts w:ascii="Calibri" w:hAnsi="Calibri" w:cs="Calibri"/>
                <w:b/>
                <w:bCs/>
                <w:sz w:val="22"/>
                <w:szCs w:val="22"/>
              </w:rPr>
              <w:t>31.291.915,26</w:t>
            </w:r>
          </w:p>
        </w:tc>
        <w:tc>
          <w:tcPr>
            <w:tcW w:w="1596" w:type="dxa"/>
            <w:tcBorders>
              <w:top w:val="nil"/>
              <w:left w:val="nil"/>
              <w:bottom w:val="single" w:sz="4" w:space="0" w:color="auto"/>
              <w:right w:val="single" w:sz="4" w:space="0" w:color="auto"/>
            </w:tcBorders>
            <w:noWrap/>
            <w:vAlign w:val="center"/>
            <w:hideMark/>
          </w:tcPr>
          <w:p w14:paraId="16F5FF5D" w14:textId="77777777" w:rsidR="00E827EA" w:rsidRPr="00DA1046" w:rsidRDefault="00E827EA">
            <w:pPr>
              <w:jc w:val="right"/>
              <w:rPr>
                <w:rFonts w:ascii="Calibri" w:hAnsi="Calibri" w:cs="Calibri"/>
                <w:b/>
                <w:bCs/>
                <w:sz w:val="22"/>
                <w:szCs w:val="22"/>
              </w:rPr>
            </w:pPr>
            <w:r w:rsidRPr="00DA1046">
              <w:rPr>
                <w:rFonts w:ascii="Calibri" w:hAnsi="Calibri" w:cs="Calibri"/>
                <w:b/>
                <w:bCs/>
                <w:sz w:val="22"/>
                <w:szCs w:val="22"/>
              </w:rPr>
              <w:t>35.169.000,00</w:t>
            </w:r>
          </w:p>
        </w:tc>
        <w:tc>
          <w:tcPr>
            <w:tcW w:w="1639" w:type="dxa"/>
            <w:tcBorders>
              <w:top w:val="nil"/>
              <w:left w:val="nil"/>
              <w:bottom w:val="single" w:sz="4" w:space="0" w:color="auto"/>
              <w:right w:val="single" w:sz="4" w:space="0" w:color="auto"/>
            </w:tcBorders>
            <w:noWrap/>
            <w:vAlign w:val="center"/>
            <w:hideMark/>
          </w:tcPr>
          <w:p w14:paraId="765247FB" w14:textId="77777777" w:rsidR="00E827EA" w:rsidRPr="00DA1046" w:rsidRDefault="00E827EA">
            <w:pPr>
              <w:jc w:val="right"/>
              <w:rPr>
                <w:rFonts w:ascii="Calibri" w:hAnsi="Calibri" w:cs="Calibri"/>
                <w:b/>
                <w:bCs/>
                <w:sz w:val="22"/>
                <w:szCs w:val="22"/>
              </w:rPr>
            </w:pPr>
            <w:r w:rsidRPr="00DA1046">
              <w:rPr>
                <w:rFonts w:ascii="Calibri" w:hAnsi="Calibri" w:cs="Calibri"/>
                <w:b/>
                <w:bCs/>
                <w:sz w:val="22"/>
                <w:szCs w:val="22"/>
              </w:rPr>
              <w:t>34.877.488,57</w:t>
            </w:r>
          </w:p>
        </w:tc>
        <w:tc>
          <w:tcPr>
            <w:tcW w:w="1227" w:type="dxa"/>
            <w:tcBorders>
              <w:top w:val="nil"/>
              <w:left w:val="nil"/>
              <w:bottom w:val="single" w:sz="4" w:space="0" w:color="auto"/>
              <w:right w:val="single" w:sz="4" w:space="0" w:color="auto"/>
            </w:tcBorders>
            <w:noWrap/>
            <w:vAlign w:val="center"/>
            <w:hideMark/>
          </w:tcPr>
          <w:p w14:paraId="4DA06709" w14:textId="77777777" w:rsidR="00E827EA" w:rsidRPr="00DA1046" w:rsidRDefault="00E827EA">
            <w:pPr>
              <w:jc w:val="center"/>
              <w:rPr>
                <w:rFonts w:ascii="Calibri" w:hAnsi="Calibri" w:cs="Calibri"/>
                <w:sz w:val="22"/>
                <w:szCs w:val="22"/>
              </w:rPr>
            </w:pPr>
            <w:r w:rsidRPr="00DA1046">
              <w:rPr>
                <w:rFonts w:ascii="Calibri" w:hAnsi="Calibri" w:cs="Calibri"/>
                <w:sz w:val="22"/>
                <w:szCs w:val="22"/>
              </w:rPr>
              <w:t>111%</w:t>
            </w:r>
          </w:p>
        </w:tc>
        <w:tc>
          <w:tcPr>
            <w:tcW w:w="1097" w:type="dxa"/>
            <w:tcBorders>
              <w:top w:val="nil"/>
              <w:left w:val="nil"/>
              <w:bottom w:val="single" w:sz="4" w:space="0" w:color="auto"/>
              <w:right w:val="single" w:sz="4" w:space="0" w:color="auto"/>
            </w:tcBorders>
            <w:noWrap/>
            <w:vAlign w:val="center"/>
            <w:hideMark/>
          </w:tcPr>
          <w:p w14:paraId="1D9DB20B" w14:textId="77777777" w:rsidR="00E827EA" w:rsidRPr="00DA1046" w:rsidRDefault="00E827EA">
            <w:pPr>
              <w:jc w:val="center"/>
              <w:rPr>
                <w:rFonts w:ascii="Calibri" w:hAnsi="Calibri" w:cs="Calibri"/>
                <w:sz w:val="22"/>
                <w:szCs w:val="22"/>
              </w:rPr>
            </w:pPr>
            <w:r w:rsidRPr="00DA1046">
              <w:rPr>
                <w:rFonts w:ascii="Calibri" w:hAnsi="Calibri" w:cs="Calibri"/>
                <w:sz w:val="22"/>
                <w:szCs w:val="22"/>
              </w:rPr>
              <w:t>99%</w:t>
            </w:r>
          </w:p>
        </w:tc>
        <w:tc>
          <w:tcPr>
            <w:tcW w:w="222" w:type="dxa"/>
            <w:vAlign w:val="center"/>
            <w:hideMark/>
          </w:tcPr>
          <w:p w14:paraId="45C40771" w14:textId="77777777" w:rsidR="00E827EA" w:rsidRPr="00DA1046" w:rsidRDefault="00E827EA">
            <w:pPr>
              <w:rPr>
                <w:sz w:val="20"/>
                <w:szCs w:val="20"/>
              </w:rPr>
            </w:pPr>
          </w:p>
        </w:tc>
      </w:tr>
      <w:tr w:rsidR="00DA1046" w:rsidRPr="00DA1046" w14:paraId="1BE7E79C" w14:textId="77777777" w:rsidTr="00E827EA">
        <w:trPr>
          <w:trHeight w:val="290"/>
          <w:jc w:val="center"/>
        </w:trPr>
        <w:tc>
          <w:tcPr>
            <w:tcW w:w="3114" w:type="dxa"/>
            <w:tcBorders>
              <w:top w:val="nil"/>
              <w:left w:val="single" w:sz="4" w:space="0" w:color="auto"/>
              <w:bottom w:val="single" w:sz="4" w:space="0" w:color="auto"/>
              <w:right w:val="single" w:sz="4" w:space="0" w:color="auto"/>
            </w:tcBorders>
            <w:noWrap/>
            <w:vAlign w:val="bottom"/>
            <w:hideMark/>
          </w:tcPr>
          <w:p w14:paraId="1C268816" w14:textId="77777777" w:rsidR="00E827EA" w:rsidRPr="00DA1046" w:rsidRDefault="00E827EA">
            <w:pPr>
              <w:rPr>
                <w:rFonts w:ascii="Calibri" w:hAnsi="Calibri" w:cs="Calibri"/>
                <w:sz w:val="22"/>
                <w:szCs w:val="22"/>
              </w:rPr>
            </w:pPr>
            <w:r w:rsidRPr="00DA1046">
              <w:rPr>
                <w:rFonts w:ascii="Calibri" w:hAnsi="Calibri" w:cs="Calibri"/>
                <w:sz w:val="22"/>
                <w:szCs w:val="22"/>
              </w:rPr>
              <w:t>6 PRIHODI POSLOVANJA</w:t>
            </w:r>
          </w:p>
        </w:tc>
        <w:tc>
          <w:tcPr>
            <w:tcW w:w="1576" w:type="dxa"/>
            <w:tcBorders>
              <w:top w:val="nil"/>
              <w:left w:val="nil"/>
              <w:bottom w:val="single" w:sz="4" w:space="0" w:color="auto"/>
              <w:right w:val="single" w:sz="4" w:space="0" w:color="auto"/>
            </w:tcBorders>
            <w:noWrap/>
            <w:vAlign w:val="bottom"/>
            <w:hideMark/>
          </w:tcPr>
          <w:p w14:paraId="0D3F6FB7" w14:textId="77777777" w:rsidR="00E827EA" w:rsidRPr="00DA1046" w:rsidRDefault="00E827EA">
            <w:pPr>
              <w:jc w:val="right"/>
              <w:rPr>
                <w:rFonts w:ascii="Calibri" w:hAnsi="Calibri" w:cs="Calibri"/>
                <w:sz w:val="22"/>
                <w:szCs w:val="22"/>
              </w:rPr>
            </w:pPr>
            <w:r w:rsidRPr="00DA1046">
              <w:rPr>
                <w:rFonts w:ascii="Calibri" w:hAnsi="Calibri" w:cs="Calibri"/>
                <w:sz w:val="22"/>
                <w:szCs w:val="22"/>
              </w:rPr>
              <w:t>31.232.777,65</w:t>
            </w:r>
          </w:p>
        </w:tc>
        <w:tc>
          <w:tcPr>
            <w:tcW w:w="1596" w:type="dxa"/>
            <w:tcBorders>
              <w:top w:val="nil"/>
              <w:left w:val="nil"/>
              <w:bottom w:val="single" w:sz="4" w:space="0" w:color="auto"/>
              <w:right w:val="single" w:sz="4" w:space="0" w:color="auto"/>
            </w:tcBorders>
            <w:noWrap/>
            <w:vAlign w:val="bottom"/>
            <w:hideMark/>
          </w:tcPr>
          <w:p w14:paraId="55AD6A0A" w14:textId="77777777" w:rsidR="00E827EA" w:rsidRPr="00DA1046" w:rsidRDefault="00E827EA">
            <w:pPr>
              <w:jc w:val="right"/>
              <w:rPr>
                <w:rFonts w:ascii="Calibri" w:hAnsi="Calibri" w:cs="Calibri"/>
                <w:sz w:val="22"/>
                <w:szCs w:val="22"/>
              </w:rPr>
            </w:pPr>
            <w:r w:rsidRPr="00DA1046">
              <w:rPr>
                <w:rFonts w:ascii="Calibri" w:hAnsi="Calibri" w:cs="Calibri"/>
                <w:sz w:val="22"/>
                <w:szCs w:val="22"/>
              </w:rPr>
              <w:t>35.166.207,00</w:t>
            </w:r>
          </w:p>
        </w:tc>
        <w:tc>
          <w:tcPr>
            <w:tcW w:w="1639" w:type="dxa"/>
            <w:tcBorders>
              <w:top w:val="nil"/>
              <w:left w:val="nil"/>
              <w:bottom w:val="single" w:sz="4" w:space="0" w:color="auto"/>
              <w:right w:val="single" w:sz="4" w:space="0" w:color="auto"/>
            </w:tcBorders>
            <w:noWrap/>
            <w:vAlign w:val="bottom"/>
            <w:hideMark/>
          </w:tcPr>
          <w:p w14:paraId="78C9E210" w14:textId="77777777" w:rsidR="00E827EA" w:rsidRPr="00DA1046" w:rsidRDefault="00E827EA">
            <w:pPr>
              <w:jc w:val="right"/>
              <w:rPr>
                <w:rFonts w:ascii="Calibri" w:hAnsi="Calibri" w:cs="Calibri"/>
                <w:sz w:val="22"/>
                <w:szCs w:val="22"/>
              </w:rPr>
            </w:pPr>
            <w:r w:rsidRPr="00DA1046">
              <w:rPr>
                <w:rFonts w:ascii="Calibri" w:hAnsi="Calibri" w:cs="Calibri"/>
                <w:sz w:val="22"/>
                <w:szCs w:val="22"/>
              </w:rPr>
              <w:t>34.874.730,51</w:t>
            </w:r>
          </w:p>
        </w:tc>
        <w:tc>
          <w:tcPr>
            <w:tcW w:w="1227" w:type="dxa"/>
            <w:tcBorders>
              <w:top w:val="nil"/>
              <w:left w:val="nil"/>
              <w:bottom w:val="single" w:sz="4" w:space="0" w:color="auto"/>
              <w:right w:val="single" w:sz="4" w:space="0" w:color="auto"/>
            </w:tcBorders>
            <w:noWrap/>
            <w:vAlign w:val="bottom"/>
            <w:hideMark/>
          </w:tcPr>
          <w:p w14:paraId="73F2773F" w14:textId="77777777" w:rsidR="00E827EA" w:rsidRPr="00DA1046" w:rsidRDefault="00E827EA">
            <w:pPr>
              <w:jc w:val="center"/>
              <w:rPr>
                <w:rFonts w:ascii="Calibri" w:hAnsi="Calibri" w:cs="Calibri"/>
                <w:sz w:val="22"/>
                <w:szCs w:val="22"/>
              </w:rPr>
            </w:pPr>
            <w:r w:rsidRPr="00DA1046">
              <w:rPr>
                <w:rFonts w:ascii="Calibri" w:hAnsi="Calibri" w:cs="Calibri"/>
                <w:sz w:val="22"/>
                <w:szCs w:val="22"/>
              </w:rPr>
              <w:t>112%</w:t>
            </w:r>
          </w:p>
        </w:tc>
        <w:tc>
          <w:tcPr>
            <w:tcW w:w="1097" w:type="dxa"/>
            <w:tcBorders>
              <w:top w:val="nil"/>
              <w:left w:val="nil"/>
              <w:bottom w:val="single" w:sz="4" w:space="0" w:color="auto"/>
              <w:right w:val="single" w:sz="4" w:space="0" w:color="auto"/>
            </w:tcBorders>
            <w:noWrap/>
            <w:vAlign w:val="center"/>
            <w:hideMark/>
          </w:tcPr>
          <w:p w14:paraId="37D59A68" w14:textId="77777777" w:rsidR="00E827EA" w:rsidRPr="00DA1046" w:rsidRDefault="00E827EA">
            <w:pPr>
              <w:jc w:val="center"/>
              <w:rPr>
                <w:rFonts w:ascii="Calibri" w:hAnsi="Calibri" w:cs="Calibri"/>
                <w:sz w:val="22"/>
                <w:szCs w:val="22"/>
              </w:rPr>
            </w:pPr>
            <w:r w:rsidRPr="00DA1046">
              <w:rPr>
                <w:rFonts w:ascii="Calibri" w:hAnsi="Calibri" w:cs="Calibri"/>
                <w:sz w:val="22"/>
                <w:szCs w:val="22"/>
              </w:rPr>
              <w:t>99%</w:t>
            </w:r>
          </w:p>
        </w:tc>
        <w:tc>
          <w:tcPr>
            <w:tcW w:w="222" w:type="dxa"/>
            <w:vAlign w:val="center"/>
            <w:hideMark/>
          </w:tcPr>
          <w:p w14:paraId="18915EA0" w14:textId="77777777" w:rsidR="00E827EA" w:rsidRPr="00DA1046" w:rsidRDefault="00E827EA">
            <w:pPr>
              <w:rPr>
                <w:sz w:val="20"/>
                <w:szCs w:val="20"/>
              </w:rPr>
            </w:pPr>
          </w:p>
        </w:tc>
      </w:tr>
      <w:tr w:rsidR="00DA1046" w:rsidRPr="00DA1046" w14:paraId="34CE744C" w14:textId="77777777" w:rsidTr="00E827EA">
        <w:trPr>
          <w:trHeight w:val="580"/>
          <w:jc w:val="center"/>
        </w:trPr>
        <w:tc>
          <w:tcPr>
            <w:tcW w:w="3114" w:type="dxa"/>
            <w:tcBorders>
              <w:top w:val="nil"/>
              <w:left w:val="single" w:sz="4" w:space="0" w:color="auto"/>
              <w:bottom w:val="single" w:sz="4" w:space="0" w:color="auto"/>
              <w:right w:val="single" w:sz="4" w:space="0" w:color="auto"/>
            </w:tcBorders>
            <w:vAlign w:val="bottom"/>
            <w:hideMark/>
          </w:tcPr>
          <w:p w14:paraId="2AAD0A17" w14:textId="77777777" w:rsidR="00E827EA" w:rsidRPr="00DA1046" w:rsidRDefault="00E827EA">
            <w:pPr>
              <w:rPr>
                <w:rFonts w:ascii="Calibri" w:hAnsi="Calibri" w:cs="Calibri"/>
                <w:sz w:val="22"/>
                <w:szCs w:val="22"/>
              </w:rPr>
            </w:pPr>
            <w:r w:rsidRPr="00DA1046">
              <w:rPr>
                <w:rFonts w:ascii="Calibri" w:hAnsi="Calibri" w:cs="Calibri"/>
                <w:sz w:val="22"/>
                <w:szCs w:val="22"/>
              </w:rPr>
              <w:t>7 PRIHODI OD PRODAJE NEFINANCIJSKE IMOVINE</w:t>
            </w:r>
          </w:p>
        </w:tc>
        <w:tc>
          <w:tcPr>
            <w:tcW w:w="1576" w:type="dxa"/>
            <w:tcBorders>
              <w:top w:val="nil"/>
              <w:left w:val="nil"/>
              <w:bottom w:val="single" w:sz="4" w:space="0" w:color="auto"/>
              <w:right w:val="single" w:sz="4" w:space="0" w:color="auto"/>
            </w:tcBorders>
            <w:noWrap/>
            <w:vAlign w:val="bottom"/>
            <w:hideMark/>
          </w:tcPr>
          <w:p w14:paraId="4B68D398" w14:textId="77777777" w:rsidR="00E827EA" w:rsidRPr="00DA1046" w:rsidRDefault="00E827EA">
            <w:pPr>
              <w:jc w:val="right"/>
              <w:rPr>
                <w:rFonts w:ascii="Calibri" w:hAnsi="Calibri" w:cs="Calibri"/>
                <w:sz w:val="22"/>
                <w:szCs w:val="22"/>
              </w:rPr>
            </w:pPr>
            <w:r w:rsidRPr="00DA1046">
              <w:rPr>
                <w:rFonts w:ascii="Calibri" w:hAnsi="Calibri" w:cs="Calibri"/>
                <w:sz w:val="22"/>
                <w:szCs w:val="22"/>
              </w:rPr>
              <w:t>59.137,61</w:t>
            </w:r>
          </w:p>
        </w:tc>
        <w:tc>
          <w:tcPr>
            <w:tcW w:w="1596" w:type="dxa"/>
            <w:tcBorders>
              <w:top w:val="nil"/>
              <w:left w:val="nil"/>
              <w:bottom w:val="single" w:sz="4" w:space="0" w:color="auto"/>
              <w:right w:val="single" w:sz="4" w:space="0" w:color="auto"/>
            </w:tcBorders>
            <w:noWrap/>
            <w:vAlign w:val="bottom"/>
            <w:hideMark/>
          </w:tcPr>
          <w:p w14:paraId="0F8A53C0" w14:textId="77777777" w:rsidR="00E827EA" w:rsidRPr="00DA1046" w:rsidRDefault="00E827EA">
            <w:pPr>
              <w:jc w:val="right"/>
              <w:rPr>
                <w:rFonts w:ascii="Calibri" w:hAnsi="Calibri" w:cs="Calibri"/>
                <w:sz w:val="22"/>
                <w:szCs w:val="22"/>
              </w:rPr>
            </w:pPr>
            <w:r w:rsidRPr="00DA1046">
              <w:rPr>
                <w:rFonts w:ascii="Calibri" w:hAnsi="Calibri" w:cs="Calibri"/>
                <w:sz w:val="22"/>
                <w:szCs w:val="22"/>
              </w:rPr>
              <w:t>2.793,00</w:t>
            </w:r>
          </w:p>
        </w:tc>
        <w:tc>
          <w:tcPr>
            <w:tcW w:w="1639" w:type="dxa"/>
            <w:tcBorders>
              <w:top w:val="nil"/>
              <w:left w:val="nil"/>
              <w:bottom w:val="single" w:sz="4" w:space="0" w:color="auto"/>
              <w:right w:val="single" w:sz="4" w:space="0" w:color="auto"/>
            </w:tcBorders>
            <w:noWrap/>
            <w:vAlign w:val="bottom"/>
            <w:hideMark/>
          </w:tcPr>
          <w:p w14:paraId="48BBA4F2" w14:textId="77777777" w:rsidR="00E827EA" w:rsidRPr="00DA1046" w:rsidRDefault="00E827EA">
            <w:pPr>
              <w:jc w:val="right"/>
              <w:rPr>
                <w:rFonts w:ascii="Calibri" w:hAnsi="Calibri" w:cs="Calibri"/>
                <w:sz w:val="22"/>
                <w:szCs w:val="22"/>
              </w:rPr>
            </w:pPr>
            <w:r w:rsidRPr="00DA1046">
              <w:rPr>
                <w:rFonts w:ascii="Calibri" w:hAnsi="Calibri" w:cs="Calibri"/>
                <w:sz w:val="22"/>
                <w:szCs w:val="22"/>
              </w:rPr>
              <w:t>2.758,06</w:t>
            </w:r>
          </w:p>
        </w:tc>
        <w:tc>
          <w:tcPr>
            <w:tcW w:w="1227" w:type="dxa"/>
            <w:tcBorders>
              <w:top w:val="nil"/>
              <w:left w:val="nil"/>
              <w:bottom w:val="single" w:sz="4" w:space="0" w:color="auto"/>
              <w:right w:val="single" w:sz="4" w:space="0" w:color="auto"/>
            </w:tcBorders>
            <w:noWrap/>
            <w:vAlign w:val="bottom"/>
            <w:hideMark/>
          </w:tcPr>
          <w:p w14:paraId="61B3BA98" w14:textId="77777777" w:rsidR="00E827EA" w:rsidRPr="00DA1046" w:rsidRDefault="00E827EA">
            <w:pPr>
              <w:jc w:val="center"/>
              <w:rPr>
                <w:rFonts w:ascii="Calibri" w:hAnsi="Calibri" w:cs="Calibri"/>
                <w:sz w:val="22"/>
                <w:szCs w:val="22"/>
              </w:rPr>
            </w:pPr>
            <w:r w:rsidRPr="00DA1046">
              <w:rPr>
                <w:rFonts w:ascii="Calibri" w:hAnsi="Calibri" w:cs="Calibri"/>
                <w:sz w:val="22"/>
                <w:szCs w:val="22"/>
              </w:rPr>
              <w:t>5%</w:t>
            </w:r>
          </w:p>
        </w:tc>
        <w:tc>
          <w:tcPr>
            <w:tcW w:w="1097" w:type="dxa"/>
            <w:tcBorders>
              <w:top w:val="nil"/>
              <w:left w:val="nil"/>
              <w:bottom w:val="single" w:sz="4" w:space="0" w:color="auto"/>
              <w:right w:val="single" w:sz="4" w:space="0" w:color="auto"/>
            </w:tcBorders>
            <w:noWrap/>
            <w:vAlign w:val="center"/>
            <w:hideMark/>
          </w:tcPr>
          <w:p w14:paraId="470A3B86" w14:textId="77777777" w:rsidR="00E827EA" w:rsidRPr="00DA1046" w:rsidRDefault="00E827EA">
            <w:pPr>
              <w:jc w:val="center"/>
              <w:rPr>
                <w:rFonts w:ascii="Calibri" w:hAnsi="Calibri" w:cs="Calibri"/>
                <w:sz w:val="22"/>
                <w:szCs w:val="22"/>
              </w:rPr>
            </w:pPr>
            <w:r w:rsidRPr="00DA1046">
              <w:rPr>
                <w:rFonts w:ascii="Calibri" w:hAnsi="Calibri" w:cs="Calibri"/>
                <w:sz w:val="22"/>
                <w:szCs w:val="22"/>
              </w:rPr>
              <w:t>99%</w:t>
            </w:r>
          </w:p>
        </w:tc>
        <w:tc>
          <w:tcPr>
            <w:tcW w:w="222" w:type="dxa"/>
            <w:vAlign w:val="center"/>
            <w:hideMark/>
          </w:tcPr>
          <w:p w14:paraId="6E9A6981" w14:textId="77777777" w:rsidR="00E827EA" w:rsidRPr="00DA1046" w:rsidRDefault="00E827EA">
            <w:pPr>
              <w:rPr>
                <w:sz w:val="20"/>
                <w:szCs w:val="20"/>
              </w:rPr>
            </w:pPr>
          </w:p>
        </w:tc>
      </w:tr>
      <w:tr w:rsidR="00DA1046" w:rsidRPr="00DA1046" w14:paraId="36B4C9EA" w14:textId="77777777" w:rsidTr="00E827EA">
        <w:trPr>
          <w:trHeight w:val="380"/>
          <w:jc w:val="center"/>
        </w:trPr>
        <w:tc>
          <w:tcPr>
            <w:tcW w:w="3114" w:type="dxa"/>
            <w:tcBorders>
              <w:top w:val="nil"/>
              <w:left w:val="single" w:sz="4" w:space="0" w:color="auto"/>
              <w:bottom w:val="single" w:sz="4" w:space="0" w:color="auto"/>
              <w:right w:val="single" w:sz="4" w:space="0" w:color="auto"/>
            </w:tcBorders>
            <w:noWrap/>
            <w:vAlign w:val="center"/>
            <w:hideMark/>
          </w:tcPr>
          <w:p w14:paraId="6F5059F4" w14:textId="77777777" w:rsidR="00E827EA" w:rsidRPr="00DA1046" w:rsidRDefault="00E827EA">
            <w:pPr>
              <w:rPr>
                <w:rFonts w:ascii="Calibri" w:hAnsi="Calibri" w:cs="Calibri"/>
                <w:b/>
                <w:bCs/>
                <w:sz w:val="22"/>
                <w:szCs w:val="22"/>
              </w:rPr>
            </w:pPr>
            <w:r w:rsidRPr="00DA1046">
              <w:rPr>
                <w:rFonts w:ascii="Calibri" w:hAnsi="Calibri" w:cs="Calibri"/>
                <w:b/>
                <w:bCs/>
                <w:sz w:val="22"/>
                <w:szCs w:val="22"/>
              </w:rPr>
              <w:t>RASHODI UKUPNO</w:t>
            </w:r>
          </w:p>
        </w:tc>
        <w:tc>
          <w:tcPr>
            <w:tcW w:w="1576" w:type="dxa"/>
            <w:tcBorders>
              <w:top w:val="nil"/>
              <w:left w:val="nil"/>
              <w:bottom w:val="single" w:sz="4" w:space="0" w:color="auto"/>
              <w:right w:val="single" w:sz="4" w:space="0" w:color="auto"/>
            </w:tcBorders>
            <w:noWrap/>
            <w:vAlign w:val="center"/>
            <w:hideMark/>
          </w:tcPr>
          <w:p w14:paraId="7897D761" w14:textId="77777777" w:rsidR="00E827EA" w:rsidRPr="00DA1046" w:rsidRDefault="00E827EA">
            <w:pPr>
              <w:jc w:val="right"/>
              <w:rPr>
                <w:rFonts w:ascii="Calibri" w:hAnsi="Calibri" w:cs="Calibri"/>
                <w:b/>
                <w:bCs/>
                <w:sz w:val="22"/>
                <w:szCs w:val="22"/>
              </w:rPr>
            </w:pPr>
            <w:r w:rsidRPr="00DA1046">
              <w:rPr>
                <w:rFonts w:ascii="Calibri" w:hAnsi="Calibri" w:cs="Calibri"/>
                <w:b/>
                <w:bCs/>
                <w:sz w:val="22"/>
                <w:szCs w:val="22"/>
              </w:rPr>
              <w:t>32.585.237,49</w:t>
            </w:r>
          </w:p>
        </w:tc>
        <w:tc>
          <w:tcPr>
            <w:tcW w:w="1596" w:type="dxa"/>
            <w:tcBorders>
              <w:top w:val="nil"/>
              <w:left w:val="nil"/>
              <w:bottom w:val="single" w:sz="4" w:space="0" w:color="auto"/>
              <w:right w:val="single" w:sz="4" w:space="0" w:color="auto"/>
            </w:tcBorders>
            <w:noWrap/>
            <w:vAlign w:val="center"/>
            <w:hideMark/>
          </w:tcPr>
          <w:p w14:paraId="742E9A3F" w14:textId="77777777" w:rsidR="00E827EA" w:rsidRPr="00DA1046" w:rsidRDefault="00E827EA">
            <w:pPr>
              <w:jc w:val="right"/>
              <w:rPr>
                <w:rFonts w:ascii="Calibri" w:hAnsi="Calibri" w:cs="Calibri"/>
                <w:b/>
                <w:bCs/>
                <w:sz w:val="22"/>
                <w:szCs w:val="22"/>
              </w:rPr>
            </w:pPr>
            <w:r w:rsidRPr="00DA1046">
              <w:rPr>
                <w:rFonts w:ascii="Calibri" w:hAnsi="Calibri" w:cs="Calibri"/>
                <w:b/>
                <w:bCs/>
                <w:sz w:val="22"/>
                <w:szCs w:val="22"/>
              </w:rPr>
              <w:t>35.008.250,00</w:t>
            </w:r>
          </w:p>
        </w:tc>
        <w:tc>
          <w:tcPr>
            <w:tcW w:w="1639" w:type="dxa"/>
            <w:tcBorders>
              <w:top w:val="nil"/>
              <w:left w:val="nil"/>
              <w:bottom w:val="single" w:sz="4" w:space="0" w:color="auto"/>
              <w:right w:val="single" w:sz="4" w:space="0" w:color="auto"/>
            </w:tcBorders>
            <w:noWrap/>
            <w:vAlign w:val="center"/>
            <w:hideMark/>
          </w:tcPr>
          <w:p w14:paraId="3AE06663" w14:textId="77777777" w:rsidR="00E827EA" w:rsidRPr="00DA1046" w:rsidRDefault="00E827EA">
            <w:pPr>
              <w:jc w:val="right"/>
              <w:rPr>
                <w:rFonts w:ascii="Calibri" w:hAnsi="Calibri" w:cs="Calibri"/>
                <w:b/>
                <w:bCs/>
                <w:sz w:val="22"/>
                <w:szCs w:val="22"/>
              </w:rPr>
            </w:pPr>
            <w:r w:rsidRPr="00DA1046">
              <w:rPr>
                <w:rFonts w:ascii="Calibri" w:hAnsi="Calibri" w:cs="Calibri"/>
                <w:b/>
                <w:bCs/>
                <w:sz w:val="22"/>
                <w:szCs w:val="22"/>
              </w:rPr>
              <w:t>34.971.926,64</w:t>
            </w:r>
          </w:p>
        </w:tc>
        <w:tc>
          <w:tcPr>
            <w:tcW w:w="1227" w:type="dxa"/>
            <w:tcBorders>
              <w:top w:val="nil"/>
              <w:left w:val="nil"/>
              <w:bottom w:val="single" w:sz="4" w:space="0" w:color="auto"/>
              <w:right w:val="single" w:sz="4" w:space="0" w:color="auto"/>
            </w:tcBorders>
            <w:noWrap/>
            <w:vAlign w:val="center"/>
            <w:hideMark/>
          </w:tcPr>
          <w:p w14:paraId="4DC4B569" w14:textId="77777777" w:rsidR="00E827EA" w:rsidRPr="00DA1046" w:rsidRDefault="00E827EA">
            <w:pPr>
              <w:jc w:val="center"/>
              <w:rPr>
                <w:rFonts w:ascii="Calibri" w:hAnsi="Calibri" w:cs="Calibri"/>
                <w:sz w:val="22"/>
                <w:szCs w:val="22"/>
              </w:rPr>
            </w:pPr>
            <w:r w:rsidRPr="00DA1046">
              <w:rPr>
                <w:rFonts w:ascii="Calibri" w:hAnsi="Calibri" w:cs="Calibri"/>
                <w:sz w:val="22"/>
                <w:szCs w:val="22"/>
              </w:rPr>
              <w:t>107%</w:t>
            </w:r>
          </w:p>
        </w:tc>
        <w:tc>
          <w:tcPr>
            <w:tcW w:w="1097" w:type="dxa"/>
            <w:tcBorders>
              <w:top w:val="nil"/>
              <w:left w:val="nil"/>
              <w:bottom w:val="single" w:sz="4" w:space="0" w:color="auto"/>
              <w:right w:val="single" w:sz="4" w:space="0" w:color="auto"/>
            </w:tcBorders>
            <w:noWrap/>
            <w:vAlign w:val="center"/>
            <w:hideMark/>
          </w:tcPr>
          <w:p w14:paraId="0E7067FF" w14:textId="77777777" w:rsidR="00E827EA" w:rsidRPr="00DA1046" w:rsidRDefault="00E827EA">
            <w:pPr>
              <w:jc w:val="center"/>
              <w:rPr>
                <w:rFonts w:ascii="Calibri" w:hAnsi="Calibri" w:cs="Calibri"/>
                <w:sz w:val="22"/>
                <w:szCs w:val="22"/>
              </w:rPr>
            </w:pPr>
            <w:r w:rsidRPr="00DA1046">
              <w:rPr>
                <w:rFonts w:ascii="Calibri" w:hAnsi="Calibri" w:cs="Calibri"/>
                <w:sz w:val="22"/>
                <w:szCs w:val="22"/>
              </w:rPr>
              <w:t>100%</w:t>
            </w:r>
          </w:p>
        </w:tc>
        <w:tc>
          <w:tcPr>
            <w:tcW w:w="222" w:type="dxa"/>
            <w:vAlign w:val="center"/>
            <w:hideMark/>
          </w:tcPr>
          <w:p w14:paraId="095255DE" w14:textId="77777777" w:rsidR="00E827EA" w:rsidRPr="00DA1046" w:rsidRDefault="00E827EA">
            <w:pPr>
              <w:rPr>
                <w:sz w:val="20"/>
                <w:szCs w:val="20"/>
              </w:rPr>
            </w:pPr>
          </w:p>
        </w:tc>
      </w:tr>
      <w:tr w:rsidR="00DA1046" w:rsidRPr="00DA1046" w14:paraId="7E10EFF5" w14:textId="77777777" w:rsidTr="00E827EA">
        <w:trPr>
          <w:trHeight w:val="290"/>
          <w:jc w:val="center"/>
        </w:trPr>
        <w:tc>
          <w:tcPr>
            <w:tcW w:w="3114" w:type="dxa"/>
            <w:tcBorders>
              <w:top w:val="nil"/>
              <w:left w:val="single" w:sz="4" w:space="0" w:color="auto"/>
              <w:bottom w:val="single" w:sz="4" w:space="0" w:color="auto"/>
              <w:right w:val="single" w:sz="4" w:space="0" w:color="auto"/>
            </w:tcBorders>
            <w:noWrap/>
            <w:vAlign w:val="bottom"/>
            <w:hideMark/>
          </w:tcPr>
          <w:p w14:paraId="50B2EC8D" w14:textId="77777777" w:rsidR="00E827EA" w:rsidRPr="00DA1046" w:rsidRDefault="00E827EA">
            <w:pPr>
              <w:rPr>
                <w:rFonts w:ascii="Calibri" w:hAnsi="Calibri" w:cs="Calibri"/>
                <w:sz w:val="22"/>
                <w:szCs w:val="22"/>
              </w:rPr>
            </w:pPr>
            <w:r w:rsidRPr="00DA1046">
              <w:rPr>
                <w:rFonts w:ascii="Calibri" w:hAnsi="Calibri" w:cs="Calibri"/>
                <w:sz w:val="22"/>
                <w:szCs w:val="22"/>
              </w:rPr>
              <w:t xml:space="preserve">3 RASHODI POSLOVANJA </w:t>
            </w:r>
          </w:p>
        </w:tc>
        <w:tc>
          <w:tcPr>
            <w:tcW w:w="1576" w:type="dxa"/>
            <w:tcBorders>
              <w:top w:val="nil"/>
              <w:left w:val="nil"/>
              <w:bottom w:val="single" w:sz="4" w:space="0" w:color="auto"/>
              <w:right w:val="single" w:sz="4" w:space="0" w:color="auto"/>
            </w:tcBorders>
            <w:noWrap/>
            <w:vAlign w:val="bottom"/>
            <w:hideMark/>
          </w:tcPr>
          <w:p w14:paraId="7B29AF31" w14:textId="77777777" w:rsidR="00E827EA" w:rsidRPr="00DA1046" w:rsidRDefault="00E827EA">
            <w:pPr>
              <w:jc w:val="right"/>
              <w:rPr>
                <w:rFonts w:ascii="Calibri" w:hAnsi="Calibri" w:cs="Calibri"/>
                <w:sz w:val="22"/>
                <w:szCs w:val="22"/>
              </w:rPr>
            </w:pPr>
            <w:r w:rsidRPr="00DA1046">
              <w:rPr>
                <w:rFonts w:ascii="Calibri" w:hAnsi="Calibri" w:cs="Calibri"/>
                <w:sz w:val="22"/>
                <w:szCs w:val="22"/>
              </w:rPr>
              <w:t>31.866.719,58</w:t>
            </w:r>
          </w:p>
        </w:tc>
        <w:tc>
          <w:tcPr>
            <w:tcW w:w="1596" w:type="dxa"/>
            <w:tcBorders>
              <w:top w:val="nil"/>
              <w:left w:val="nil"/>
              <w:bottom w:val="single" w:sz="4" w:space="0" w:color="auto"/>
              <w:right w:val="single" w:sz="4" w:space="0" w:color="auto"/>
            </w:tcBorders>
            <w:noWrap/>
            <w:vAlign w:val="bottom"/>
            <w:hideMark/>
          </w:tcPr>
          <w:p w14:paraId="0932E011" w14:textId="77777777" w:rsidR="00E827EA" w:rsidRPr="00DA1046" w:rsidRDefault="00E827EA">
            <w:pPr>
              <w:jc w:val="right"/>
              <w:rPr>
                <w:rFonts w:ascii="Calibri" w:hAnsi="Calibri" w:cs="Calibri"/>
                <w:sz w:val="22"/>
                <w:szCs w:val="22"/>
              </w:rPr>
            </w:pPr>
            <w:r w:rsidRPr="00DA1046">
              <w:rPr>
                <w:rFonts w:ascii="Calibri" w:hAnsi="Calibri" w:cs="Calibri"/>
                <w:sz w:val="22"/>
                <w:szCs w:val="22"/>
              </w:rPr>
              <w:t>34.162.769,00</w:t>
            </w:r>
          </w:p>
        </w:tc>
        <w:tc>
          <w:tcPr>
            <w:tcW w:w="1639" w:type="dxa"/>
            <w:tcBorders>
              <w:top w:val="nil"/>
              <w:left w:val="nil"/>
              <w:bottom w:val="single" w:sz="4" w:space="0" w:color="auto"/>
              <w:right w:val="single" w:sz="4" w:space="0" w:color="auto"/>
            </w:tcBorders>
            <w:noWrap/>
            <w:vAlign w:val="bottom"/>
            <w:hideMark/>
          </w:tcPr>
          <w:p w14:paraId="7FCAA9FD" w14:textId="77777777" w:rsidR="00E827EA" w:rsidRPr="00DA1046" w:rsidRDefault="00E827EA">
            <w:pPr>
              <w:jc w:val="right"/>
              <w:rPr>
                <w:rFonts w:ascii="Calibri" w:hAnsi="Calibri" w:cs="Calibri"/>
                <w:sz w:val="22"/>
                <w:szCs w:val="22"/>
              </w:rPr>
            </w:pPr>
            <w:r w:rsidRPr="00DA1046">
              <w:rPr>
                <w:rFonts w:ascii="Calibri" w:hAnsi="Calibri" w:cs="Calibri"/>
                <w:sz w:val="22"/>
                <w:szCs w:val="22"/>
              </w:rPr>
              <w:t>34.200.463,40</w:t>
            </w:r>
          </w:p>
        </w:tc>
        <w:tc>
          <w:tcPr>
            <w:tcW w:w="1227" w:type="dxa"/>
            <w:tcBorders>
              <w:top w:val="nil"/>
              <w:left w:val="nil"/>
              <w:bottom w:val="single" w:sz="4" w:space="0" w:color="auto"/>
              <w:right w:val="single" w:sz="4" w:space="0" w:color="auto"/>
            </w:tcBorders>
            <w:noWrap/>
            <w:vAlign w:val="bottom"/>
            <w:hideMark/>
          </w:tcPr>
          <w:p w14:paraId="1CE8497F" w14:textId="77777777" w:rsidR="00E827EA" w:rsidRPr="00DA1046" w:rsidRDefault="00E827EA">
            <w:pPr>
              <w:jc w:val="center"/>
              <w:rPr>
                <w:rFonts w:ascii="Calibri" w:hAnsi="Calibri" w:cs="Calibri"/>
                <w:sz w:val="22"/>
                <w:szCs w:val="22"/>
              </w:rPr>
            </w:pPr>
            <w:r w:rsidRPr="00DA1046">
              <w:rPr>
                <w:rFonts w:ascii="Calibri" w:hAnsi="Calibri" w:cs="Calibri"/>
                <w:sz w:val="22"/>
                <w:szCs w:val="22"/>
              </w:rPr>
              <w:t>107%</w:t>
            </w:r>
          </w:p>
        </w:tc>
        <w:tc>
          <w:tcPr>
            <w:tcW w:w="1097" w:type="dxa"/>
            <w:tcBorders>
              <w:top w:val="nil"/>
              <w:left w:val="nil"/>
              <w:bottom w:val="single" w:sz="4" w:space="0" w:color="auto"/>
              <w:right w:val="single" w:sz="4" w:space="0" w:color="auto"/>
            </w:tcBorders>
            <w:noWrap/>
            <w:vAlign w:val="center"/>
            <w:hideMark/>
          </w:tcPr>
          <w:p w14:paraId="165846E9" w14:textId="77777777" w:rsidR="00E827EA" w:rsidRPr="00DA1046" w:rsidRDefault="00E827EA">
            <w:pPr>
              <w:jc w:val="center"/>
              <w:rPr>
                <w:rFonts w:ascii="Calibri" w:hAnsi="Calibri" w:cs="Calibri"/>
                <w:sz w:val="22"/>
                <w:szCs w:val="22"/>
              </w:rPr>
            </w:pPr>
            <w:r w:rsidRPr="00DA1046">
              <w:rPr>
                <w:rFonts w:ascii="Calibri" w:hAnsi="Calibri" w:cs="Calibri"/>
                <w:sz w:val="22"/>
                <w:szCs w:val="22"/>
              </w:rPr>
              <w:t>100%</w:t>
            </w:r>
          </w:p>
        </w:tc>
        <w:tc>
          <w:tcPr>
            <w:tcW w:w="222" w:type="dxa"/>
            <w:vAlign w:val="center"/>
            <w:hideMark/>
          </w:tcPr>
          <w:p w14:paraId="53A50DD8" w14:textId="77777777" w:rsidR="00E827EA" w:rsidRPr="00DA1046" w:rsidRDefault="00E827EA">
            <w:pPr>
              <w:rPr>
                <w:sz w:val="20"/>
                <w:szCs w:val="20"/>
              </w:rPr>
            </w:pPr>
          </w:p>
        </w:tc>
      </w:tr>
      <w:tr w:rsidR="00DA1046" w:rsidRPr="00DA1046" w14:paraId="09A249BB" w14:textId="77777777" w:rsidTr="00E827EA">
        <w:trPr>
          <w:trHeight w:val="420"/>
          <w:jc w:val="center"/>
        </w:trPr>
        <w:tc>
          <w:tcPr>
            <w:tcW w:w="3114" w:type="dxa"/>
            <w:tcBorders>
              <w:top w:val="nil"/>
              <w:left w:val="single" w:sz="4" w:space="0" w:color="auto"/>
              <w:bottom w:val="single" w:sz="4" w:space="0" w:color="auto"/>
              <w:right w:val="single" w:sz="4" w:space="0" w:color="auto"/>
            </w:tcBorders>
            <w:vAlign w:val="bottom"/>
            <w:hideMark/>
          </w:tcPr>
          <w:p w14:paraId="6AD277B2" w14:textId="77777777" w:rsidR="00E827EA" w:rsidRPr="00DA1046" w:rsidRDefault="00E827EA">
            <w:pPr>
              <w:rPr>
                <w:rFonts w:ascii="Calibri" w:hAnsi="Calibri" w:cs="Calibri"/>
                <w:sz w:val="22"/>
                <w:szCs w:val="22"/>
              </w:rPr>
            </w:pPr>
            <w:r w:rsidRPr="00DA1046">
              <w:rPr>
                <w:rFonts w:ascii="Calibri" w:hAnsi="Calibri" w:cs="Calibri"/>
                <w:sz w:val="22"/>
                <w:szCs w:val="22"/>
              </w:rPr>
              <w:t>4 RASHODI ZA NEFINANCIJSKU IMOVINU</w:t>
            </w:r>
          </w:p>
        </w:tc>
        <w:tc>
          <w:tcPr>
            <w:tcW w:w="1576" w:type="dxa"/>
            <w:tcBorders>
              <w:top w:val="nil"/>
              <w:left w:val="nil"/>
              <w:bottom w:val="single" w:sz="4" w:space="0" w:color="auto"/>
              <w:right w:val="single" w:sz="4" w:space="0" w:color="auto"/>
            </w:tcBorders>
            <w:noWrap/>
            <w:vAlign w:val="bottom"/>
            <w:hideMark/>
          </w:tcPr>
          <w:p w14:paraId="2746E4DF" w14:textId="77777777" w:rsidR="00E827EA" w:rsidRPr="00DA1046" w:rsidRDefault="00E827EA">
            <w:pPr>
              <w:jc w:val="right"/>
              <w:rPr>
                <w:rFonts w:ascii="Calibri" w:hAnsi="Calibri" w:cs="Calibri"/>
                <w:sz w:val="22"/>
                <w:szCs w:val="22"/>
              </w:rPr>
            </w:pPr>
            <w:r w:rsidRPr="00DA1046">
              <w:rPr>
                <w:rFonts w:ascii="Calibri" w:hAnsi="Calibri" w:cs="Calibri"/>
                <w:sz w:val="22"/>
                <w:szCs w:val="22"/>
              </w:rPr>
              <w:t>718.517,91</w:t>
            </w:r>
          </w:p>
        </w:tc>
        <w:tc>
          <w:tcPr>
            <w:tcW w:w="1596" w:type="dxa"/>
            <w:tcBorders>
              <w:top w:val="nil"/>
              <w:left w:val="nil"/>
              <w:bottom w:val="single" w:sz="4" w:space="0" w:color="auto"/>
              <w:right w:val="single" w:sz="4" w:space="0" w:color="auto"/>
            </w:tcBorders>
            <w:noWrap/>
            <w:vAlign w:val="bottom"/>
            <w:hideMark/>
          </w:tcPr>
          <w:p w14:paraId="65C70691" w14:textId="77777777" w:rsidR="00E827EA" w:rsidRPr="00DA1046" w:rsidRDefault="00E827EA">
            <w:pPr>
              <w:jc w:val="right"/>
              <w:rPr>
                <w:rFonts w:ascii="Calibri" w:hAnsi="Calibri" w:cs="Calibri"/>
                <w:sz w:val="22"/>
                <w:szCs w:val="22"/>
              </w:rPr>
            </w:pPr>
            <w:r w:rsidRPr="00DA1046">
              <w:rPr>
                <w:rFonts w:ascii="Calibri" w:hAnsi="Calibri" w:cs="Calibri"/>
                <w:sz w:val="22"/>
                <w:szCs w:val="22"/>
              </w:rPr>
              <w:t>845.481,00</w:t>
            </w:r>
          </w:p>
        </w:tc>
        <w:tc>
          <w:tcPr>
            <w:tcW w:w="1639" w:type="dxa"/>
            <w:tcBorders>
              <w:top w:val="nil"/>
              <w:left w:val="nil"/>
              <w:bottom w:val="single" w:sz="4" w:space="0" w:color="auto"/>
              <w:right w:val="single" w:sz="4" w:space="0" w:color="auto"/>
            </w:tcBorders>
            <w:noWrap/>
            <w:vAlign w:val="bottom"/>
            <w:hideMark/>
          </w:tcPr>
          <w:p w14:paraId="1F53D46D" w14:textId="77777777" w:rsidR="00E827EA" w:rsidRPr="00DA1046" w:rsidRDefault="00E827EA">
            <w:pPr>
              <w:jc w:val="right"/>
              <w:rPr>
                <w:rFonts w:ascii="Calibri" w:hAnsi="Calibri" w:cs="Calibri"/>
                <w:sz w:val="22"/>
                <w:szCs w:val="22"/>
              </w:rPr>
            </w:pPr>
            <w:r w:rsidRPr="00DA1046">
              <w:rPr>
                <w:rFonts w:ascii="Calibri" w:hAnsi="Calibri" w:cs="Calibri"/>
                <w:sz w:val="22"/>
                <w:szCs w:val="22"/>
              </w:rPr>
              <w:t>771.463,24</w:t>
            </w:r>
          </w:p>
        </w:tc>
        <w:tc>
          <w:tcPr>
            <w:tcW w:w="1227" w:type="dxa"/>
            <w:tcBorders>
              <w:top w:val="nil"/>
              <w:left w:val="nil"/>
              <w:bottom w:val="single" w:sz="4" w:space="0" w:color="auto"/>
              <w:right w:val="single" w:sz="4" w:space="0" w:color="auto"/>
            </w:tcBorders>
            <w:noWrap/>
            <w:vAlign w:val="bottom"/>
            <w:hideMark/>
          </w:tcPr>
          <w:p w14:paraId="6E0914B7" w14:textId="77777777" w:rsidR="00E827EA" w:rsidRPr="00DA1046" w:rsidRDefault="00E827EA">
            <w:pPr>
              <w:jc w:val="center"/>
              <w:rPr>
                <w:rFonts w:ascii="Calibri" w:hAnsi="Calibri" w:cs="Calibri"/>
                <w:sz w:val="22"/>
                <w:szCs w:val="22"/>
              </w:rPr>
            </w:pPr>
            <w:r w:rsidRPr="00DA1046">
              <w:rPr>
                <w:rFonts w:ascii="Calibri" w:hAnsi="Calibri" w:cs="Calibri"/>
                <w:sz w:val="22"/>
                <w:szCs w:val="22"/>
              </w:rPr>
              <w:t>107%</w:t>
            </w:r>
          </w:p>
        </w:tc>
        <w:tc>
          <w:tcPr>
            <w:tcW w:w="1097" w:type="dxa"/>
            <w:tcBorders>
              <w:top w:val="nil"/>
              <w:left w:val="nil"/>
              <w:bottom w:val="single" w:sz="4" w:space="0" w:color="auto"/>
              <w:right w:val="single" w:sz="4" w:space="0" w:color="auto"/>
            </w:tcBorders>
            <w:noWrap/>
            <w:vAlign w:val="center"/>
            <w:hideMark/>
          </w:tcPr>
          <w:p w14:paraId="6D6C9661" w14:textId="77777777" w:rsidR="00E827EA" w:rsidRPr="00DA1046" w:rsidRDefault="00E827EA">
            <w:pPr>
              <w:jc w:val="center"/>
              <w:rPr>
                <w:rFonts w:ascii="Calibri" w:hAnsi="Calibri" w:cs="Calibri"/>
                <w:sz w:val="22"/>
                <w:szCs w:val="22"/>
              </w:rPr>
            </w:pPr>
            <w:r w:rsidRPr="00DA1046">
              <w:rPr>
                <w:rFonts w:ascii="Calibri" w:hAnsi="Calibri" w:cs="Calibri"/>
                <w:sz w:val="22"/>
                <w:szCs w:val="22"/>
              </w:rPr>
              <w:t>91%</w:t>
            </w:r>
          </w:p>
        </w:tc>
        <w:tc>
          <w:tcPr>
            <w:tcW w:w="222" w:type="dxa"/>
            <w:vAlign w:val="center"/>
            <w:hideMark/>
          </w:tcPr>
          <w:p w14:paraId="79D208A3" w14:textId="77777777" w:rsidR="00E827EA" w:rsidRPr="00DA1046" w:rsidRDefault="00E827EA">
            <w:pPr>
              <w:rPr>
                <w:sz w:val="20"/>
                <w:szCs w:val="20"/>
              </w:rPr>
            </w:pPr>
          </w:p>
        </w:tc>
      </w:tr>
      <w:tr w:rsidR="00DA1046" w:rsidRPr="00DA1046" w14:paraId="0EDB6942" w14:textId="77777777" w:rsidTr="00E827EA">
        <w:trPr>
          <w:trHeight w:val="580"/>
          <w:jc w:val="center"/>
        </w:trPr>
        <w:tc>
          <w:tcPr>
            <w:tcW w:w="3114" w:type="dxa"/>
            <w:tcBorders>
              <w:top w:val="nil"/>
              <w:left w:val="single" w:sz="4" w:space="0" w:color="auto"/>
              <w:bottom w:val="single" w:sz="4" w:space="0" w:color="auto"/>
              <w:right w:val="single" w:sz="4" w:space="0" w:color="auto"/>
            </w:tcBorders>
            <w:noWrap/>
            <w:vAlign w:val="center"/>
            <w:hideMark/>
          </w:tcPr>
          <w:p w14:paraId="31F34FCB" w14:textId="77777777" w:rsidR="00E827EA" w:rsidRPr="00DA1046" w:rsidRDefault="00E827EA">
            <w:pPr>
              <w:rPr>
                <w:rFonts w:ascii="Calibri" w:hAnsi="Calibri" w:cs="Calibri"/>
                <w:b/>
                <w:bCs/>
                <w:sz w:val="22"/>
                <w:szCs w:val="22"/>
              </w:rPr>
            </w:pPr>
            <w:r w:rsidRPr="00DA1046">
              <w:rPr>
                <w:rFonts w:ascii="Calibri" w:hAnsi="Calibri" w:cs="Calibri"/>
                <w:b/>
                <w:bCs/>
                <w:sz w:val="22"/>
                <w:szCs w:val="22"/>
              </w:rPr>
              <w:t>RAZLIKA VIŠAK / MANJAK</w:t>
            </w:r>
          </w:p>
        </w:tc>
        <w:tc>
          <w:tcPr>
            <w:tcW w:w="1576" w:type="dxa"/>
            <w:tcBorders>
              <w:top w:val="nil"/>
              <w:left w:val="nil"/>
              <w:bottom w:val="single" w:sz="4" w:space="0" w:color="auto"/>
              <w:right w:val="single" w:sz="4" w:space="0" w:color="auto"/>
            </w:tcBorders>
            <w:noWrap/>
            <w:vAlign w:val="center"/>
            <w:hideMark/>
          </w:tcPr>
          <w:p w14:paraId="5E48F5D0" w14:textId="77777777" w:rsidR="00E827EA" w:rsidRPr="00DA1046" w:rsidRDefault="00E827EA">
            <w:pPr>
              <w:jc w:val="right"/>
              <w:rPr>
                <w:rFonts w:ascii="Calibri" w:hAnsi="Calibri" w:cs="Calibri"/>
                <w:b/>
                <w:bCs/>
                <w:sz w:val="22"/>
                <w:szCs w:val="22"/>
              </w:rPr>
            </w:pPr>
            <w:r w:rsidRPr="00DA1046">
              <w:rPr>
                <w:rFonts w:ascii="Calibri" w:hAnsi="Calibri" w:cs="Calibri"/>
                <w:b/>
                <w:bCs/>
                <w:sz w:val="22"/>
                <w:szCs w:val="22"/>
              </w:rPr>
              <w:t>-1.293.322,23</w:t>
            </w:r>
          </w:p>
        </w:tc>
        <w:tc>
          <w:tcPr>
            <w:tcW w:w="1596" w:type="dxa"/>
            <w:tcBorders>
              <w:top w:val="nil"/>
              <w:left w:val="nil"/>
              <w:bottom w:val="single" w:sz="4" w:space="0" w:color="auto"/>
              <w:right w:val="single" w:sz="4" w:space="0" w:color="auto"/>
            </w:tcBorders>
            <w:noWrap/>
            <w:vAlign w:val="center"/>
            <w:hideMark/>
          </w:tcPr>
          <w:p w14:paraId="300B08F3" w14:textId="77777777" w:rsidR="00E827EA" w:rsidRPr="00DA1046" w:rsidRDefault="00E827EA">
            <w:pPr>
              <w:jc w:val="right"/>
              <w:rPr>
                <w:rFonts w:ascii="Calibri" w:hAnsi="Calibri" w:cs="Calibri"/>
                <w:b/>
                <w:bCs/>
                <w:sz w:val="22"/>
                <w:szCs w:val="22"/>
              </w:rPr>
            </w:pPr>
            <w:r w:rsidRPr="00DA1046">
              <w:rPr>
                <w:rFonts w:ascii="Calibri" w:hAnsi="Calibri" w:cs="Calibri"/>
                <w:b/>
                <w:bCs/>
                <w:sz w:val="22"/>
                <w:szCs w:val="22"/>
              </w:rPr>
              <w:t>160.750,00</w:t>
            </w:r>
          </w:p>
        </w:tc>
        <w:tc>
          <w:tcPr>
            <w:tcW w:w="1639" w:type="dxa"/>
            <w:tcBorders>
              <w:top w:val="nil"/>
              <w:left w:val="nil"/>
              <w:bottom w:val="single" w:sz="4" w:space="0" w:color="auto"/>
              <w:right w:val="single" w:sz="4" w:space="0" w:color="auto"/>
            </w:tcBorders>
            <w:noWrap/>
            <w:vAlign w:val="center"/>
            <w:hideMark/>
          </w:tcPr>
          <w:p w14:paraId="32632AB2" w14:textId="77777777" w:rsidR="00E827EA" w:rsidRPr="00DA1046" w:rsidRDefault="00E827EA">
            <w:pPr>
              <w:jc w:val="right"/>
              <w:rPr>
                <w:rFonts w:ascii="Calibri" w:hAnsi="Calibri" w:cs="Calibri"/>
                <w:b/>
                <w:bCs/>
                <w:sz w:val="22"/>
                <w:szCs w:val="22"/>
              </w:rPr>
            </w:pPr>
            <w:r w:rsidRPr="00DA1046">
              <w:rPr>
                <w:rFonts w:ascii="Calibri" w:hAnsi="Calibri" w:cs="Calibri"/>
                <w:b/>
                <w:bCs/>
                <w:sz w:val="22"/>
                <w:szCs w:val="22"/>
              </w:rPr>
              <w:t>-94.438,07</w:t>
            </w:r>
          </w:p>
        </w:tc>
        <w:tc>
          <w:tcPr>
            <w:tcW w:w="1227" w:type="dxa"/>
            <w:tcBorders>
              <w:top w:val="nil"/>
              <w:left w:val="nil"/>
              <w:bottom w:val="single" w:sz="4" w:space="0" w:color="auto"/>
              <w:right w:val="single" w:sz="4" w:space="0" w:color="auto"/>
            </w:tcBorders>
            <w:noWrap/>
            <w:vAlign w:val="center"/>
            <w:hideMark/>
          </w:tcPr>
          <w:p w14:paraId="2169AF08" w14:textId="77777777" w:rsidR="00E827EA" w:rsidRPr="00DA1046" w:rsidRDefault="00E827EA">
            <w:pPr>
              <w:jc w:val="center"/>
              <w:rPr>
                <w:rFonts w:ascii="Calibri" w:hAnsi="Calibri" w:cs="Calibri"/>
                <w:sz w:val="22"/>
                <w:szCs w:val="22"/>
              </w:rPr>
            </w:pPr>
            <w:r w:rsidRPr="00DA1046">
              <w:rPr>
                <w:rFonts w:ascii="Calibri" w:hAnsi="Calibri" w:cs="Calibri"/>
                <w:sz w:val="22"/>
                <w:szCs w:val="22"/>
              </w:rPr>
              <w:t>7%</w:t>
            </w:r>
          </w:p>
        </w:tc>
        <w:tc>
          <w:tcPr>
            <w:tcW w:w="1097" w:type="dxa"/>
            <w:tcBorders>
              <w:top w:val="nil"/>
              <w:left w:val="nil"/>
              <w:bottom w:val="single" w:sz="4" w:space="0" w:color="auto"/>
              <w:right w:val="single" w:sz="4" w:space="0" w:color="auto"/>
            </w:tcBorders>
            <w:noWrap/>
            <w:vAlign w:val="center"/>
            <w:hideMark/>
          </w:tcPr>
          <w:p w14:paraId="6E6C7A81" w14:textId="77777777" w:rsidR="00E827EA" w:rsidRPr="00DA1046" w:rsidRDefault="00E827EA">
            <w:pPr>
              <w:jc w:val="center"/>
              <w:rPr>
                <w:rFonts w:ascii="Calibri" w:hAnsi="Calibri" w:cs="Calibri"/>
                <w:sz w:val="22"/>
                <w:szCs w:val="22"/>
              </w:rPr>
            </w:pPr>
            <w:r w:rsidRPr="00DA1046">
              <w:rPr>
                <w:rFonts w:ascii="Calibri" w:hAnsi="Calibri" w:cs="Calibri"/>
                <w:sz w:val="22"/>
                <w:szCs w:val="22"/>
              </w:rPr>
              <w:t>-59%</w:t>
            </w:r>
          </w:p>
        </w:tc>
        <w:tc>
          <w:tcPr>
            <w:tcW w:w="222" w:type="dxa"/>
            <w:vAlign w:val="center"/>
            <w:hideMark/>
          </w:tcPr>
          <w:p w14:paraId="52A49455" w14:textId="77777777" w:rsidR="00E827EA" w:rsidRPr="00DA1046" w:rsidRDefault="00E827EA">
            <w:pPr>
              <w:rPr>
                <w:sz w:val="20"/>
                <w:szCs w:val="20"/>
              </w:rPr>
            </w:pPr>
          </w:p>
        </w:tc>
      </w:tr>
      <w:tr w:rsidR="00DA1046" w:rsidRPr="00DA1046" w14:paraId="22EB16CB" w14:textId="77777777" w:rsidTr="00E827EA">
        <w:trPr>
          <w:trHeight w:val="290"/>
          <w:jc w:val="center"/>
        </w:trPr>
        <w:tc>
          <w:tcPr>
            <w:tcW w:w="3114" w:type="dxa"/>
            <w:tcBorders>
              <w:top w:val="nil"/>
              <w:left w:val="nil"/>
              <w:bottom w:val="nil"/>
              <w:right w:val="nil"/>
            </w:tcBorders>
            <w:noWrap/>
            <w:vAlign w:val="bottom"/>
            <w:hideMark/>
          </w:tcPr>
          <w:p w14:paraId="1261BD6E" w14:textId="77777777" w:rsidR="00E827EA" w:rsidRPr="00DA1046" w:rsidRDefault="00E827EA">
            <w:pPr>
              <w:jc w:val="center"/>
              <w:rPr>
                <w:rFonts w:ascii="Calibri" w:hAnsi="Calibri" w:cs="Calibri"/>
                <w:sz w:val="22"/>
                <w:szCs w:val="22"/>
              </w:rPr>
            </w:pPr>
          </w:p>
        </w:tc>
        <w:tc>
          <w:tcPr>
            <w:tcW w:w="1576" w:type="dxa"/>
            <w:tcBorders>
              <w:top w:val="nil"/>
              <w:left w:val="nil"/>
              <w:bottom w:val="nil"/>
              <w:right w:val="nil"/>
            </w:tcBorders>
            <w:noWrap/>
            <w:vAlign w:val="bottom"/>
            <w:hideMark/>
          </w:tcPr>
          <w:p w14:paraId="4AACDE22" w14:textId="77777777" w:rsidR="00E827EA" w:rsidRPr="00DA1046" w:rsidRDefault="00E827EA">
            <w:pPr>
              <w:rPr>
                <w:sz w:val="20"/>
                <w:szCs w:val="20"/>
              </w:rPr>
            </w:pPr>
          </w:p>
        </w:tc>
        <w:tc>
          <w:tcPr>
            <w:tcW w:w="1596" w:type="dxa"/>
            <w:tcBorders>
              <w:top w:val="nil"/>
              <w:left w:val="nil"/>
              <w:bottom w:val="nil"/>
              <w:right w:val="nil"/>
            </w:tcBorders>
            <w:noWrap/>
            <w:vAlign w:val="bottom"/>
            <w:hideMark/>
          </w:tcPr>
          <w:p w14:paraId="64D28887" w14:textId="77777777" w:rsidR="00E827EA" w:rsidRPr="00DA1046" w:rsidRDefault="00E827EA">
            <w:pPr>
              <w:rPr>
                <w:sz w:val="20"/>
                <w:szCs w:val="20"/>
              </w:rPr>
            </w:pPr>
          </w:p>
        </w:tc>
        <w:tc>
          <w:tcPr>
            <w:tcW w:w="1639" w:type="dxa"/>
            <w:tcBorders>
              <w:top w:val="nil"/>
              <w:left w:val="nil"/>
              <w:bottom w:val="nil"/>
              <w:right w:val="nil"/>
            </w:tcBorders>
            <w:noWrap/>
            <w:vAlign w:val="bottom"/>
            <w:hideMark/>
          </w:tcPr>
          <w:p w14:paraId="7BCC9C80" w14:textId="77777777" w:rsidR="00E827EA" w:rsidRPr="00DA1046" w:rsidRDefault="00E827EA">
            <w:pPr>
              <w:rPr>
                <w:sz w:val="20"/>
                <w:szCs w:val="20"/>
              </w:rPr>
            </w:pPr>
          </w:p>
        </w:tc>
        <w:tc>
          <w:tcPr>
            <w:tcW w:w="1227" w:type="dxa"/>
            <w:tcBorders>
              <w:top w:val="nil"/>
              <w:left w:val="nil"/>
              <w:bottom w:val="nil"/>
              <w:right w:val="nil"/>
            </w:tcBorders>
            <w:noWrap/>
            <w:vAlign w:val="bottom"/>
            <w:hideMark/>
          </w:tcPr>
          <w:p w14:paraId="739CC532" w14:textId="77777777" w:rsidR="00E827EA" w:rsidRPr="00DA1046" w:rsidRDefault="00E827EA">
            <w:pPr>
              <w:rPr>
                <w:sz w:val="20"/>
                <w:szCs w:val="20"/>
              </w:rPr>
            </w:pPr>
          </w:p>
        </w:tc>
        <w:tc>
          <w:tcPr>
            <w:tcW w:w="1097" w:type="dxa"/>
            <w:tcBorders>
              <w:top w:val="nil"/>
              <w:left w:val="nil"/>
              <w:bottom w:val="nil"/>
              <w:right w:val="nil"/>
            </w:tcBorders>
            <w:noWrap/>
            <w:vAlign w:val="bottom"/>
            <w:hideMark/>
          </w:tcPr>
          <w:p w14:paraId="6046022D" w14:textId="77777777" w:rsidR="00E827EA" w:rsidRPr="00DA1046" w:rsidRDefault="00E827EA">
            <w:pPr>
              <w:jc w:val="center"/>
              <w:rPr>
                <w:sz w:val="20"/>
                <w:szCs w:val="20"/>
              </w:rPr>
            </w:pPr>
          </w:p>
        </w:tc>
        <w:tc>
          <w:tcPr>
            <w:tcW w:w="222" w:type="dxa"/>
            <w:vAlign w:val="center"/>
            <w:hideMark/>
          </w:tcPr>
          <w:p w14:paraId="78CE71A7" w14:textId="77777777" w:rsidR="00E827EA" w:rsidRPr="00DA1046" w:rsidRDefault="00E827EA">
            <w:pPr>
              <w:rPr>
                <w:sz w:val="20"/>
                <w:szCs w:val="20"/>
              </w:rPr>
            </w:pPr>
          </w:p>
        </w:tc>
      </w:tr>
      <w:tr w:rsidR="00DA1046" w:rsidRPr="00DA1046" w14:paraId="7273C7B4" w14:textId="77777777" w:rsidTr="00E827EA">
        <w:trPr>
          <w:trHeight w:val="200"/>
          <w:jc w:val="center"/>
        </w:trPr>
        <w:tc>
          <w:tcPr>
            <w:tcW w:w="3114" w:type="dxa"/>
            <w:tcBorders>
              <w:top w:val="nil"/>
              <w:left w:val="nil"/>
              <w:bottom w:val="nil"/>
              <w:right w:val="nil"/>
            </w:tcBorders>
            <w:noWrap/>
            <w:vAlign w:val="bottom"/>
            <w:hideMark/>
          </w:tcPr>
          <w:p w14:paraId="2FD63ECB" w14:textId="77777777" w:rsidR="00E827EA" w:rsidRPr="00DA1046" w:rsidRDefault="00E827EA">
            <w:pPr>
              <w:rPr>
                <w:sz w:val="20"/>
                <w:szCs w:val="20"/>
              </w:rPr>
            </w:pPr>
          </w:p>
        </w:tc>
        <w:tc>
          <w:tcPr>
            <w:tcW w:w="1576" w:type="dxa"/>
            <w:tcBorders>
              <w:top w:val="nil"/>
              <w:left w:val="nil"/>
              <w:bottom w:val="nil"/>
              <w:right w:val="nil"/>
            </w:tcBorders>
            <w:noWrap/>
            <w:vAlign w:val="bottom"/>
            <w:hideMark/>
          </w:tcPr>
          <w:p w14:paraId="4933AB71" w14:textId="77777777" w:rsidR="00E827EA" w:rsidRPr="00DA1046" w:rsidRDefault="00E827EA">
            <w:pPr>
              <w:rPr>
                <w:sz w:val="20"/>
                <w:szCs w:val="20"/>
              </w:rPr>
            </w:pPr>
          </w:p>
        </w:tc>
        <w:tc>
          <w:tcPr>
            <w:tcW w:w="1596" w:type="dxa"/>
            <w:tcBorders>
              <w:top w:val="nil"/>
              <w:left w:val="nil"/>
              <w:bottom w:val="nil"/>
              <w:right w:val="nil"/>
            </w:tcBorders>
            <w:noWrap/>
            <w:vAlign w:val="bottom"/>
            <w:hideMark/>
          </w:tcPr>
          <w:p w14:paraId="5E44E2A5" w14:textId="77777777" w:rsidR="00E827EA" w:rsidRPr="00DA1046" w:rsidRDefault="00E827EA">
            <w:pPr>
              <w:rPr>
                <w:sz w:val="20"/>
                <w:szCs w:val="20"/>
              </w:rPr>
            </w:pPr>
          </w:p>
        </w:tc>
        <w:tc>
          <w:tcPr>
            <w:tcW w:w="1639" w:type="dxa"/>
            <w:tcBorders>
              <w:top w:val="nil"/>
              <w:left w:val="nil"/>
              <w:bottom w:val="nil"/>
              <w:right w:val="nil"/>
            </w:tcBorders>
            <w:noWrap/>
            <w:vAlign w:val="bottom"/>
            <w:hideMark/>
          </w:tcPr>
          <w:p w14:paraId="13B7B08E" w14:textId="77777777" w:rsidR="00E827EA" w:rsidRPr="00DA1046" w:rsidRDefault="00E827EA">
            <w:pPr>
              <w:rPr>
                <w:sz w:val="20"/>
                <w:szCs w:val="20"/>
              </w:rPr>
            </w:pPr>
          </w:p>
        </w:tc>
        <w:tc>
          <w:tcPr>
            <w:tcW w:w="1227" w:type="dxa"/>
            <w:tcBorders>
              <w:top w:val="nil"/>
              <w:left w:val="nil"/>
              <w:bottom w:val="nil"/>
              <w:right w:val="nil"/>
            </w:tcBorders>
            <w:noWrap/>
            <w:vAlign w:val="bottom"/>
            <w:hideMark/>
          </w:tcPr>
          <w:p w14:paraId="08FCFE8C" w14:textId="77777777" w:rsidR="00E827EA" w:rsidRPr="00DA1046" w:rsidRDefault="00E827EA">
            <w:pPr>
              <w:rPr>
                <w:sz w:val="20"/>
                <w:szCs w:val="20"/>
              </w:rPr>
            </w:pPr>
          </w:p>
        </w:tc>
        <w:tc>
          <w:tcPr>
            <w:tcW w:w="1097" w:type="dxa"/>
            <w:tcBorders>
              <w:top w:val="nil"/>
              <w:left w:val="nil"/>
              <w:bottom w:val="nil"/>
              <w:right w:val="nil"/>
            </w:tcBorders>
            <w:noWrap/>
            <w:vAlign w:val="bottom"/>
            <w:hideMark/>
          </w:tcPr>
          <w:p w14:paraId="6CBDF4DB" w14:textId="77777777" w:rsidR="00E827EA" w:rsidRPr="00DA1046" w:rsidRDefault="00E827EA">
            <w:pPr>
              <w:jc w:val="center"/>
              <w:rPr>
                <w:sz w:val="20"/>
                <w:szCs w:val="20"/>
              </w:rPr>
            </w:pPr>
          </w:p>
        </w:tc>
        <w:tc>
          <w:tcPr>
            <w:tcW w:w="222" w:type="dxa"/>
            <w:vAlign w:val="center"/>
            <w:hideMark/>
          </w:tcPr>
          <w:p w14:paraId="4E677802" w14:textId="77777777" w:rsidR="00E827EA" w:rsidRPr="00DA1046" w:rsidRDefault="00E827EA">
            <w:pPr>
              <w:rPr>
                <w:sz w:val="20"/>
                <w:szCs w:val="20"/>
              </w:rPr>
            </w:pPr>
          </w:p>
        </w:tc>
      </w:tr>
      <w:tr w:rsidR="00DA1046" w:rsidRPr="00DA1046" w14:paraId="2ABFBFE8" w14:textId="77777777" w:rsidTr="00E827EA">
        <w:trPr>
          <w:trHeight w:val="370"/>
          <w:jc w:val="center"/>
        </w:trPr>
        <w:tc>
          <w:tcPr>
            <w:tcW w:w="10471" w:type="dxa"/>
            <w:gridSpan w:val="7"/>
            <w:tcBorders>
              <w:top w:val="nil"/>
              <w:left w:val="nil"/>
              <w:bottom w:val="nil"/>
            </w:tcBorders>
            <w:noWrap/>
            <w:vAlign w:val="bottom"/>
            <w:hideMark/>
          </w:tcPr>
          <w:p w14:paraId="7DC5DD17" w14:textId="23BE5392" w:rsidR="00E827EA" w:rsidRPr="00DA1046" w:rsidRDefault="00E827EA" w:rsidP="00E827EA">
            <w:pPr>
              <w:jc w:val="center"/>
              <w:rPr>
                <w:sz w:val="20"/>
                <w:szCs w:val="20"/>
              </w:rPr>
            </w:pPr>
            <w:r w:rsidRPr="00DA1046">
              <w:rPr>
                <w:rFonts w:ascii="Calibri" w:hAnsi="Calibri" w:cs="Calibri"/>
              </w:rPr>
              <w:t>Pregled primitaka i izdataka od</w:t>
            </w:r>
            <w:r w:rsidRPr="00DA1046">
              <w:rPr>
                <w:rFonts w:ascii="Calibri" w:hAnsi="Calibri" w:cs="Calibri"/>
                <w:b/>
                <w:bCs/>
              </w:rPr>
              <w:t xml:space="preserve"> zaduživanja</w:t>
            </w:r>
            <w:r w:rsidRPr="00DA1046">
              <w:rPr>
                <w:rFonts w:ascii="Calibri" w:hAnsi="Calibri" w:cs="Calibri"/>
              </w:rPr>
              <w:t xml:space="preserve"> i</w:t>
            </w:r>
            <w:r w:rsidRPr="00DA1046">
              <w:rPr>
                <w:rFonts w:ascii="Calibri" w:hAnsi="Calibri" w:cs="Calibri"/>
                <w:b/>
                <w:bCs/>
              </w:rPr>
              <w:t xml:space="preserve"> otplate kredita</w:t>
            </w:r>
          </w:p>
        </w:tc>
      </w:tr>
      <w:tr w:rsidR="00DA1046" w:rsidRPr="00DA1046" w14:paraId="73517EB3" w14:textId="77777777" w:rsidTr="00E827EA">
        <w:trPr>
          <w:trHeight w:val="50"/>
          <w:jc w:val="center"/>
        </w:trPr>
        <w:tc>
          <w:tcPr>
            <w:tcW w:w="3114" w:type="dxa"/>
            <w:tcBorders>
              <w:top w:val="nil"/>
              <w:left w:val="nil"/>
              <w:bottom w:val="nil"/>
              <w:right w:val="nil"/>
            </w:tcBorders>
            <w:noWrap/>
            <w:vAlign w:val="bottom"/>
            <w:hideMark/>
          </w:tcPr>
          <w:p w14:paraId="1931E733" w14:textId="77777777" w:rsidR="00E827EA" w:rsidRPr="00DA1046" w:rsidRDefault="00E827EA">
            <w:pPr>
              <w:jc w:val="center"/>
              <w:rPr>
                <w:sz w:val="20"/>
                <w:szCs w:val="20"/>
              </w:rPr>
            </w:pPr>
          </w:p>
        </w:tc>
        <w:tc>
          <w:tcPr>
            <w:tcW w:w="1576" w:type="dxa"/>
            <w:tcBorders>
              <w:top w:val="nil"/>
              <w:left w:val="nil"/>
              <w:bottom w:val="nil"/>
              <w:right w:val="nil"/>
            </w:tcBorders>
            <w:noWrap/>
            <w:vAlign w:val="bottom"/>
            <w:hideMark/>
          </w:tcPr>
          <w:p w14:paraId="2A7F40AF" w14:textId="77777777" w:rsidR="00E827EA" w:rsidRPr="00DA1046" w:rsidRDefault="00E827EA">
            <w:pPr>
              <w:rPr>
                <w:sz w:val="20"/>
                <w:szCs w:val="20"/>
              </w:rPr>
            </w:pPr>
          </w:p>
        </w:tc>
        <w:tc>
          <w:tcPr>
            <w:tcW w:w="1596" w:type="dxa"/>
            <w:tcBorders>
              <w:top w:val="nil"/>
              <w:left w:val="nil"/>
              <w:bottom w:val="nil"/>
              <w:right w:val="nil"/>
            </w:tcBorders>
            <w:noWrap/>
            <w:vAlign w:val="bottom"/>
            <w:hideMark/>
          </w:tcPr>
          <w:p w14:paraId="6EE1330B" w14:textId="77777777" w:rsidR="00E827EA" w:rsidRPr="00DA1046" w:rsidRDefault="00E827EA">
            <w:pPr>
              <w:rPr>
                <w:sz w:val="20"/>
                <w:szCs w:val="20"/>
              </w:rPr>
            </w:pPr>
          </w:p>
        </w:tc>
        <w:tc>
          <w:tcPr>
            <w:tcW w:w="1639" w:type="dxa"/>
            <w:tcBorders>
              <w:top w:val="nil"/>
              <w:left w:val="nil"/>
              <w:bottom w:val="nil"/>
              <w:right w:val="nil"/>
            </w:tcBorders>
            <w:noWrap/>
            <w:vAlign w:val="bottom"/>
            <w:hideMark/>
          </w:tcPr>
          <w:p w14:paraId="5070130C" w14:textId="77777777" w:rsidR="00E827EA" w:rsidRPr="00DA1046" w:rsidRDefault="00E827EA">
            <w:pPr>
              <w:rPr>
                <w:sz w:val="20"/>
                <w:szCs w:val="20"/>
              </w:rPr>
            </w:pPr>
          </w:p>
        </w:tc>
        <w:tc>
          <w:tcPr>
            <w:tcW w:w="1227" w:type="dxa"/>
            <w:tcBorders>
              <w:top w:val="nil"/>
              <w:left w:val="nil"/>
              <w:bottom w:val="nil"/>
              <w:right w:val="nil"/>
            </w:tcBorders>
            <w:noWrap/>
            <w:vAlign w:val="bottom"/>
            <w:hideMark/>
          </w:tcPr>
          <w:p w14:paraId="76979C7B" w14:textId="77777777" w:rsidR="00E827EA" w:rsidRPr="00DA1046" w:rsidRDefault="00E827EA">
            <w:pPr>
              <w:rPr>
                <w:sz w:val="20"/>
                <w:szCs w:val="20"/>
              </w:rPr>
            </w:pPr>
          </w:p>
        </w:tc>
        <w:tc>
          <w:tcPr>
            <w:tcW w:w="1097" w:type="dxa"/>
            <w:tcBorders>
              <w:top w:val="nil"/>
              <w:left w:val="nil"/>
              <w:bottom w:val="nil"/>
              <w:right w:val="nil"/>
            </w:tcBorders>
            <w:noWrap/>
            <w:vAlign w:val="bottom"/>
            <w:hideMark/>
          </w:tcPr>
          <w:p w14:paraId="315B14D1" w14:textId="77777777" w:rsidR="00E827EA" w:rsidRPr="00DA1046" w:rsidRDefault="00E827EA">
            <w:pPr>
              <w:jc w:val="center"/>
              <w:rPr>
                <w:sz w:val="20"/>
                <w:szCs w:val="20"/>
              </w:rPr>
            </w:pPr>
          </w:p>
        </w:tc>
        <w:tc>
          <w:tcPr>
            <w:tcW w:w="222" w:type="dxa"/>
            <w:vAlign w:val="center"/>
            <w:hideMark/>
          </w:tcPr>
          <w:p w14:paraId="0E3A72C4" w14:textId="77777777" w:rsidR="00E827EA" w:rsidRPr="00DA1046" w:rsidRDefault="00E827EA">
            <w:pPr>
              <w:rPr>
                <w:sz w:val="20"/>
                <w:szCs w:val="20"/>
              </w:rPr>
            </w:pPr>
          </w:p>
        </w:tc>
      </w:tr>
      <w:tr w:rsidR="00DA1046" w:rsidRPr="00DA1046" w14:paraId="0968CE56" w14:textId="77777777" w:rsidTr="00E827EA">
        <w:trPr>
          <w:trHeight w:val="290"/>
          <w:jc w:val="center"/>
        </w:trPr>
        <w:tc>
          <w:tcPr>
            <w:tcW w:w="3114"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8768D65" w14:textId="77777777" w:rsidR="00E827EA" w:rsidRPr="00DA1046" w:rsidRDefault="00E827EA">
            <w:pPr>
              <w:jc w:val="center"/>
              <w:rPr>
                <w:rFonts w:ascii="Calibri" w:hAnsi="Calibri" w:cs="Calibri"/>
                <w:b/>
                <w:bCs/>
                <w:sz w:val="22"/>
                <w:szCs w:val="22"/>
              </w:rPr>
            </w:pPr>
            <w:r w:rsidRPr="00DA1046">
              <w:rPr>
                <w:rFonts w:ascii="Calibri" w:hAnsi="Calibri" w:cs="Calibri"/>
                <w:b/>
                <w:bCs/>
                <w:sz w:val="22"/>
                <w:szCs w:val="22"/>
              </w:rPr>
              <w:t>RAČUN FINANCIRANJA</w:t>
            </w:r>
          </w:p>
        </w:tc>
        <w:tc>
          <w:tcPr>
            <w:tcW w:w="1576" w:type="dxa"/>
            <w:vMerge w:val="restart"/>
            <w:tcBorders>
              <w:top w:val="single" w:sz="4" w:space="0" w:color="auto"/>
              <w:left w:val="single" w:sz="4" w:space="0" w:color="auto"/>
              <w:bottom w:val="single" w:sz="4" w:space="0" w:color="000000"/>
              <w:right w:val="nil"/>
            </w:tcBorders>
            <w:shd w:val="clear" w:color="000000" w:fill="D9D9D9"/>
            <w:vAlign w:val="center"/>
            <w:hideMark/>
          </w:tcPr>
          <w:p w14:paraId="171B129E" w14:textId="77777777" w:rsidR="00E827EA" w:rsidRPr="00DA1046" w:rsidRDefault="00E827EA">
            <w:pPr>
              <w:jc w:val="center"/>
              <w:rPr>
                <w:rFonts w:ascii="Arial" w:hAnsi="Arial" w:cs="Arial"/>
                <w:b/>
                <w:bCs/>
                <w:sz w:val="20"/>
                <w:szCs w:val="20"/>
              </w:rPr>
            </w:pPr>
            <w:r w:rsidRPr="00DA1046">
              <w:rPr>
                <w:rFonts w:ascii="Arial" w:hAnsi="Arial" w:cs="Arial"/>
                <w:b/>
                <w:bCs/>
                <w:sz w:val="20"/>
                <w:szCs w:val="20"/>
              </w:rPr>
              <w:t>Izvršenje       01.-12.2024.</w:t>
            </w:r>
          </w:p>
        </w:tc>
        <w:tc>
          <w:tcPr>
            <w:tcW w:w="1596"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4A5F059" w14:textId="77777777" w:rsidR="00E827EA" w:rsidRPr="00DA1046" w:rsidRDefault="00E827EA">
            <w:pPr>
              <w:jc w:val="center"/>
              <w:rPr>
                <w:rFonts w:ascii="Arial" w:hAnsi="Arial" w:cs="Arial"/>
                <w:b/>
                <w:bCs/>
                <w:sz w:val="18"/>
                <w:szCs w:val="18"/>
              </w:rPr>
            </w:pPr>
            <w:r w:rsidRPr="00DA1046">
              <w:rPr>
                <w:rFonts w:ascii="Arial" w:hAnsi="Arial" w:cs="Arial"/>
                <w:b/>
                <w:bCs/>
                <w:sz w:val="20"/>
                <w:szCs w:val="20"/>
              </w:rPr>
              <w:t>Financijski plan 2025.</w:t>
            </w:r>
          </w:p>
        </w:tc>
        <w:tc>
          <w:tcPr>
            <w:tcW w:w="163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D023B9B" w14:textId="77777777" w:rsidR="00E827EA" w:rsidRPr="00DA1046" w:rsidRDefault="00E827EA">
            <w:pPr>
              <w:jc w:val="center"/>
              <w:rPr>
                <w:rFonts w:ascii="Arial" w:hAnsi="Arial" w:cs="Arial"/>
                <w:b/>
                <w:bCs/>
                <w:sz w:val="20"/>
                <w:szCs w:val="20"/>
              </w:rPr>
            </w:pPr>
            <w:r w:rsidRPr="00DA1046">
              <w:rPr>
                <w:rFonts w:ascii="Arial" w:hAnsi="Arial" w:cs="Arial"/>
                <w:b/>
                <w:bCs/>
                <w:sz w:val="20"/>
                <w:szCs w:val="20"/>
              </w:rPr>
              <w:t>Izvršenje             01.-12.2025.</w:t>
            </w:r>
          </w:p>
        </w:tc>
        <w:tc>
          <w:tcPr>
            <w:tcW w:w="1227"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09B588C5" w14:textId="77777777" w:rsidR="00E827EA" w:rsidRPr="00DA1046" w:rsidRDefault="00E827EA">
            <w:pPr>
              <w:jc w:val="center"/>
              <w:rPr>
                <w:rFonts w:ascii="Arial" w:hAnsi="Arial" w:cs="Arial"/>
                <w:b/>
                <w:bCs/>
                <w:sz w:val="20"/>
                <w:szCs w:val="20"/>
              </w:rPr>
            </w:pPr>
            <w:r w:rsidRPr="00DA1046">
              <w:rPr>
                <w:rFonts w:ascii="Arial" w:hAnsi="Arial" w:cs="Arial"/>
                <w:b/>
                <w:bCs/>
                <w:sz w:val="20"/>
                <w:szCs w:val="20"/>
              </w:rPr>
              <w:t xml:space="preserve">Indeks     </w:t>
            </w:r>
            <w:r w:rsidRPr="00DA1046">
              <w:rPr>
                <w:rFonts w:ascii="Arial" w:hAnsi="Arial" w:cs="Arial"/>
                <w:b/>
                <w:bCs/>
                <w:sz w:val="18"/>
                <w:szCs w:val="18"/>
              </w:rPr>
              <w:t>(Izvršenje 2025./2024.)</w:t>
            </w:r>
          </w:p>
        </w:tc>
        <w:tc>
          <w:tcPr>
            <w:tcW w:w="1097"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144CB0EE" w14:textId="77777777" w:rsidR="00E827EA" w:rsidRPr="00DA1046" w:rsidRDefault="00E827EA">
            <w:pPr>
              <w:jc w:val="center"/>
              <w:rPr>
                <w:rFonts w:ascii="Arial" w:hAnsi="Arial" w:cs="Arial"/>
                <w:b/>
                <w:bCs/>
                <w:sz w:val="20"/>
                <w:szCs w:val="20"/>
              </w:rPr>
            </w:pPr>
            <w:r w:rsidRPr="00DA1046">
              <w:rPr>
                <w:rFonts w:ascii="Arial" w:hAnsi="Arial" w:cs="Arial"/>
                <w:b/>
                <w:bCs/>
                <w:sz w:val="20"/>
                <w:szCs w:val="20"/>
              </w:rPr>
              <w:t xml:space="preserve">Indeks     </w:t>
            </w:r>
            <w:r w:rsidRPr="00DA1046">
              <w:rPr>
                <w:rFonts w:ascii="Arial" w:hAnsi="Arial" w:cs="Arial"/>
                <w:b/>
                <w:bCs/>
                <w:sz w:val="18"/>
                <w:szCs w:val="18"/>
              </w:rPr>
              <w:t>(Fin. Plan /izvršenje)</w:t>
            </w:r>
          </w:p>
        </w:tc>
        <w:tc>
          <w:tcPr>
            <w:tcW w:w="222" w:type="dxa"/>
            <w:vAlign w:val="center"/>
            <w:hideMark/>
          </w:tcPr>
          <w:p w14:paraId="5D2C5940" w14:textId="77777777" w:rsidR="00E827EA" w:rsidRPr="00DA1046" w:rsidRDefault="00E827EA">
            <w:pPr>
              <w:rPr>
                <w:sz w:val="20"/>
                <w:szCs w:val="20"/>
              </w:rPr>
            </w:pPr>
          </w:p>
        </w:tc>
      </w:tr>
      <w:tr w:rsidR="00DA1046" w:rsidRPr="00DA1046" w14:paraId="5EFC7EA6" w14:textId="77777777" w:rsidTr="00E827EA">
        <w:trPr>
          <w:trHeight w:val="450"/>
          <w:jc w:val="center"/>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14C063CE" w14:textId="77777777" w:rsidR="00E827EA" w:rsidRPr="00DA1046" w:rsidRDefault="00E827EA">
            <w:pPr>
              <w:rPr>
                <w:rFonts w:ascii="Calibri" w:hAnsi="Calibri" w:cs="Calibri"/>
                <w:b/>
                <w:bCs/>
                <w:sz w:val="22"/>
                <w:szCs w:val="22"/>
              </w:rPr>
            </w:pPr>
          </w:p>
        </w:tc>
        <w:tc>
          <w:tcPr>
            <w:tcW w:w="1576" w:type="dxa"/>
            <w:vMerge/>
            <w:tcBorders>
              <w:top w:val="single" w:sz="4" w:space="0" w:color="auto"/>
              <w:left w:val="single" w:sz="4" w:space="0" w:color="auto"/>
              <w:bottom w:val="single" w:sz="4" w:space="0" w:color="000000"/>
              <w:right w:val="nil"/>
            </w:tcBorders>
            <w:vAlign w:val="center"/>
            <w:hideMark/>
          </w:tcPr>
          <w:p w14:paraId="33C18FE8" w14:textId="77777777" w:rsidR="00E827EA" w:rsidRPr="00DA1046" w:rsidRDefault="00E827EA">
            <w:pPr>
              <w:rPr>
                <w:rFonts w:ascii="Arial" w:hAnsi="Arial" w:cs="Arial"/>
                <w:b/>
                <w:bCs/>
                <w:sz w:val="20"/>
                <w:szCs w:val="20"/>
              </w:rPr>
            </w:pPr>
          </w:p>
        </w:tc>
        <w:tc>
          <w:tcPr>
            <w:tcW w:w="1596" w:type="dxa"/>
            <w:vMerge/>
            <w:tcBorders>
              <w:top w:val="single" w:sz="4" w:space="0" w:color="auto"/>
              <w:left w:val="single" w:sz="4" w:space="0" w:color="auto"/>
              <w:bottom w:val="single" w:sz="4" w:space="0" w:color="auto"/>
              <w:right w:val="single" w:sz="4" w:space="0" w:color="auto"/>
            </w:tcBorders>
            <w:vAlign w:val="center"/>
            <w:hideMark/>
          </w:tcPr>
          <w:p w14:paraId="23BA885B" w14:textId="77777777" w:rsidR="00E827EA" w:rsidRPr="00DA1046" w:rsidRDefault="00E827EA">
            <w:pPr>
              <w:rPr>
                <w:rFonts w:ascii="Arial" w:hAnsi="Arial" w:cs="Arial"/>
                <w:b/>
                <w:bCs/>
                <w:sz w:val="18"/>
                <w:szCs w:val="18"/>
              </w:rPr>
            </w:pPr>
          </w:p>
        </w:tc>
        <w:tc>
          <w:tcPr>
            <w:tcW w:w="1639" w:type="dxa"/>
            <w:vMerge/>
            <w:tcBorders>
              <w:top w:val="single" w:sz="4" w:space="0" w:color="auto"/>
              <w:left w:val="single" w:sz="4" w:space="0" w:color="auto"/>
              <w:bottom w:val="single" w:sz="4" w:space="0" w:color="auto"/>
              <w:right w:val="single" w:sz="4" w:space="0" w:color="auto"/>
            </w:tcBorders>
            <w:vAlign w:val="center"/>
            <w:hideMark/>
          </w:tcPr>
          <w:p w14:paraId="460DD311" w14:textId="77777777" w:rsidR="00E827EA" w:rsidRPr="00DA1046" w:rsidRDefault="00E827EA">
            <w:pPr>
              <w:rPr>
                <w:rFonts w:ascii="Arial" w:hAnsi="Arial" w:cs="Arial"/>
                <w:b/>
                <w:bCs/>
                <w:sz w:val="20"/>
                <w:szCs w:val="20"/>
              </w:rPr>
            </w:pPr>
          </w:p>
        </w:tc>
        <w:tc>
          <w:tcPr>
            <w:tcW w:w="1227" w:type="dxa"/>
            <w:vMerge/>
            <w:tcBorders>
              <w:top w:val="single" w:sz="4" w:space="0" w:color="auto"/>
              <w:left w:val="single" w:sz="4" w:space="0" w:color="auto"/>
              <w:bottom w:val="single" w:sz="4" w:space="0" w:color="000000"/>
              <w:right w:val="single" w:sz="4" w:space="0" w:color="auto"/>
            </w:tcBorders>
            <w:vAlign w:val="center"/>
            <w:hideMark/>
          </w:tcPr>
          <w:p w14:paraId="1B66FC02" w14:textId="77777777" w:rsidR="00E827EA" w:rsidRPr="00DA1046" w:rsidRDefault="00E827EA">
            <w:pPr>
              <w:rPr>
                <w:rFonts w:ascii="Arial" w:hAnsi="Arial" w:cs="Arial"/>
                <w:b/>
                <w:bCs/>
                <w:sz w:val="20"/>
                <w:szCs w:val="20"/>
              </w:rPr>
            </w:pPr>
          </w:p>
        </w:tc>
        <w:tc>
          <w:tcPr>
            <w:tcW w:w="1097" w:type="dxa"/>
            <w:vMerge/>
            <w:tcBorders>
              <w:top w:val="single" w:sz="4" w:space="0" w:color="auto"/>
              <w:left w:val="single" w:sz="4" w:space="0" w:color="auto"/>
              <w:bottom w:val="single" w:sz="4" w:space="0" w:color="000000"/>
              <w:right w:val="single" w:sz="4" w:space="0" w:color="auto"/>
            </w:tcBorders>
            <w:vAlign w:val="center"/>
            <w:hideMark/>
          </w:tcPr>
          <w:p w14:paraId="58DEA17B" w14:textId="77777777" w:rsidR="00E827EA" w:rsidRPr="00DA1046" w:rsidRDefault="00E827EA">
            <w:pPr>
              <w:rPr>
                <w:rFonts w:ascii="Arial" w:hAnsi="Arial" w:cs="Arial"/>
                <w:b/>
                <w:bCs/>
                <w:sz w:val="20"/>
                <w:szCs w:val="20"/>
              </w:rPr>
            </w:pPr>
          </w:p>
        </w:tc>
        <w:tc>
          <w:tcPr>
            <w:tcW w:w="222" w:type="dxa"/>
            <w:tcBorders>
              <w:top w:val="nil"/>
              <w:left w:val="nil"/>
              <w:bottom w:val="nil"/>
              <w:right w:val="nil"/>
            </w:tcBorders>
            <w:noWrap/>
            <w:vAlign w:val="bottom"/>
            <w:hideMark/>
          </w:tcPr>
          <w:p w14:paraId="6FE5D3D5" w14:textId="77777777" w:rsidR="00E827EA" w:rsidRPr="00DA1046" w:rsidRDefault="00E827EA">
            <w:pPr>
              <w:jc w:val="center"/>
              <w:rPr>
                <w:rFonts w:ascii="Arial" w:hAnsi="Arial" w:cs="Arial"/>
                <w:b/>
                <w:bCs/>
                <w:sz w:val="20"/>
                <w:szCs w:val="20"/>
              </w:rPr>
            </w:pPr>
          </w:p>
        </w:tc>
      </w:tr>
      <w:tr w:rsidR="00DA1046" w:rsidRPr="00DA1046" w14:paraId="439FCF18" w14:textId="77777777" w:rsidTr="00E827EA">
        <w:trPr>
          <w:trHeight w:val="520"/>
          <w:jc w:val="center"/>
        </w:trPr>
        <w:tc>
          <w:tcPr>
            <w:tcW w:w="3114" w:type="dxa"/>
            <w:tcBorders>
              <w:top w:val="nil"/>
              <w:left w:val="single" w:sz="4" w:space="0" w:color="auto"/>
              <w:bottom w:val="single" w:sz="4" w:space="0" w:color="auto"/>
              <w:right w:val="single" w:sz="4" w:space="0" w:color="auto"/>
            </w:tcBorders>
            <w:vAlign w:val="bottom"/>
            <w:hideMark/>
          </w:tcPr>
          <w:p w14:paraId="17939247" w14:textId="77777777" w:rsidR="00E827EA" w:rsidRPr="00DA1046" w:rsidRDefault="00E827EA">
            <w:pPr>
              <w:rPr>
                <w:rFonts w:ascii="Arial" w:hAnsi="Arial" w:cs="Arial"/>
                <w:sz w:val="20"/>
                <w:szCs w:val="20"/>
              </w:rPr>
            </w:pPr>
            <w:r w:rsidRPr="00DA1046">
              <w:rPr>
                <w:rFonts w:ascii="Arial" w:hAnsi="Arial" w:cs="Arial"/>
                <w:sz w:val="20"/>
                <w:szCs w:val="20"/>
              </w:rPr>
              <w:t>8 Primici od financijske imovine i zaduživanja</w:t>
            </w:r>
          </w:p>
        </w:tc>
        <w:tc>
          <w:tcPr>
            <w:tcW w:w="1576" w:type="dxa"/>
            <w:tcBorders>
              <w:top w:val="nil"/>
              <w:left w:val="nil"/>
              <w:bottom w:val="single" w:sz="4" w:space="0" w:color="auto"/>
              <w:right w:val="single" w:sz="4" w:space="0" w:color="auto"/>
            </w:tcBorders>
            <w:vAlign w:val="center"/>
            <w:hideMark/>
          </w:tcPr>
          <w:p w14:paraId="135F7DD2" w14:textId="77777777" w:rsidR="00E827EA" w:rsidRPr="00DA1046" w:rsidRDefault="00E827EA">
            <w:pPr>
              <w:jc w:val="right"/>
              <w:rPr>
                <w:rFonts w:ascii="Arial" w:hAnsi="Arial" w:cs="Arial"/>
                <w:sz w:val="20"/>
                <w:szCs w:val="20"/>
              </w:rPr>
            </w:pPr>
            <w:r w:rsidRPr="00DA1046">
              <w:rPr>
                <w:rFonts w:ascii="Arial" w:hAnsi="Arial" w:cs="Arial"/>
                <w:sz w:val="20"/>
                <w:szCs w:val="20"/>
              </w:rPr>
              <w:t>0,00</w:t>
            </w:r>
          </w:p>
        </w:tc>
        <w:tc>
          <w:tcPr>
            <w:tcW w:w="1596" w:type="dxa"/>
            <w:tcBorders>
              <w:top w:val="nil"/>
              <w:left w:val="nil"/>
              <w:bottom w:val="single" w:sz="4" w:space="0" w:color="auto"/>
              <w:right w:val="single" w:sz="4" w:space="0" w:color="auto"/>
            </w:tcBorders>
            <w:noWrap/>
            <w:vAlign w:val="center"/>
            <w:hideMark/>
          </w:tcPr>
          <w:p w14:paraId="516A9477" w14:textId="77777777" w:rsidR="00E827EA" w:rsidRPr="00DA1046" w:rsidRDefault="00E827EA">
            <w:pPr>
              <w:jc w:val="right"/>
              <w:rPr>
                <w:rFonts w:ascii="Arial" w:hAnsi="Arial" w:cs="Arial"/>
                <w:sz w:val="20"/>
                <w:szCs w:val="20"/>
              </w:rPr>
            </w:pPr>
            <w:r w:rsidRPr="00DA1046">
              <w:rPr>
                <w:rFonts w:ascii="Arial" w:hAnsi="Arial" w:cs="Arial"/>
                <w:sz w:val="20"/>
                <w:szCs w:val="20"/>
              </w:rPr>
              <w:t>0,00</w:t>
            </w:r>
          </w:p>
        </w:tc>
        <w:tc>
          <w:tcPr>
            <w:tcW w:w="1639" w:type="dxa"/>
            <w:tcBorders>
              <w:top w:val="nil"/>
              <w:left w:val="nil"/>
              <w:bottom w:val="single" w:sz="4" w:space="0" w:color="auto"/>
              <w:right w:val="single" w:sz="4" w:space="0" w:color="auto"/>
            </w:tcBorders>
            <w:noWrap/>
            <w:vAlign w:val="center"/>
            <w:hideMark/>
          </w:tcPr>
          <w:p w14:paraId="00CE7565" w14:textId="77777777" w:rsidR="00E827EA" w:rsidRPr="00DA1046" w:rsidRDefault="00E827EA">
            <w:pPr>
              <w:jc w:val="right"/>
              <w:rPr>
                <w:rFonts w:ascii="Arial" w:hAnsi="Arial" w:cs="Arial"/>
                <w:sz w:val="20"/>
                <w:szCs w:val="20"/>
              </w:rPr>
            </w:pPr>
            <w:r w:rsidRPr="00DA1046">
              <w:rPr>
                <w:rFonts w:ascii="Arial" w:hAnsi="Arial" w:cs="Arial"/>
                <w:sz w:val="20"/>
                <w:szCs w:val="20"/>
              </w:rPr>
              <w:t>0,00</w:t>
            </w:r>
          </w:p>
        </w:tc>
        <w:tc>
          <w:tcPr>
            <w:tcW w:w="1227" w:type="dxa"/>
            <w:tcBorders>
              <w:top w:val="nil"/>
              <w:left w:val="nil"/>
              <w:bottom w:val="single" w:sz="4" w:space="0" w:color="auto"/>
              <w:right w:val="single" w:sz="4" w:space="0" w:color="auto"/>
            </w:tcBorders>
            <w:noWrap/>
            <w:vAlign w:val="center"/>
            <w:hideMark/>
          </w:tcPr>
          <w:p w14:paraId="0B7A6735" w14:textId="77777777" w:rsidR="00E827EA" w:rsidRPr="00DA1046" w:rsidRDefault="00E827EA">
            <w:pPr>
              <w:jc w:val="center"/>
              <w:rPr>
                <w:rFonts w:ascii="Arial" w:hAnsi="Arial" w:cs="Arial"/>
                <w:sz w:val="20"/>
                <w:szCs w:val="20"/>
              </w:rPr>
            </w:pPr>
            <w:r w:rsidRPr="00DA1046">
              <w:rPr>
                <w:rFonts w:ascii="Arial" w:hAnsi="Arial" w:cs="Arial"/>
                <w:sz w:val="20"/>
                <w:szCs w:val="20"/>
              </w:rPr>
              <w:t> </w:t>
            </w:r>
          </w:p>
        </w:tc>
        <w:tc>
          <w:tcPr>
            <w:tcW w:w="1097" w:type="dxa"/>
            <w:tcBorders>
              <w:top w:val="nil"/>
              <w:left w:val="nil"/>
              <w:bottom w:val="single" w:sz="4" w:space="0" w:color="auto"/>
              <w:right w:val="single" w:sz="4" w:space="0" w:color="auto"/>
            </w:tcBorders>
            <w:noWrap/>
            <w:vAlign w:val="center"/>
            <w:hideMark/>
          </w:tcPr>
          <w:p w14:paraId="71D6029E" w14:textId="77777777" w:rsidR="00E827EA" w:rsidRPr="00DA1046" w:rsidRDefault="00E827EA">
            <w:pPr>
              <w:rPr>
                <w:rFonts w:ascii="Arial" w:hAnsi="Arial" w:cs="Arial"/>
                <w:sz w:val="20"/>
                <w:szCs w:val="20"/>
              </w:rPr>
            </w:pPr>
            <w:r w:rsidRPr="00DA1046">
              <w:rPr>
                <w:rFonts w:ascii="Arial" w:hAnsi="Arial" w:cs="Arial"/>
                <w:sz w:val="20"/>
                <w:szCs w:val="20"/>
              </w:rPr>
              <w:t> </w:t>
            </w:r>
          </w:p>
        </w:tc>
        <w:tc>
          <w:tcPr>
            <w:tcW w:w="222" w:type="dxa"/>
            <w:vAlign w:val="center"/>
            <w:hideMark/>
          </w:tcPr>
          <w:p w14:paraId="3A2F4CBD" w14:textId="77777777" w:rsidR="00E827EA" w:rsidRPr="00DA1046" w:rsidRDefault="00E827EA">
            <w:pPr>
              <w:rPr>
                <w:sz w:val="20"/>
                <w:szCs w:val="20"/>
              </w:rPr>
            </w:pPr>
          </w:p>
        </w:tc>
      </w:tr>
      <w:tr w:rsidR="00DA1046" w:rsidRPr="00DA1046" w14:paraId="5B25BB01" w14:textId="77777777" w:rsidTr="00E827EA">
        <w:trPr>
          <w:trHeight w:val="520"/>
          <w:jc w:val="center"/>
        </w:trPr>
        <w:tc>
          <w:tcPr>
            <w:tcW w:w="3114" w:type="dxa"/>
            <w:tcBorders>
              <w:top w:val="nil"/>
              <w:left w:val="single" w:sz="4" w:space="0" w:color="auto"/>
              <w:bottom w:val="single" w:sz="4" w:space="0" w:color="auto"/>
              <w:right w:val="single" w:sz="4" w:space="0" w:color="auto"/>
            </w:tcBorders>
            <w:vAlign w:val="bottom"/>
            <w:hideMark/>
          </w:tcPr>
          <w:p w14:paraId="64D89CCA" w14:textId="77777777" w:rsidR="00E827EA" w:rsidRPr="00DA1046" w:rsidRDefault="00E827EA">
            <w:pPr>
              <w:rPr>
                <w:rFonts w:ascii="Arial" w:hAnsi="Arial" w:cs="Arial"/>
                <w:sz w:val="20"/>
                <w:szCs w:val="20"/>
              </w:rPr>
            </w:pPr>
            <w:r w:rsidRPr="00DA1046">
              <w:rPr>
                <w:rFonts w:ascii="Arial" w:hAnsi="Arial" w:cs="Arial"/>
                <w:sz w:val="20"/>
                <w:szCs w:val="20"/>
              </w:rPr>
              <w:t>5 Izdaci za financijsku imovinu i otplate kredita</w:t>
            </w:r>
          </w:p>
        </w:tc>
        <w:tc>
          <w:tcPr>
            <w:tcW w:w="1576" w:type="dxa"/>
            <w:tcBorders>
              <w:top w:val="nil"/>
              <w:left w:val="nil"/>
              <w:bottom w:val="single" w:sz="4" w:space="0" w:color="auto"/>
              <w:right w:val="single" w:sz="4" w:space="0" w:color="auto"/>
            </w:tcBorders>
            <w:vAlign w:val="center"/>
            <w:hideMark/>
          </w:tcPr>
          <w:p w14:paraId="6503DFC0" w14:textId="77777777" w:rsidR="00E827EA" w:rsidRPr="00DA1046" w:rsidRDefault="00E827EA">
            <w:pPr>
              <w:jc w:val="right"/>
              <w:rPr>
                <w:rFonts w:ascii="Arial" w:hAnsi="Arial" w:cs="Arial"/>
                <w:sz w:val="20"/>
                <w:szCs w:val="20"/>
              </w:rPr>
            </w:pPr>
            <w:r w:rsidRPr="00DA1046">
              <w:rPr>
                <w:rFonts w:ascii="Arial" w:hAnsi="Arial" w:cs="Arial"/>
                <w:sz w:val="20"/>
                <w:szCs w:val="20"/>
              </w:rPr>
              <w:t>153.683,53</w:t>
            </w:r>
          </w:p>
        </w:tc>
        <w:tc>
          <w:tcPr>
            <w:tcW w:w="1596" w:type="dxa"/>
            <w:tcBorders>
              <w:top w:val="nil"/>
              <w:left w:val="nil"/>
              <w:bottom w:val="single" w:sz="4" w:space="0" w:color="auto"/>
              <w:right w:val="single" w:sz="4" w:space="0" w:color="auto"/>
            </w:tcBorders>
            <w:noWrap/>
            <w:vAlign w:val="center"/>
            <w:hideMark/>
          </w:tcPr>
          <w:p w14:paraId="60ABB7F1" w14:textId="77777777" w:rsidR="00E827EA" w:rsidRPr="00DA1046" w:rsidRDefault="00E827EA">
            <w:pPr>
              <w:jc w:val="right"/>
              <w:rPr>
                <w:rFonts w:ascii="Arial" w:hAnsi="Arial" w:cs="Arial"/>
                <w:sz w:val="20"/>
                <w:szCs w:val="20"/>
              </w:rPr>
            </w:pPr>
            <w:r w:rsidRPr="00DA1046">
              <w:rPr>
                <w:rFonts w:ascii="Arial" w:hAnsi="Arial" w:cs="Arial"/>
                <w:sz w:val="20"/>
                <w:szCs w:val="20"/>
              </w:rPr>
              <w:t>153.550,00</w:t>
            </w:r>
          </w:p>
        </w:tc>
        <w:tc>
          <w:tcPr>
            <w:tcW w:w="1639" w:type="dxa"/>
            <w:tcBorders>
              <w:top w:val="nil"/>
              <w:left w:val="nil"/>
              <w:bottom w:val="single" w:sz="4" w:space="0" w:color="auto"/>
              <w:right w:val="single" w:sz="4" w:space="0" w:color="auto"/>
            </w:tcBorders>
            <w:noWrap/>
            <w:vAlign w:val="center"/>
            <w:hideMark/>
          </w:tcPr>
          <w:p w14:paraId="36BC87AC" w14:textId="77777777" w:rsidR="00E827EA" w:rsidRPr="00DA1046" w:rsidRDefault="00E827EA">
            <w:pPr>
              <w:jc w:val="right"/>
              <w:rPr>
                <w:rFonts w:ascii="Arial" w:hAnsi="Arial" w:cs="Arial"/>
                <w:sz w:val="20"/>
                <w:szCs w:val="20"/>
              </w:rPr>
            </w:pPr>
            <w:r w:rsidRPr="00DA1046">
              <w:rPr>
                <w:rFonts w:ascii="Arial" w:hAnsi="Arial" w:cs="Arial"/>
                <w:sz w:val="20"/>
                <w:szCs w:val="20"/>
              </w:rPr>
              <w:t>153.533,63</w:t>
            </w:r>
          </w:p>
        </w:tc>
        <w:tc>
          <w:tcPr>
            <w:tcW w:w="1227" w:type="dxa"/>
            <w:tcBorders>
              <w:top w:val="nil"/>
              <w:left w:val="nil"/>
              <w:bottom w:val="single" w:sz="4" w:space="0" w:color="auto"/>
              <w:right w:val="single" w:sz="4" w:space="0" w:color="auto"/>
            </w:tcBorders>
            <w:noWrap/>
            <w:vAlign w:val="center"/>
            <w:hideMark/>
          </w:tcPr>
          <w:p w14:paraId="79AD9345" w14:textId="77777777" w:rsidR="00E827EA" w:rsidRPr="00DA1046" w:rsidRDefault="00E827EA">
            <w:pPr>
              <w:jc w:val="center"/>
              <w:rPr>
                <w:rFonts w:ascii="Arial" w:hAnsi="Arial" w:cs="Arial"/>
                <w:sz w:val="20"/>
                <w:szCs w:val="20"/>
              </w:rPr>
            </w:pPr>
            <w:r w:rsidRPr="00DA1046">
              <w:rPr>
                <w:rFonts w:ascii="Arial" w:hAnsi="Arial" w:cs="Arial"/>
                <w:sz w:val="20"/>
                <w:szCs w:val="20"/>
              </w:rPr>
              <w:t>100%</w:t>
            </w:r>
          </w:p>
        </w:tc>
        <w:tc>
          <w:tcPr>
            <w:tcW w:w="1097" w:type="dxa"/>
            <w:tcBorders>
              <w:top w:val="nil"/>
              <w:left w:val="nil"/>
              <w:bottom w:val="single" w:sz="4" w:space="0" w:color="auto"/>
              <w:right w:val="single" w:sz="4" w:space="0" w:color="auto"/>
            </w:tcBorders>
            <w:noWrap/>
            <w:vAlign w:val="center"/>
            <w:hideMark/>
          </w:tcPr>
          <w:p w14:paraId="12F7AA57" w14:textId="77777777" w:rsidR="00E827EA" w:rsidRPr="00DA1046" w:rsidRDefault="00E827EA">
            <w:pPr>
              <w:jc w:val="center"/>
              <w:rPr>
                <w:rFonts w:ascii="Arial" w:hAnsi="Arial" w:cs="Arial"/>
                <w:sz w:val="20"/>
                <w:szCs w:val="20"/>
              </w:rPr>
            </w:pPr>
            <w:r w:rsidRPr="00DA1046">
              <w:rPr>
                <w:rFonts w:ascii="Arial" w:hAnsi="Arial" w:cs="Arial"/>
                <w:sz w:val="20"/>
                <w:szCs w:val="20"/>
              </w:rPr>
              <w:t>100%</w:t>
            </w:r>
          </w:p>
        </w:tc>
        <w:tc>
          <w:tcPr>
            <w:tcW w:w="222" w:type="dxa"/>
            <w:vAlign w:val="center"/>
            <w:hideMark/>
          </w:tcPr>
          <w:p w14:paraId="424E9137" w14:textId="77777777" w:rsidR="00E827EA" w:rsidRPr="00DA1046" w:rsidRDefault="00E827EA">
            <w:pPr>
              <w:rPr>
                <w:sz w:val="20"/>
                <w:szCs w:val="20"/>
              </w:rPr>
            </w:pPr>
          </w:p>
        </w:tc>
      </w:tr>
      <w:tr w:rsidR="00DA1046" w:rsidRPr="00DA1046" w14:paraId="218DA33C" w14:textId="77777777" w:rsidTr="00E827EA">
        <w:trPr>
          <w:trHeight w:val="500"/>
          <w:jc w:val="center"/>
        </w:trPr>
        <w:tc>
          <w:tcPr>
            <w:tcW w:w="3114" w:type="dxa"/>
            <w:tcBorders>
              <w:top w:val="nil"/>
              <w:left w:val="single" w:sz="4" w:space="0" w:color="auto"/>
              <w:bottom w:val="single" w:sz="4" w:space="0" w:color="auto"/>
              <w:right w:val="single" w:sz="4" w:space="0" w:color="auto"/>
            </w:tcBorders>
            <w:noWrap/>
            <w:vAlign w:val="center"/>
            <w:hideMark/>
          </w:tcPr>
          <w:p w14:paraId="5183EEE7" w14:textId="77777777" w:rsidR="00E827EA" w:rsidRPr="00DA1046" w:rsidRDefault="00E827EA">
            <w:pPr>
              <w:rPr>
                <w:rFonts w:ascii="Arial" w:hAnsi="Arial" w:cs="Arial"/>
                <w:b/>
                <w:bCs/>
                <w:sz w:val="20"/>
                <w:szCs w:val="20"/>
              </w:rPr>
            </w:pPr>
            <w:r w:rsidRPr="00DA1046">
              <w:rPr>
                <w:rFonts w:ascii="Arial" w:hAnsi="Arial" w:cs="Arial"/>
                <w:b/>
                <w:bCs/>
                <w:sz w:val="20"/>
                <w:szCs w:val="20"/>
              </w:rPr>
              <w:t>Neto financiranje</w:t>
            </w:r>
          </w:p>
        </w:tc>
        <w:tc>
          <w:tcPr>
            <w:tcW w:w="1576" w:type="dxa"/>
            <w:tcBorders>
              <w:top w:val="nil"/>
              <w:left w:val="nil"/>
              <w:bottom w:val="single" w:sz="4" w:space="0" w:color="auto"/>
              <w:right w:val="single" w:sz="4" w:space="0" w:color="auto"/>
            </w:tcBorders>
            <w:vAlign w:val="center"/>
            <w:hideMark/>
          </w:tcPr>
          <w:p w14:paraId="4D70F014" w14:textId="77777777" w:rsidR="00E827EA" w:rsidRPr="00DA1046" w:rsidRDefault="00E827EA">
            <w:pPr>
              <w:jc w:val="right"/>
              <w:rPr>
                <w:rFonts w:ascii="Arial" w:hAnsi="Arial" w:cs="Arial"/>
                <w:b/>
                <w:bCs/>
                <w:sz w:val="20"/>
                <w:szCs w:val="20"/>
              </w:rPr>
            </w:pPr>
            <w:r w:rsidRPr="00DA1046">
              <w:rPr>
                <w:rFonts w:ascii="Arial" w:hAnsi="Arial" w:cs="Arial"/>
                <w:b/>
                <w:bCs/>
                <w:sz w:val="20"/>
                <w:szCs w:val="20"/>
              </w:rPr>
              <w:t>-153.683,53</w:t>
            </w:r>
          </w:p>
        </w:tc>
        <w:tc>
          <w:tcPr>
            <w:tcW w:w="1596" w:type="dxa"/>
            <w:tcBorders>
              <w:top w:val="nil"/>
              <w:left w:val="nil"/>
              <w:bottom w:val="single" w:sz="4" w:space="0" w:color="auto"/>
              <w:right w:val="single" w:sz="4" w:space="0" w:color="auto"/>
            </w:tcBorders>
            <w:vAlign w:val="center"/>
            <w:hideMark/>
          </w:tcPr>
          <w:p w14:paraId="00B71925" w14:textId="77777777" w:rsidR="00E827EA" w:rsidRPr="00DA1046" w:rsidRDefault="00E827EA">
            <w:pPr>
              <w:jc w:val="right"/>
              <w:rPr>
                <w:rFonts w:ascii="Arial" w:hAnsi="Arial" w:cs="Arial"/>
                <w:b/>
                <w:bCs/>
                <w:sz w:val="20"/>
                <w:szCs w:val="20"/>
              </w:rPr>
            </w:pPr>
            <w:r w:rsidRPr="00DA1046">
              <w:rPr>
                <w:rFonts w:ascii="Arial" w:hAnsi="Arial" w:cs="Arial"/>
                <w:b/>
                <w:bCs/>
                <w:sz w:val="20"/>
                <w:szCs w:val="20"/>
              </w:rPr>
              <w:t>-153.550,00</w:t>
            </w:r>
          </w:p>
        </w:tc>
        <w:tc>
          <w:tcPr>
            <w:tcW w:w="1639" w:type="dxa"/>
            <w:tcBorders>
              <w:top w:val="nil"/>
              <w:left w:val="nil"/>
              <w:bottom w:val="single" w:sz="4" w:space="0" w:color="auto"/>
              <w:right w:val="single" w:sz="4" w:space="0" w:color="auto"/>
            </w:tcBorders>
            <w:vAlign w:val="center"/>
            <w:hideMark/>
          </w:tcPr>
          <w:p w14:paraId="0B4C46CF" w14:textId="77777777" w:rsidR="00E827EA" w:rsidRPr="00DA1046" w:rsidRDefault="00E827EA">
            <w:pPr>
              <w:jc w:val="right"/>
              <w:rPr>
                <w:rFonts w:ascii="Arial" w:hAnsi="Arial" w:cs="Arial"/>
                <w:b/>
                <w:bCs/>
                <w:sz w:val="20"/>
                <w:szCs w:val="20"/>
              </w:rPr>
            </w:pPr>
            <w:r w:rsidRPr="00DA1046">
              <w:rPr>
                <w:rFonts w:ascii="Arial" w:hAnsi="Arial" w:cs="Arial"/>
                <w:b/>
                <w:bCs/>
                <w:sz w:val="20"/>
                <w:szCs w:val="20"/>
              </w:rPr>
              <w:t>-153.533,63</w:t>
            </w:r>
          </w:p>
        </w:tc>
        <w:tc>
          <w:tcPr>
            <w:tcW w:w="1227" w:type="dxa"/>
            <w:tcBorders>
              <w:top w:val="nil"/>
              <w:left w:val="nil"/>
              <w:bottom w:val="single" w:sz="4" w:space="0" w:color="auto"/>
              <w:right w:val="single" w:sz="4" w:space="0" w:color="auto"/>
            </w:tcBorders>
            <w:vAlign w:val="center"/>
            <w:hideMark/>
          </w:tcPr>
          <w:p w14:paraId="084526AE" w14:textId="77777777" w:rsidR="00E827EA" w:rsidRPr="00DA1046" w:rsidRDefault="00E827EA">
            <w:pPr>
              <w:jc w:val="center"/>
              <w:rPr>
                <w:rFonts w:ascii="Arial" w:hAnsi="Arial" w:cs="Arial"/>
                <w:sz w:val="20"/>
                <w:szCs w:val="20"/>
              </w:rPr>
            </w:pPr>
            <w:r w:rsidRPr="00DA1046">
              <w:rPr>
                <w:rFonts w:ascii="Arial" w:hAnsi="Arial" w:cs="Arial"/>
                <w:sz w:val="20"/>
                <w:szCs w:val="20"/>
              </w:rPr>
              <w:t>100%</w:t>
            </w:r>
          </w:p>
        </w:tc>
        <w:tc>
          <w:tcPr>
            <w:tcW w:w="1097" w:type="dxa"/>
            <w:tcBorders>
              <w:top w:val="nil"/>
              <w:left w:val="nil"/>
              <w:bottom w:val="single" w:sz="4" w:space="0" w:color="auto"/>
              <w:right w:val="single" w:sz="4" w:space="0" w:color="auto"/>
            </w:tcBorders>
            <w:noWrap/>
            <w:vAlign w:val="center"/>
            <w:hideMark/>
          </w:tcPr>
          <w:p w14:paraId="5FE99805" w14:textId="77777777" w:rsidR="00E827EA" w:rsidRPr="00DA1046" w:rsidRDefault="00E827EA">
            <w:pPr>
              <w:jc w:val="center"/>
              <w:rPr>
                <w:rFonts w:ascii="Arial" w:hAnsi="Arial" w:cs="Arial"/>
                <w:sz w:val="20"/>
                <w:szCs w:val="20"/>
              </w:rPr>
            </w:pPr>
            <w:r w:rsidRPr="00DA1046">
              <w:rPr>
                <w:rFonts w:ascii="Arial" w:hAnsi="Arial" w:cs="Arial"/>
                <w:sz w:val="20"/>
                <w:szCs w:val="20"/>
              </w:rPr>
              <w:t>100%</w:t>
            </w:r>
          </w:p>
        </w:tc>
        <w:tc>
          <w:tcPr>
            <w:tcW w:w="222" w:type="dxa"/>
            <w:vAlign w:val="center"/>
            <w:hideMark/>
          </w:tcPr>
          <w:p w14:paraId="1F79DFDB" w14:textId="77777777" w:rsidR="00E827EA" w:rsidRPr="00DA1046" w:rsidRDefault="00E827EA">
            <w:pPr>
              <w:rPr>
                <w:sz w:val="20"/>
                <w:szCs w:val="20"/>
              </w:rPr>
            </w:pPr>
          </w:p>
        </w:tc>
      </w:tr>
      <w:tr w:rsidR="00DA1046" w:rsidRPr="00DA1046" w14:paraId="60AFC2B2" w14:textId="77777777" w:rsidTr="00E827EA">
        <w:trPr>
          <w:trHeight w:val="290"/>
          <w:jc w:val="center"/>
        </w:trPr>
        <w:tc>
          <w:tcPr>
            <w:tcW w:w="3114" w:type="dxa"/>
            <w:tcBorders>
              <w:top w:val="nil"/>
              <w:left w:val="nil"/>
              <w:bottom w:val="nil"/>
              <w:right w:val="nil"/>
            </w:tcBorders>
            <w:noWrap/>
            <w:vAlign w:val="bottom"/>
            <w:hideMark/>
          </w:tcPr>
          <w:p w14:paraId="51BC03FF" w14:textId="77777777" w:rsidR="00E827EA" w:rsidRPr="00DA1046" w:rsidRDefault="00E827EA">
            <w:pPr>
              <w:jc w:val="center"/>
              <w:rPr>
                <w:rFonts w:ascii="Arial" w:hAnsi="Arial" w:cs="Arial"/>
                <w:sz w:val="20"/>
                <w:szCs w:val="20"/>
              </w:rPr>
            </w:pPr>
          </w:p>
        </w:tc>
        <w:tc>
          <w:tcPr>
            <w:tcW w:w="1576" w:type="dxa"/>
            <w:tcBorders>
              <w:top w:val="nil"/>
              <w:left w:val="nil"/>
              <w:bottom w:val="nil"/>
              <w:right w:val="nil"/>
            </w:tcBorders>
            <w:noWrap/>
            <w:vAlign w:val="bottom"/>
            <w:hideMark/>
          </w:tcPr>
          <w:p w14:paraId="34F22741" w14:textId="77777777" w:rsidR="00E827EA" w:rsidRPr="00DA1046" w:rsidRDefault="00E827EA">
            <w:pPr>
              <w:rPr>
                <w:sz w:val="20"/>
                <w:szCs w:val="20"/>
              </w:rPr>
            </w:pPr>
          </w:p>
        </w:tc>
        <w:tc>
          <w:tcPr>
            <w:tcW w:w="1596" w:type="dxa"/>
            <w:tcBorders>
              <w:top w:val="nil"/>
              <w:left w:val="nil"/>
              <w:bottom w:val="nil"/>
              <w:right w:val="nil"/>
            </w:tcBorders>
            <w:noWrap/>
            <w:vAlign w:val="bottom"/>
            <w:hideMark/>
          </w:tcPr>
          <w:p w14:paraId="48D8A561" w14:textId="77777777" w:rsidR="00E827EA" w:rsidRPr="00DA1046" w:rsidRDefault="00E827EA">
            <w:pPr>
              <w:rPr>
                <w:sz w:val="20"/>
                <w:szCs w:val="20"/>
              </w:rPr>
            </w:pPr>
          </w:p>
        </w:tc>
        <w:tc>
          <w:tcPr>
            <w:tcW w:w="1639" w:type="dxa"/>
            <w:tcBorders>
              <w:top w:val="nil"/>
              <w:left w:val="nil"/>
              <w:bottom w:val="nil"/>
              <w:right w:val="nil"/>
            </w:tcBorders>
            <w:noWrap/>
            <w:vAlign w:val="bottom"/>
            <w:hideMark/>
          </w:tcPr>
          <w:p w14:paraId="3A4D5FFE" w14:textId="77777777" w:rsidR="00E827EA" w:rsidRPr="00DA1046" w:rsidRDefault="00E827EA">
            <w:pPr>
              <w:rPr>
                <w:sz w:val="20"/>
                <w:szCs w:val="20"/>
              </w:rPr>
            </w:pPr>
          </w:p>
        </w:tc>
        <w:tc>
          <w:tcPr>
            <w:tcW w:w="1227" w:type="dxa"/>
            <w:tcBorders>
              <w:top w:val="nil"/>
              <w:left w:val="nil"/>
              <w:bottom w:val="nil"/>
              <w:right w:val="nil"/>
            </w:tcBorders>
            <w:noWrap/>
            <w:vAlign w:val="bottom"/>
            <w:hideMark/>
          </w:tcPr>
          <w:p w14:paraId="45686060" w14:textId="77777777" w:rsidR="00E827EA" w:rsidRPr="00DA1046" w:rsidRDefault="00E827EA">
            <w:pPr>
              <w:rPr>
                <w:sz w:val="20"/>
                <w:szCs w:val="20"/>
              </w:rPr>
            </w:pPr>
          </w:p>
        </w:tc>
        <w:tc>
          <w:tcPr>
            <w:tcW w:w="1097" w:type="dxa"/>
            <w:tcBorders>
              <w:top w:val="nil"/>
              <w:left w:val="nil"/>
              <w:bottom w:val="nil"/>
              <w:right w:val="nil"/>
            </w:tcBorders>
            <w:noWrap/>
            <w:vAlign w:val="bottom"/>
            <w:hideMark/>
          </w:tcPr>
          <w:p w14:paraId="50461931" w14:textId="77777777" w:rsidR="00E827EA" w:rsidRPr="00DA1046" w:rsidRDefault="00E827EA">
            <w:pPr>
              <w:rPr>
                <w:sz w:val="20"/>
                <w:szCs w:val="20"/>
              </w:rPr>
            </w:pPr>
          </w:p>
        </w:tc>
        <w:tc>
          <w:tcPr>
            <w:tcW w:w="222" w:type="dxa"/>
            <w:vAlign w:val="center"/>
            <w:hideMark/>
          </w:tcPr>
          <w:p w14:paraId="2C41503B" w14:textId="77777777" w:rsidR="00E827EA" w:rsidRPr="00DA1046" w:rsidRDefault="00E827EA">
            <w:pPr>
              <w:rPr>
                <w:sz w:val="20"/>
                <w:szCs w:val="20"/>
              </w:rPr>
            </w:pPr>
          </w:p>
        </w:tc>
      </w:tr>
      <w:tr w:rsidR="00DA1046" w:rsidRPr="00DA1046" w14:paraId="01E16F9C" w14:textId="77777777" w:rsidTr="00E827EA">
        <w:trPr>
          <w:trHeight w:val="410"/>
          <w:jc w:val="center"/>
        </w:trPr>
        <w:tc>
          <w:tcPr>
            <w:tcW w:w="3114" w:type="dxa"/>
            <w:tcBorders>
              <w:top w:val="nil"/>
              <w:left w:val="nil"/>
              <w:bottom w:val="nil"/>
              <w:right w:val="nil"/>
            </w:tcBorders>
            <w:noWrap/>
            <w:vAlign w:val="bottom"/>
            <w:hideMark/>
          </w:tcPr>
          <w:p w14:paraId="51CD09A5" w14:textId="77777777" w:rsidR="00E827EA" w:rsidRPr="00DA1046" w:rsidRDefault="00E827EA">
            <w:pPr>
              <w:rPr>
                <w:sz w:val="20"/>
                <w:szCs w:val="20"/>
              </w:rPr>
            </w:pPr>
          </w:p>
        </w:tc>
        <w:tc>
          <w:tcPr>
            <w:tcW w:w="1576" w:type="dxa"/>
            <w:tcBorders>
              <w:top w:val="nil"/>
              <w:left w:val="nil"/>
              <w:bottom w:val="nil"/>
              <w:right w:val="nil"/>
            </w:tcBorders>
            <w:noWrap/>
            <w:vAlign w:val="bottom"/>
            <w:hideMark/>
          </w:tcPr>
          <w:p w14:paraId="41F7D6C2" w14:textId="77777777" w:rsidR="00E827EA" w:rsidRPr="00DA1046" w:rsidRDefault="00E827EA">
            <w:pPr>
              <w:rPr>
                <w:sz w:val="20"/>
                <w:szCs w:val="20"/>
              </w:rPr>
            </w:pPr>
          </w:p>
        </w:tc>
        <w:tc>
          <w:tcPr>
            <w:tcW w:w="1596" w:type="dxa"/>
            <w:tcBorders>
              <w:top w:val="nil"/>
              <w:left w:val="nil"/>
              <w:bottom w:val="nil"/>
              <w:right w:val="nil"/>
            </w:tcBorders>
            <w:noWrap/>
            <w:vAlign w:val="bottom"/>
            <w:hideMark/>
          </w:tcPr>
          <w:p w14:paraId="5BF6A5D2" w14:textId="77777777" w:rsidR="00E827EA" w:rsidRPr="00DA1046" w:rsidRDefault="00E827EA">
            <w:pPr>
              <w:rPr>
                <w:sz w:val="20"/>
                <w:szCs w:val="20"/>
              </w:rPr>
            </w:pPr>
          </w:p>
        </w:tc>
        <w:tc>
          <w:tcPr>
            <w:tcW w:w="1639" w:type="dxa"/>
            <w:tcBorders>
              <w:top w:val="nil"/>
              <w:left w:val="nil"/>
              <w:bottom w:val="nil"/>
              <w:right w:val="nil"/>
            </w:tcBorders>
            <w:noWrap/>
            <w:vAlign w:val="bottom"/>
            <w:hideMark/>
          </w:tcPr>
          <w:p w14:paraId="20443EDC" w14:textId="77777777" w:rsidR="00E827EA" w:rsidRPr="00DA1046" w:rsidRDefault="00E827EA">
            <w:pPr>
              <w:rPr>
                <w:sz w:val="20"/>
                <w:szCs w:val="20"/>
              </w:rPr>
            </w:pPr>
          </w:p>
        </w:tc>
        <w:tc>
          <w:tcPr>
            <w:tcW w:w="1227" w:type="dxa"/>
            <w:tcBorders>
              <w:top w:val="nil"/>
              <w:left w:val="nil"/>
              <w:bottom w:val="nil"/>
              <w:right w:val="nil"/>
            </w:tcBorders>
            <w:noWrap/>
            <w:vAlign w:val="bottom"/>
            <w:hideMark/>
          </w:tcPr>
          <w:p w14:paraId="752C4207" w14:textId="77777777" w:rsidR="00E827EA" w:rsidRPr="00DA1046" w:rsidRDefault="00E827EA">
            <w:pPr>
              <w:rPr>
                <w:sz w:val="20"/>
                <w:szCs w:val="20"/>
              </w:rPr>
            </w:pPr>
          </w:p>
        </w:tc>
        <w:tc>
          <w:tcPr>
            <w:tcW w:w="1097" w:type="dxa"/>
            <w:tcBorders>
              <w:top w:val="nil"/>
              <w:left w:val="nil"/>
              <w:bottom w:val="nil"/>
              <w:right w:val="nil"/>
            </w:tcBorders>
            <w:noWrap/>
            <w:vAlign w:val="bottom"/>
            <w:hideMark/>
          </w:tcPr>
          <w:p w14:paraId="3DEE0B04" w14:textId="77777777" w:rsidR="00E827EA" w:rsidRPr="00DA1046" w:rsidRDefault="00E827EA">
            <w:pPr>
              <w:rPr>
                <w:sz w:val="20"/>
                <w:szCs w:val="20"/>
              </w:rPr>
            </w:pPr>
          </w:p>
        </w:tc>
        <w:tc>
          <w:tcPr>
            <w:tcW w:w="222" w:type="dxa"/>
            <w:vAlign w:val="center"/>
            <w:hideMark/>
          </w:tcPr>
          <w:p w14:paraId="702977AF" w14:textId="77777777" w:rsidR="00E827EA" w:rsidRPr="00DA1046" w:rsidRDefault="00E827EA">
            <w:pPr>
              <w:rPr>
                <w:sz w:val="20"/>
                <w:szCs w:val="20"/>
              </w:rPr>
            </w:pPr>
          </w:p>
        </w:tc>
      </w:tr>
      <w:tr w:rsidR="00DA1046" w:rsidRPr="00DA1046" w14:paraId="6143C3A6" w14:textId="77777777" w:rsidTr="00E827EA">
        <w:trPr>
          <w:trHeight w:val="290"/>
          <w:jc w:val="center"/>
        </w:trPr>
        <w:tc>
          <w:tcPr>
            <w:tcW w:w="3114"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083710A" w14:textId="77777777" w:rsidR="00E827EA" w:rsidRPr="00DA1046" w:rsidRDefault="00E827EA">
            <w:pPr>
              <w:jc w:val="center"/>
              <w:rPr>
                <w:rFonts w:ascii="Calibri" w:hAnsi="Calibri" w:cs="Calibri"/>
                <w:b/>
                <w:bCs/>
                <w:sz w:val="22"/>
                <w:szCs w:val="22"/>
              </w:rPr>
            </w:pPr>
            <w:r w:rsidRPr="00DA1046">
              <w:rPr>
                <w:rFonts w:ascii="Calibri" w:hAnsi="Calibri" w:cs="Calibri"/>
                <w:b/>
                <w:bCs/>
                <w:sz w:val="22"/>
                <w:szCs w:val="22"/>
              </w:rPr>
              <w:t>ODNOS / DONOS</w:t>
            </w:r>
          </w:p>
        </w:tc>
        <w:tc>
          <w:tcPr>
            <w:tcW w:w="1576" w:type="dxa"/>
            <w:vMerge w:val="restart"/>
            <w:tcBorders>
              <w:top w:val="single" w:sz="4" w:space="0" w:color="auto"/>
              <w:left w:val="single" w:sz="4" w:space="0" w:color="auto"/>
              <w:bottom w:val="single" w:sz="4" w:space="0" w:color="000000"/>
              <w:right w:val="nil"/>
            </w:tcBorders>
            <w:shd w:val="clear" w:color="000000" w:fill="D9D9D9"/>
            <w:vAlign w:val="center"/>
            <w:hideMark/>
          </w:tcPr>
          <w:p w14:paraId="0D945D69" w14:textId="77777777" w:rsidR="00E827EA" w:rsidRPr="00DA1046" w:rsidRDefault="00E827EA">
            <w:pPr>
              <w:jc w:val="center"/>
              <w:rPr>
                <w:rFonts w:ascii="Arial" w:hAnsi="Arial" w:cs="Arial"/>
                <w:b/>
                <w:bCs/>
                <w:sz w:val="20"/>
                <w:szCs w:val="20"/>
              </w:rPr>
            </w:pPr>
            <w:r w:rsidRPr="00DA1046">
              <w:rPr>
                <w:rFonts w:ascii="Arial" w:hAnsi="Arial" w:cs="Arial"/>
                <w:b/>
                <w:bCs/>
                <w:sz w:val="20"/>
                <w:szCs w:val="20"/>
              </w:rPr>
              <w:t>Izvršenje       01.-12.2024.</w:t>
            </w:r>
          </w:p>
        </w:tc>
        <w:tc>
          <w:tcPr>
            <w:tcW w:w="1596"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FD04849" w14:textId="77777777" w:rsidR="00E827EA" w:rsidRPr="00DA1046" w:rsidRDefault="00E827EA">
            <w:pPr>
              <w:jc w:val="center"/>
              <w:rPr>
                <w:rFonts w:ascii="Arial" w:hAnsi="Arial" w:cs="Arial"/>
                <w:b/>
                <w:bCs/>
                <w:sz w:val="18"/>
                <w:szCs w:val="18"/>
              </w:rPr>
            </w:pPr>
            <w:r w:rsidRPr="00DA1046">
              <w:rPr>
                <w:rFonts w:ascii="Arial" w:hAnsi="Arial" w:cs="Arial"/>
                <w:b/>
                <w:bCs/>
                <w:sz w:val="20"/>
                <w:szCs w:val="20"/>
              </w:rPr>
              <w:t>Financijski plan 2025.</w:t>
            </w:r>
          </w:p>
        </w:tc>
        <w:tc>
          <w:tcPr>
            <w:tcW w:w="163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471C268" w14:textId="77777777" w:rsidR="00E827EA" w:rsidRPr="00DA1046" w:rsidRDefault="00E827EA">
            <w:pPr>
              <w:jc w:val="center"/>
              <w:rPr>
                <w:rFonts w:ascii="Arial" w:hAnsi="Arial" w:cs="Arial"/>
                <w:b/>
                <w:bCs/>
                <w:sz w:val="20"/>
                <w:szCs w:val="20"/>
              </w:rPr>
            </w:pPr>
            <w:r w:rsidRPr="00DA1046">
              <w:rPr>
                <w:rFonts w:ascii="Arial" w:hAnsi="Arial" w:cs="Arial"/>
                <w:b/>
                <w:bCs/>
                <w:sz w:val="20"/>
                <w:szCs w:val="20"/>
              </w:rPr>
              <w:t>Izvršenje             01.-12.2025.</w:t>
            </w:r>
          </w:p>
        </w:tc>
        <w:tc>
          <w:tcPr>
            <w:tcW w:w="1227" w:type="dxa"/>
            <w:vMerge w:val="restart"/>
            <w:tcBorders>
              <w:top w:val="nil"/>
              <w:left w:val="nil"/>
              <w:bottom w:val="nil"/>
              <w:right w:val="nil"/>
            </w:tcBorders>
            <w:vAlign w:val="center"/>
            <w:hideMark/>
          </w:tcPr>
          <w:p w14:paraId="5B3BD7DC" w14:textId="77777777" w:rsidR="00E827EA" w:rsidRPr="00DA1046" w:rsidRDefault="00E827EA">
            <w:pPr>
              <w:jc w:val="center"/>
              <w:rPr>
                <w:rFonts w:ascii="Arial" w:hAnsi="Arial" w:cs="Arial"/>
                <w:b/>
                <w:bCs/>
                <w:sz w:val="20"/>
                <w:szCs w:val="20"/>
              </w:rPr>
            </w:pPr>
          </w:p>
        </w:tc>
        <w:tc>
          <w:tcPr>
            <w:tcW w:w="1097" w:type="dxa"/>
            <w:vMerge w:val="restart"/>
            <w:tcBorders>
              <w:top w:val="nil"/>
              <w:left w:val="nil"/>
              <w:bottom w:val="nil"/>
              <w:right w:val="nil"/>
            </w:tcBorders>
            <w:vAlign w:val="center"/>
            <w:hideMark/>
          </w:tcPr>
          <w:p w14:paraId="21D50916" w14:textId="77777777" w:rsidR="00E827EA" w:rsidRPr="00DA1046" w:rsidRDefault="00E827EA">
            <w:pPr>
              <w:jc w:val="center"/>
              <w:rPr>
                <w:sz w:val="20"/>
                <w:szCs w:val="20"/>
              </w:rPr>
            </w:pPr>
          </w:p>
        </w:tc>
        <w:tc>
          <w:tcPr>
            <w:tcW w:w="222" w:type="dxa"/>
            <w:vAlign w:val="center"/>
            <w:hideMark/>
          </w:tcPr>
          <w:p w14:paraId="04CA55A1" w14:textId="77777777" w:rsidR="00E827EA" w:rsidRPr="00DA1046" w:rsidRDefault="00E827EA">
            <w:pPr>
              <w:rPr>
                <w:sz w:val="20"/>
                <w:szCs w:val="20"/>
              </w:rPr>
            </w:pPr>
          </w:p>
        </w:tc>
      </w:tr>
      <w:tr w:rsidR="00DA1046" w:rsidRPr="00DA1046" w14:paraId="0356066B" w14:textId="77777777" w:rsidTr="00E827EA">
        <w:trPr>
          <w:trHeight w:val="410"/>
          <w:jc w:val="center"/>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7FB5A00D" w14:textId="77777777" w:rsidR="00E827EA" w:rsidRPr="00DA1046" w:rsidRDefault="00E827EA">
            <w:pPr>
              <w:rPr>
                <w:rFonts w:ascii="Calibri" w:hAnsi="Calibri" w:cs="Calibri"/>
                <w:b/>
                <w:bCs/>
                <w:sz w:val="22"/>
                <w:szCs w:val="22"/>
              </w:rPr>
            </w:pPr>
          </w:p>
        </w:tc>
        <w:tc>
          <w:tcPr>
            <w:tcW w:w="1576" w:type="dxa"/>
            <w:vMerge/>
            <w:tcBorders>
              <w:top w:val="single" w:sz="4" w:space="0" w:color="auto"/>
              <w:left w:val="single" w:sz="4" w:space="0" w:color="auto"/>
              <w:bottom w:val="single" w:sz="4" w:space="0" w:color="000000"/>
              <w:right w:val="nil"/>
            </w:tcBorders>
            <w:vAlign w:val="center"/>
            <w:hideMark/>
          </w:tcPr>
          <w:p w14:paraId="75CA1060" w14:textId="77777777" w:rsidR="00E827EA" w:rsidRPr="00DA1046" w:rsidRDefault="00E827EA">
            <w:pPr>
              <w:rPr>
                <w:rFonts w:ascii="Arial" w:hAnsi="Arial" w:cs="Arial"/>
                <w:b/>
                <w:bCs/>
                <w:sz w:val="20"/>
                <w:szCs w:val="20"/>
              </w:rPr>
            </w:pPr>
          </w:p>
        </w:tc>
        <w:tc>
          <w:tcPr>
            <w:tcW w:w="1596" w:type="dxa"/>
            <w:vMerge/>
            <w:tcBorders>
              <w:top w:val="single" w:sz="4" w:space="0" w:color="auto"/>
              <w:left w:val="single" w:sz="4" w:space="0" w:color="auto"/>
              <w:bottom w:val="single" w:sz="4" w:space="0" w:color="auto"/>
              <w:right w:val="single" w:sz="4" w:space="0" w:color="auto"/>
            </w:tcBorders>
            <w:vAlign w:val="center"/>
            <w:hideMark/>
          </w:tcPr>
          <w:p w14:paraId="63E3243D" w14:textId="77777777" w:rsidR="00E827EA" w:rsidRPr="00DA1046" w:rsidRDefault="00E827EA">
            <w:pPr>
              <w:rPr>
                <w:rFonts w:ascii="Arial" w:hAnsi="Arial" w:cs="Arial"/>
                <w:b/>
                <w:bCs/>
                <w:sz w:val="18"/>
                <w:szCs w:val="18"/>
              </w:rPr>
            </w:pPr>
          </w:p>
        </w:tc>
        <w:tc>
          <w:tcPr>
            <w:tcW w:w="1639" w:type="dxa"/>
            <w:vMerge/>
            <w:tcBorders>
              <w:top w:val="single" w:sz="4" w:space="0" w:color="auto"/>
              <w:left w:val="single" w:sz="4" w:space="0" w:color="auto"/>
              <w:bottom w:val="single" w:sz="4" w:space="0" w:color="auto"/>
              <w:right w:val="single" w:sz="4" w:space="0" w:color="auto"/>
            </w:tcBorders>
            <w:vAlign w:val="center"/>
            <w:hideMark/>
          </w:tcPr>
          <w:p w14:paraId="1BF2319F" w14:textId="77777777" w:rsidR="00E827EA" w:rsidRPr="00DA1046" w:rsidRDefault="00E827EA">
            <w:pPr>
              <w:rPr>
                <w:rFonts w:ascii="Arial" w:hAnsi="Arial" w:cs="Arial"/>
                <w:b/>
                <w:bCs/>
                <w:sz w:val="20"/>
                <w:szCs w:val="20"/>
              </w:rPr>
            </w:pPr>
          </w:p>
        </w:tc>
        <w:tc>
          <w:tcPr>
            <w:tcW w:w="1227" w:type="dxa"/>
            <w:vMerge/>
            <w:tcBorders>
              <w:top w:val="nil"/>
              <w:left w:val="nil"/>
              <w:bottom w:val="nil"/>
              <w:right w:val="nil"/>
            </w:tcBorders>
            <w:vAlign w:val="center"/>
            <w:hideMark/>
          </w:tcPr>
          <w:p w14:paraId="35666519" w14:textId="77777777" w:rsidR="00E827EA" w:rsidRPr="00DA1046" w:rsidRDefault="00E827EA">
            <w:pPr>
              <w:rPr>
                <w:rFonts w:ascii="Arial" w:hAnsi="Arial" w:cs="Arial"/>
                <w:b/>
                <w:bCs/>
                <w:sz w:val="20"/>
                <w:szCs w:val="20"/>
              </w:rPr>
            </w:pPr>
          </w:p>
        </w:tc>
        <w:tc>
          <w:tcPr>
            <w:tcW w:w="1097" w:type="dxa"/>
            <w:vMerge/>
            <w:tcBorders>
              <w:top w:val="nil"/>
              <w:left w:val="nil"/>
              <w:bottom w:val="nil"/>
              <w:right w:val="nil"/>
            </w:tcBorders>
            <w:vAlign w:val="center"/>
            <w:hideMark/>
          </w:tcPr>
          <w:p w14:paraId="34413CBC" w14:textId="77777777" w:rsidR="00E827EA" w:rsidRPr="00DA1046" w:rsidRDefault="00E827EA">
            <w:pPr>
              <w:rPr>
                <w:sz w:val="20"/>
                <w:szCs w:val="20"/>
              </w:rPr>
            </w:pPr>
          </w:p>
        </w:tc>
        <w:tc>
          <w:tcPr>
            <w:tcW w:w="222" w:type="dxa"/>
            <w:tcBorders>
              <w:top w:val="nil"/>
              <w:left w:val="nil"/>
              <w:bottom w:val="nil"/>
              <w:right w:val="nil"/>
            </w:tcBorders>
            <w:noWrap/>
            <w:vAlign w:val="bottom"/>
            <w:hideMark/>
          </w:tcPr>
          <w:p w14:paraId="45C3CB2B" w14:textId="77777777" w:rsidR="00E827EA" w:rsidRPr="00DA1046" w:rsidRDefault="00E827EA">
            <w:pPr>
              <w:jc w:val="center"/>
              <w:rPr>
                <w:sz w:val="20"/>
                <w:szCs w:val="20"/>
              </w:rPr>
            </w:pPr>
          </w:p>
        </w:tc>
      </w:tr>
      <w:tr w:rsidR="00DA1046" w:rsidRPr="00DA1046" w14:paraId="696B4F6C" w14:textId="77777777" w:rsidTr="00E827EA">
        <w:trPr>
          <w:trHeight w:val="520"/>
          <w:jc w:val="center"/>
        </w:trPr>
        <w:tc>
          <w:tcPr>
            <w:tcW w:w="3114" w:type="dxa"/>
            <w:tcBorders>
              <w:top w:val="nil"/>
              <w:left w:val="single" w:sz="4" w:space="0" w:color="auto"/>
              <w:bottom w:val="single" w:sz="4" w:space="0" w:color="auto"/>
              <w:right w:val="single" w:sz="4" w:space="0" w:color="auto"/>
            </w:tcBorders>
            <w:vAlign w:val="bottom"/>
            <w:hideMark/>
          </w:tcPr>
          <w:p w14:paraId="1640E987" w14:textId="13F1753A" w:rsidR="00E827EA" w:rsidRPr="00DA1046" w:rsidRDefault="00E827EA">
            <w:pPr>
              <w:rPr>
                <w:rFonts w:ascii="Arial" w:hAnsi="Arial" w:cs="Arial"/>
                <w:sz w:val="20"/>
                <w:szCs w:val="20"/>
              </w:rPr>
            </w:pPr>
            <w:r w:rsidRPr="00DA1046">
              <w:rPr>
                <w:rFonts w:ascii="Arial" w:hAnsi="Arial" w:cs="Arial"/>
                <w:sz w:val="20"/>
                <w:szCs w:val="20"/>
              </w:rPr>
              <w:t>Ukupan donos viška/manjka prihoda iz 2023.</w:t>
            </w:r>
            <w:r w:rsidR="00184F72">
              <w:rPr>
                <w:rFonts w:ascii="Arial" w:hAnsi="Arial" w:cs="Arial"/>
                <w:sz w:val="20"/>
                <w:szCs w:val="20"/>
              </w:rPr>
              <w:t>/2024.</w:t>
            </w:r>
            <w:r w:rsidRPr="00DA1046">
              <w:rPr>
                <w:rFonts w:ascii="Arial" w:hAnsi="Arial" w:cs="Arial"/>
                <w:sz w:val="20"/>
                <w:szCs w:val="20"/>
              </w:rPr>
              <w:t xml:space="preserve"> godine</w:t>
            </w:r>
          </w:p>
        </w:tc>
        <w:tc>
          <w:tcPr>
            <w:tcW w:w="1576" w:type="dxa"/>
            <w:tcBorders>
              <w:top w:val="nil"/>
              <w:left w:val="nil"/>
              <w:bottom w:val="single" w:sz="4" w:space="0" w:color="auto"/>
              <w:right w:val="single" w:sz="4" w:space="0" w:color="auto"/>
            </w:tcBorders>
            <w:vAlign w:val="center"/>
            <w:hideMark/>
          </w:tcPr>
          <w:p w14:paraId="534B8B6D" w14:textId="77777777" w:rsidR="00E827EA" w:rsidRPr="00DA1046" w:rsidRDefault="00E827EA">
            <w:pPr>
              <w:jc w:val="right"/>
              <w:rPr>
                <w:rFonts w:ascii="Arial" w:hAnsi="Arial" w:cs="Arial"/>
                <w:sz w:val="20"/>
                <w:szCs w:val="20"/>
              </w:rPr>
            </w:pPr>
            <w:r w:rsidRPr="00DA1046">
              <w:rPr>
                <w:rFonts w:ascii="Arial" w:hAnsi="Arial" w:cs="Arial"/>
                <w:sz w:val="20"/>
                <w:szCs w:val="20"/>
              </w:rPr>
              <w:t>-780.147,68</w:t>
            </w:r>
          </w:p>
        </w:tc>
        <w:tc>
          <w:tcPr>
            <w:tcW w:w="1596" w:type="dxa"/>
            <w:tcBorders>
              <w:top w:val="nil"/>
              <w:left w:val="nil"/>
              <w:bottom w:val="single" w:sz="4" w:space="0" w:color="auto"/>
              <w:right w:val="single" w:sz="4" w:space="0" w:color="auto"/>
            </w:tcBorders>
            <w:vAlign w:val="center"/>
            <w:hideMark/>
          </w:tcPr>
          <w:p w14:paraId="1430B4F5" w14:textId="77777777" w:rsidR="00E827EA" w:rsidRPr="00DA1046" w:rsidRDefault="00E827EA">
            <w:pPr>
              <w:jc w:val="right"/>
              <w:rPr>
                <w:rFonts w:ascii="Arial" w:hAnsi="Arial" w:cs="Arial"/>
                <w:sz w:val="20"/>
                <w:szCs w:val="20"/>
              </w:rPr>
            </w:pPr>
            <w:r w:rsidRPr="00DA1046">
              <w:rPr>
                <w:rFonts w:ascii="Arial" w:hAnsi="Arial" w:cs="Arial"/>
                <w:sz w:val="20"/>
                <w:szCs w:val="20"/>
              </w:rPr>
              <w:t>-2.227.153,44</w:t>
            </w:r>
          </w:p>
        </w:tc>
        <w:tc>
          <w:tcPr>
            <w:tcW w:w="1639" w:type="dxa"/>
            <w:tcBorders>
              <w:top w:val="nil"/>
              <w:left w:val="nil"/>
              <w:bottom w:val="single" w:sz="4" w:space="0" w:color="auto"/>
              <w:right w:val="single" w:sz="4" w:space="0" w:color="auto"/>
            </w:tcBorders>
            <w:noWrap/>
            <w:vAlign w:val="center"/>
            <w:hideMark/>
          </w:tcPr>
          <w:p w14:paraId="2B9AE51C" w14:textId="77777777" w:rsidR="00E827EA" w:rsidRPr="00DA1046" w:rsidRDefault="00E827EA">
            <w:pPr>
              <w:jc w:val="right"/>
              <w:rPr>
                <w:rFonts w:ascii="Arial" w:hAnsi="Arial" w:cs="Arial"/>
                <w:sz w:val="20"/>
                <w:szCs w:val="20"/>
              </w:rPr>
            </w:pPr>
            <w:r w:rsidRPr="00DA1046">
              <w:rPr>
                <w:rFonts w:ascii="Arial" w:hAnsi="Arial" w:cs="Arial"/>
                <w:sz w:val="20"/>
                <w:szCs w:val="20"/>
              </w:rPr>
              <w:t>-2.227.153,44</w:t>
            </w:r>
          </w:p>
        </w:tc>
        <w:tc>
          <w:tcPr>
            <w:tcW w:w="1227" w:type="dxa"/>
            <w:tcBorders>
              <w:top w:val="nil"/>
              <w:left w:val="nil"/>
              <w:bottom w:val="nil"/>
              <w:right w:val="nil"/>
            </w:tcBorders>
            <w:noWrap/>
            <w:vAlign w:val="center"/>
            <w:hideMark/>
          </w:tcPr>
          <w:p w14:paraId="70542F4C" w14:textId="77777777" w:rsidR="00E827EA" w:rsidRPr="00DA1046" w:rsidRDefault="00E827EA">
            <w:pPr>
              <w:jc w:val="right"/>
              <w:rPr>
                <w:rFonts w:ascii="Arial" w:hAnsi="Arial" w:cs="Arial"/>
                <w:sz w:val="20"/>
                <w:szCs w:val="20"/>
              </w:rPr>
            </w:pPr>
          </w:p>
        </w:tc>
        <w:tc>
          <w:tcPr>
            <w:tcW w:w="1097" w:type="dxa"/>
            <w:tcBorders>
              <w:top w:val="nil"/>
              <w:left w:val="nil"/>
              <w:bottom w:val="nil"/>
              <w:right w:val="nil"/>
            </w:tcBorders>
            <w:noWrap/>
            <w:vAlign w:val="center"/>
            <w:hideMark/>
          </w:tcPr>
          <w:p w14:paraId="68A7656D" w14:textId="77777777" w:rsidR="00E827EA" w:rsidRPr="00DA1046" w:rsidRDefault="00E827EA">
            <w:pPr>
              <w:rPr>
                <w:sz w:val="20"/>
                <w:szCs w:val="20"/>
              </w:rPr>
            </w:pPr>
          </w:p>
        </w:tc>
        <w:tc>
          <w:tcPr>
            <w:tcW w:w="222" w:type="dxa"/>
            <w:vAlign w:val="center"/>
            <w:hideMark/>
          </w:tcPr>
          <w:p w14:paraId="78EAF94F" w14:textId="77777777" w:rsidR="00E827EA" w:rsidRPr="00DA1046" w:rsidRDefault="00E827EA">
            <w:pPr>
              <w:rPr>
                <w:sz w:val="20"/>
                <w:szCs w:val="20"/>
              </w:rPr>
            </w:pPr>
          </w:p>
        </w:tc>
      </w:tr>
      <w:tr w:rsidR="00DA1046" w:rsidRPr="00DA1046" w14:paraId="2E0CF30C" w14:textId="77777777" w:rsidTr="00E827EA">
        <w:trPr>
          <w:trHeight w:val="520"/>
          <w:jc w:val="center"/>
        </w:trPr>
        <w:tc>
          <w:tcPr>
            <w:tcW w:w="3114" w:type="dxa"/>
            <w:tcBorders>
              <w:top w:val="nil"/>
              <w:left w:val="single" w:sz="4" w:space="0" w:color="auto"/>
              <w:bottom w:val="single" w:sz="4" w:space="0" w:color="auto"/>
              <w:right w:val="single" w:sz="4" w:space="0" w:color="auto"/>
            </w:tcBorders>
            <w:vAlign w:val="bottom"/>
            <w:hideMark/>
          </w:tcPr>
          <w:p w14:paraId="54D2C8A9" w14:textId="77777777" w:rsidR="00E827EA" w:rsidRPr="00DA1046" w:rsidRDefault="00E827EA">
            <w:pPr>
              <w:rPr>
                <w:rFonts w:ascii="Arial" w:hAnsi="Arial" w:cs="Arial"/>
                <w:sz w:val="20"/>
                <w:szCs w:val="20"/>
              </w:rPr>
            </w:pPr>
            <w:r w:rsidRPr="00DA1046">
              <w:rPr>
                <w:rFonts w:ascii="Arial" w:hAnsi="Arial" w:cs="Arial"/>
                <w:sz w:val="20"/>
                <w:szCs w:val="20"/>
              </w:rPr>
              <w:t>Ukupan višak/manjak prihoda iz izvještajne godine</w:t>
            </w:r>
          </w:p>
        </w:tc>
        <w:tc>
          <w:tcPr>
            <w:tcW w:w="1576" w:type="dxa"/>
            <w:tcBorders>
              <w:top w:val="nil"/>
              <w:left w:val="nil"/>
              <w:bottom w:val="single" w:sz="4" w:space="0" w:color="auto"/>
              <w:right w:val="single" w:sz="4" w:space="0" w:color="auto"/>
            </w:tcBorders>
            <w:vAlign w:val="center"/>
            <w:hideMark/>
          </w:tcPr>
          <w:p w14:paraId="3568E0D9" w14:textId="77777777" w:rsidR="00E827EA" w:rsidRPr="00DA1046" w:rsidRDefault="00E827EA">
            <w:pPr>
              <w:jc w:val="right"/>
              <w:rPr>
                <w:rFonts w:ascii="Arial" w:hAnsi="Arial" w:cs="Arial"/>
                <w:sz w:val="20"/>
                <w:szCs w:val="20"/>
              </w:rPr>
            </w:pPr>
            <w:r w:rsidRPr="00DA1046">
              <w:rPr>
                <w:rFonts w:ascii="Arial" w:hAnsi="Arial" w:cs="Arial"/>
                <w:sz w:val="20"/>
                <w:szCs w:val="20"/>
              </w:rPr>
              <w:t>-1.447.005,76</w:t>
            </w:r>
          </w:p>
        </w:tc>
        <w:tc>
          <w:tcPr>
            <w:tcW w:w="1596" w:type="dxa"/>
            <w:tcBorders>
              <w:top w:val="nil"/>
              <w:left w:val="nil"/>
              <w:bottom w:val="single" w:sz="4" w:space="0" w:color="auto"/>
              <w:right w:val="single" w:sz="4" w:space="0" w:color="auto"/>
            </w:tcBorders>
            <w:vAlign w:val="center"/>
            <w:hideMark/>
          </w:tcPr>
          <w:p w14:paraId="1386BC6D" w14:textId="77777777" w:rsidR="00E827EA" w:rsidRPr="00DA1046" w:rsidRDefault="00E827EA">
            <w:pPr>
              <w:jc w:val="right"/>
              <w:rPr>
                <w:rFonts w:ascii="Arial" w:hAnsi="Arial" w:cs="Arial"/>
                <w:sz w:val="20"/>
                <w:szCs w:val="20"/>
              </w:rPr>
            </w:pPr>
            <w:r w:rsidRPr="00DA1046">
              <w:rPr>
                <w:rFonts w:ascii="Arial" w:hAnsi="Arial" w:cs="Arial"/>
                <w:sz w:val="20"/>
                <w:szCs w:val="20"/>
              </w:rPr>
              <w:t>-7.200,00</w:t>
            </w:r>
          </w:p>
        </w:tc>
        <w:tc>
          <w:tcPr>
            <w:tcW w:w="1639" w:type="dxa"/>
            <w:tcBorders>
              <w:top w:val="nil"/>
              <w:left w:val="nil"/>
              <w:bottom w:val="single" w:sz="4" w:space="0" w:color="auto"/>
              <w:right w:val="single" w:sz="4" w:space="0" w:color="auto"/>
            </w:tcBorders>
            <w:noWrap/>
            <w:vAlign w:val="center"/>
            <w:hideMark/>
          </w:tcPr>
          <w:p w14:paraId="32F7620A" w14:textId="77777777" w:rsidR="00E827EA" w:rsidRPr="00DA1046" w:rsidRDefault="00E827EA">
            <w:pPr>
              <w:jc w:val="right"/>
              <w:rPr>
                <w:rFonts w:ascii="Arial" w:hAnsi="Arial" w:cs="Arial"/>
                <w:sz w:val="20"/>
                <w:szCs w:val="20"/>
              </w:rPr>
            </w:pPr>
            <w:r w:rsidRPr="00DA1046">
              <w:rPr>
                <w:rFonts w:ascii="Arial" w:hAnsi="Arial" w:cs="Arial"/>
                <w:sz w:val="20"/>
                <w:szCs w:val="20"/>
              </w:rPr>
              <w:t>-247.971,70</w:t>
            </w:r>
          </w:p>
        </w:tc>
        <w:tc>
          <w:tcPr>
            <w:tcW w:w="1227" w:type="dxa"/>
            <w:tcBorders>
              <w:top w:val="nil"/>
              <w:left w:val="nil"/>
              <w:bottom w:val="nil"/>
              <w:right w:val="nil"/>
            </w:tcBorders>
            <w:noWrap/>
            <w:vAlign w:val="center"/>
            <w:hideMark/>
          </w:tcPr>
          <w:p w14:paraId="5778D533" w14:textId="77777777" w:rsidR="00E827EA" w:rsidRPr="00DA1046" w:rsidRDefault="00E827EA">
            <w:pPr>
              <w:jc w:val="right"/>
              <w:rPr>
                <w:rFonts w:ascii="Arial" w:hAnsi="Arial" w:cs="Arial"/>
                <w:sz w:val="20"/>
                <w:szCs w:val="20"/>
              </w:rPr>
            </w:pPr>
          </w:p>
        </w:tc>
        <w:tc>
          <w:tcPr>
            <w:tcW w:w="1097" w:type="dxa"/>
            <w:tcBorders>
              <w:top w:val="nil"/>
              <w:left w:val="nil"/>
              <w:bottom w:val="nil"/>
              <w:right w:val="nil"/>
            </w:tcBorders>
            <w:noWrap/>
            <w:vAlign w:val="center"/>
            <w:hideMark/>
          </w:tcPr>
          <w:p w14:paraId="5197EEE0" w14:textId="77777777" w:rsidR="00E827EA" w:rsidRPr="00DA1046" w:rsidRDefault="00E827EA">
            <w:pPr>
              <w:rPr>
                <w:sz w:val="20"/>
                <w:szCs w:val="20"/>
              </w:rPr>
            </w:pPr>
          </w:p>
        </w:tc>
        <w:tc>
          <w:tcPr>
            <w:tcW w:w="222" w:type="dxa"/>
            <w:vAlign w:val="center"/>
            <w:hideMark/>
          </w:tcPr>
          <w:p w14:paraId="4CB3F00D" w14:textId="77777777" w:rsidR="00E827EA" w:rsidRPr="00DA1046" w:rsidRDefault="00E827EA">
            <w:pPr>
              <w:rPr>
                <w:sz w:val="20"/>
                <w:szCs w:val="20"/>
              </w:rPr>
            </w:pPr>
          </w:p>
        </w:tc>
      </w:tr>
      <w:tr w:rsidR="00DA1046" w:rsidRPr="00DA1046" w14:paraId="04BB92F7" w14:textId="77777777" w:rsidTr="00E827EA">
        <w:trPr>
          <w:trHeight w:val="530"/>
          <w:jc w:val="center"/>
        </w:trPr>
        <w:tc>
          <w:tcPr>
            <w:tcW w:w="3114" w:type="dxa"/>
            <w:tcBorders>
              <w:top w:val="nil"/>
              <w:left w:val="single" w:sz="4" w:space="0" w:color="auto"/>
              <w:bottom w:val="single" w:sz="4" w:space="0" w:color="auto"/>
              <w:right w:val="single" w:sz="4" w:space="0" w:color="auto"/>
            </w:tcBorders>
            <w:vAlign w:val="bottom"/>
            <w:hideMark/>
          </w:tcPr>
          <w:p w14:paraId="41D4E269" w14:textId="77777777" w:rsidR="00E827EA" w:rsidRPr="00DA1046" w:rsidRDefault="00E827EA">
            <w:pPr>
              <w:rPr>
                <w:rFonts w:ascii="Arial" w:hAnsi="Arial" w:cs="Arial"/>
                <w:b/>
                <w:bCs/>
                <w:sz w:val="20"/>
                <w:szCs w:val="20"/>
              </w:rPr>
            </w:pPr>
            <w:r w:rsidRPr="00DA1046">
              <w:rPr>
                <w:rFonts w:ascii="Arial" w:hAnsi="Arial" w:cs="Arial"/>
                <w:b/>
                <w:bCs/>
                <w:sz w:val="20"/>
                <w:szCs w:val="20"/>
              </w:rPr>
              <w:t>Ukupan odnos neutrošenih prihoda u slijedeću godinu</w:t>
            </w:r>
          </w:p>
        </w:tc>
        <w:tc>
          <w:tcPr>
            <w:tcW w:w="1576" w:type="dxa"/>
            <w:tcBorders>
              <w:top w:val="nil"/>
              <w:left w:val="nil"/>
              <w:bottom w:val="single" w:sz="4" w:space="0" w:color="auto"/>
              <w:right w:val="single" w:sz="4" w:space="0" w:color="auto"/>
            </w:tcBorders>
            <w:vAlign w:val="center"/>
            <w:hideMark/>
          </w:tcPr>
          <w:p w14:paraId="1EFEA1D3" w14:textId="77777777" w:rsidR="00E827EA" w:rsidRPr="00DA1046" w:rsidRDefault="00E827EA">
            <w:pPr>
              <w:jc w:val="right"/>
              <w:rPr>
                <w:rFonts w:ascii="Arial" w:hAnsi="Arial" w:cs="Arial"/>
                <w:b/>
                <w:bCs/>
                <w:sz w:val="20"/>
                <w:szCs w:val="20"/>
              </w:rPr>
            </w:pPr>
            <w:r w:rsidRPr="00DA1046">
              <w:rPr>
                <w:rFonts w:ascii="Arial" w:hAnsi="Arial" w:cs="Arial"/>
                <w:b/>
                <w:bCs/>
                <w:sz w:val="20"/>
                <w:szCs w:val="20"/>
              </w:rPr>
              <w:t>-2.227.153,44</w:t>
            </w:r>
          </w:p>
        </w:tc>
        <w:tc>
          <w:tcPr>
            <w:tcW w:w="1596" w:type="dxa"/>
            <w:tcBorders>
              <w:top w:val="nil"/>
              <w:left w:val="nil"/>
              <w:bottom w:val="single" w:sz="4" w:space="0" w:color="auto"/>
              <w:right w:val="single" w:sz="4" w:space="0" w:color="auto"/>
            </w:tcBorders>
            <w:vAlign w:val="center"/>
            <w:hideMark/>
          </w:tcPr>
          <w:p w14:paraId="2992E0AA" w14:textId="77777777" w:rsidR="00E827EA" w:rsidRPr="00DA1046" w:rsidRDefault="00E827EA">
            <w:pPr>
              <w:jc w:val="right"/>
              <w:rPr>
                <w:rFonts w:ascii="Arial" w:hAnsi="Arial" w:cs="Arial"/>
                <w:b/>
                <w:bCs/>
                <w:sz w:val="20"/>
                <w:szCs w:val="20"/>
              </w:rPr>
            </w:pPr>
            <w:r w:rsidRPr="00DA1046">
              <w:rPr>
                <w:rFonts w:ascii="Arial" w:hAnsi="Arial" w:cs="Arial"/>
                <w:b/>
                <w:bCs/>
                <w:sz w:val="20"/>
                <w:szCs w:val="20"/>
              </w:rPr>
              <w:t>0,00</w:t>
            </w:r>
          </w:p>
        </w:tc>
        <w:tc>
          <w:tcPr>
            <w:tcW w:w="1639" w:type="dxa"/>
            <w:tcBorders>
              <w:top w:val="nil"/>
              <w:left w:val="nil"/>
              <w:bottom w:val="single" w:sz="4" w:space="0" w:color="auto"/>
              <w:right w:val="single" w:sz="4" w:space="0" w:color="auto"/>
            </w:tcBorders>
            <w:vAlign w:val="center"/>
            <w:hideMark/>
          </w:tcPr>
          <w:p w14:paraId="02C19867" w14:textId="77777777" w:rsidR="00E827EA" w:rsidRPr="00DA1046" w:rsidRDefault="00E827EA">
            <w:pPr>
              <w:jc w:val="right"/>
              <w:rPr>
                <w:rFonts w:ascii="Arial" w:hAnsi="Arial" w:cs="Arial"/>
                <w:b/>
                <w:bCs/>
                <w:sz w:val="20"/>
                <w:szCs w:val="20"/>
              </w:rPr>
            </w:pPr>
            <w:r w:rsidRPr="00DA1046">
              <w:rPr>
                <w:rFonts w:ascii="Arial" w:hAnsi="Arial" w:cs="Arial"/>
                <w:b/>
                <w:bCs/>
                <w:sz w:val="20"/>
                <w:szCs w:val="20"/>
              </w:rPr>
              <w:t>-2.475.125,14</w:t>
            </w:r>
          </w:p>
        </w:tc>
        <w:tc>
          <w:tcPr>
            <w:tcW w:w="1227" w:type="dxa"/>
            <w:tcBorders>
              <w:top w:val="nil"/>
              <w:left w:val="nil"/>
              <w:bottom w:val="nil"/>
              <w:right w:val="nil"/>
            </w:tcBorders>
            <w:vAlign w:val="center"/>
            <w:hideMark/>
          </w:tcPr>
          <w:p w14:paraId="58005533" w14:textId="77777777" w:rsidR="00E827EA" w:rsidRPr="00DA1046" w:rsidRDefault="00E827EA">
            <w:pPr>
              <w:jc w:val="right"/>
              <w:rPr>
                <w:rFonts w:ascii="Arial" w:hAnsi="Arial" w:cs="Arial"/>
                <w:b/>
                <w:bCs/>
                <w:sz w:val="20"/>
                <w:szCs w:val="20"/>
              </w:rPr>
            </w:pPr>
          </w:p>
        </w:tc>
        <w:tc>
          <w:tcPr>
            <w:tcW w:w="1097" w:type="dxa"/>
            <w:tcBorders>
              <w:top w:val="nil"/>
              <w:left w:val="nil"/>
              <w:bottom w:val="nil"/>
              <w:right w:val="nil"/>
            </w:tcBorders>
            <w:vAlign w:val="center"/>
            <w:hideMark/>
          </w:tcPr>
          <w:p w14:paraId="1FD15EB2" w14:textId="77777777" w:rsidR="00E827EA" w:rsidRPr="00DA1046" w:rsidRDefault="00E827EA">
            <w:pPr>
              <w:rPr>
                <w:sz w:val="20"/>
                <w:szCs w:val="20"/>
              </w:rPr>
            </w:pPr>
          </w:p>
        </w:tc>
        <w:tc>
          <w:tcPr>
            <w:tcW w:w="222" w:type="dxa"/>
            <w:vAlign w:val="center"/>
            <w:hideMark/>
          </w:tcPr>
          <w:p w14:paraId="3E2AA2FD" w14:textId="77777777" w:rsidR="00E827EA" w:rsidRPr="00DA1046" w:rsidRDefault="00E827EA">
            <w:pPr>
              <w:rPr>
                <w:sz w:val="20"/>
                <w:szCs w:val="20"/>
              </w:rPr>
            </w:pPr>
          </w:p>
        </w:tc>
      </w:tr>
      <w:tr w:rsidR="00DA1046" w:rsidRPr="00DA1046" w14:paraId="45E05D3A" w14:textId="77777777" w:rsidTr="00E827EA">
        <w:trPr>
          <w:trHeight w:val="149"/>
          <w:jc w:val="center"/>
        </w:trPr>
        <w:tc>
          <w:tcPr>
            <w:tcW w:w="7925" w:type="dxa"/>
            <w:gridSpan w:val="4"/>
            <w:tcBorders>
              <w:top w:val="single" w:sz="4" w:space="0" w:color="auto"/>
              <w:left w:val="nil"/>
              <w:bottom w:val="nil"/>
              <w:right w:val="nil"/>
            </w:tcBorders>
            <w:vAlign w:val="center"/>
            <w:hideMark/>
          </w:tcPr>
          <w:p w14:paraId="2B01B30C" w14:textId="77777777" w:rsidR="00E827EA" w:rsidRPr="00DA1046" w:rsidRDefault="00E827EA">
            <w:pPr>
              <w:rPr>
                <w:rFonts w:ascii="Arial" w:hAnsi="Arial" w:cs="Arial"/>
                <w:sz w:val="18"/>
                <w:szCs w:val="18"/>
              </w:rPr>
            </w:pPr>
            <w:r w:rsidRPr="00DA1046">
              <w:rPr>
                <w:rFonts w:ascii="Arial" w:hAnsi="Arial" w:cs="Arial"/>
                <w:sz w:val="18"/>
                <w:szCs w:val="18"/>
              </w:rPr>
              <w:t> </w:t>
            </w:r>
          </w:p>
        </w:tc>
        <w:tc>
          <w:tcPr>
            <w:tcW w:w="1227" w:type="dxa"/>
            <w:tcBorders>
              <w:top w:val="nil"/>
              <w:left w:val="nil"/>
              <w:bottom w:val="nil"/>
              <w:right w:val="nil"/>
            </w:tcBorders>
            <w:vAlign w:val="center"/>
            <w:hideMark/>
          </w:tcPr>
          <w:p w14:paraId="7B3E985D" w14:textId="77777777" w:rsidR="00E827EA" w:rsidRPr="00DA1046" w:rsidRDefault="00E827EA">
            <w:pPr>
              <w:rPr>
                <w:rFonts w:ascii="Arial" w:hAnsi="Arial" w:cs="Arial"/>
                <w:sz w:val="18"/>
                <w:szCs w:val="18"/>
              </w:rPr>
            </w:pPr>
          </w:p>
        </w:tc>
        <w:tc>
          <w:tcPr>
            <w:tcW w:w="1097" w:type="dxa"/>
            <w:tcBorders>
              <w:top w:val="nil"/>
              <w:left w:val="nil"/>
              <w:bottom w:val="nil"/>
              <w:right w:val="nil"/>
            </w:tcBorders>
            <w:vAlign w:val="center"/>
            <w:hideMark/>
          </w:tcPr>
          <w:p w14:paraId="2B683327" w14:textId="77777777" w:rsidR="00E827EA" w:rsidRPr="00DA1046" w:rsidRDefault="00E827EA">
            <w:pPr>
              <w:rPr>
                <w:sz w:val="20"/>
                <w:szCs w:val="20"/>
              </w:rPr>
            </w:pPr>
          </w:p>
        </w:tc>
        <w:tc>
          <w:tcPr>
            <w:tcW w:w="222" w:type="dxa"/>
            <w:vAlign w:val="center"/>
            <w:hideMark/>
          </w:tcPr>
          <w:p w14:paraId="577F3350" w14:textId="77777777" w:rsidR="00E827EA" w:rsidRPr="00DA1046" w:rsidRDefault="00E827EA">
            <w:pPr>
              <w:rPr>
                <w:sz w:val="20"/>
                <w:szCs w:val="20"/>
              </w:rPr>
            </w:pPr>
          </w:p>
        </w:tc>
      </w:tr>
      <w:tr w:rsidR="00DA1046" w:rsidRPr="00DA1046" w14:paraId="726BA685" w14:textId="77777777" w:rsidTr="00E827EA">
        <w:trPr>
          <w:trHeight w:val="310"/>
          <w:jc w:val="center"/>
        </w:trPr>
        <w:tc>
          <w:tcPr>
            <w:tcW w:w="3114" w:type="dxa"/>
            <w:tcBorders>
              <w:top w:val="nil"/>
              <w:left w:val="nil"/>
              <w:bottom w:val="nil"/>
              <w:right w:val="nil"/>
            </w:tcBorders>
            <w:noWrap/>
            <w:vAlign w:val="bottom"/>
            <w:hideMark/>
          </w:tcPr>
          <w:p w14:paraId="4B6559C1" w14:textId="77777777" w:rsidR="00E827EA" w:rsidRPr="00DA1046" w:rsidRDefault="00E827EA">
            <w:pPr>
              <w:rPr>
                <w:sz w:val="20"/>
                <w:szCs w:val="20"/>
              </w:rPr>
            </w:pPr>
          </w:p>
        </w:tc>
        <w:tc>
          <w:tcPr>
            <w:tcW w:w="1576" w:type="dxa"/>
            <w:tcBorders>
              <w:top w:val="nil"/>
              <w:left w:val="nil"/>
              <w:bottom w:val="nil"/>
              <w:right w:val="nil"/>
            </w:tcBorders>
            <w:noWrap/>
            <w:vAlign w:val="bottom"/>
            <w:hideMark/>
          </w:tcPr>
          <w:p w14:paraId="0A31193C" w14:textId="77777777" w:rsidR="00E827EA" w:rsidRPr="00DA1046" w:rsidRDefault="00E827EA">
            <w:pPr>
              <w:rPr>
                <w:sz w:val="20"/>
                <w:szCs w:val="20"/>
              </w:rPr>
            </w:pPr>
          </w:p>
        </w:tc>
        <w:tc>
          <w:tcPr>
            <w:tcW w:w="1596" w:type="dxa"/>
            <w:tcBorders>
              <w:top w:val="nil"/>
              <w:left w:val="nil"/>
              <w:bottom w:val="nil"/>
              <w:right w:val="nil"/>
            </w:tcBorders>
            <w:noWrap/>
            <w:vAlign w:val="bottom"/>
            <w:hideMark/>
          </w:tcPr>
          <w:p w14:paraId="18A1B74A" w14:textId="77777777" w:rsidR="00E827EA" w:rsidRPr="00DA1046" w:rsidRDefault="00E827EA">
            <w:pPr>
              <w:rPr>
                <w:sz w:val="20"/>
                <w:szCs w:val="20"/>
              </w:rPr>
            </w:pPr>
          </w:p>
        </w:tc>
        <w:tc>
          <w:tcPr>
            <w:tcW w:w="1639" w:type="dxa"/>
            <w:tcBorders>
              <w:top w:val="nil"/>
              <w:left w:val="nil"/>
              <w:bottom w:val="nil"/>
              <w:right w:val="nil"/>
            </w:tcBorders>
            <w:noWrap/>
            <w:vAlign w:val="bottom"/>
            <w:hideMark/>
          </w:tcPr>
          <w:p w14:paraId="0F0156F8" w14:textId="77777777" w:rsidR="00E827EA" w:rsidRPr="00DA1046" w:rsidRDefault="00E827EA">
            <w:pPr>
              <w:rPr>
                <w:sz w:val="20"/>
                <w:szCs w:val="20"/>
              </w:rPr>
            </w:pPr>
          </w:p>
        </w:tc>
        <w:tc>
          <w:tcPr>
            <w:tcW w:w="1227" w:type="dxa"/>
            <w:tcBorders>
              <w:top w:val="nil"/>
              <w:left w:val="nil"/>
              <w:bottom w:val="nil"/>
              <w:right w:val="nil"/>
            </w:tcBorders>
            <w:noWrap/>
            <w:vAlign w:val="bottom"/>
            <w:hideMark/>
          </w:tcPr>
          <w:p w14:paraId="41722DB4" w14:textId="77777777" w:rsidR="00E827EA" w:rsidRPr="00DA1046" w:rsidRDefault="00E827EA">
            <w:pPr>
              <w:rPr>
                <w:sz w:val="20"/>
                <w:szCs w:val="20"/>
              </w:rPr>
            </w:pPr>
          </w:p>
        </w:tc>
        <w:tc>
          <w:tcPr>
            <w:tcW w:w="1097" w:type="dxa"/>
            <w:tcBorders>
              <w:top w:val="nil"/>
              <w:left w:val="nil"/>
              <w:bottom w:val="nil"/>
              <w:right w:val="nil"/>
            </w:tcBorders>
            <w:noWrap/>
            <w:vAlign w:val="bottom"/>
            <w:hideMark/>
          </w:tcPr>
          <w:p w14:paraId="5450226A" w14:textId="77777777" w:rsidR="00E827EA" w:rsidRPr="00DA1046" w:rsidRDefault="00E827EA">
            <w:pPr>
              <w:rPr>
                <w:sz w:val="20"/>
                <w:szCs w:val="20"/>
              </w:rPr>
            </w:pPr>
          </w:p>
        </w:tc>
        <w:tc>
          <w:tcPr>
            <w:tcW w:w="222" w:type="dxa"/>
            <w:vAlign w:val="center"/>
            <w:hideMark/>
          </w:tcPr>
          <w:p w14:paraId="2145160D" w14:textId="77777777" w:rsidR="00E827EA" w:rsidRPr="00DA1046" w:rsidRDefault="00E827EA">
            <w:pPr>
              <w:rPr>
                <w:sz w:val="20"/>
                <w:szCs w:val="20"/>
              </w:rPr>
            </w:pPr>
          </w:p>
        </w:tc>
      </w:tr>
      <w:tr w:rsidR="00DA1046" w:rsidRPr="00DA1046" w14:paraId="3D209F19" w14:textId="77777777" w:rsidTr="00E827EA">
        <w:trPr>
          <w:trHeight w:val="580"/>
          <w:jc w:val="center"/>
        </w:trPr>
        <w:tc>
          <w:tcPr>
            <w:tcW w:w="3114" w:type="dxa"/>
            <w:tcBorders>
              <w:top w:val="single" w:sz="4" w:space="0" w:color="auto"/>
              <w:left w:val="single" w:sz="4" w:space="0" w:color="auto"/>
              <w:bottom w:val="single" w:sz="4" w:space="0" w:color="auto"/>
              <w:right w:val="single" w:sz="4" w:space="0" w:color="auto"/>
            </w:tcBorders>
            <w:vAlign w:val="bottom"/>
            <w:hideMark/>
          </w:tcPr>
          <w:p w14:paraId="26E02631" w14:textId="77777777" w:rsidR="00E827EA" w:rsidRPr="00DA1046" w:rsidRDefault="00E827EA">
            <w:pPr>
              <w:rPr>
                <w:rFonts w:ascii="Calibri" w:hAnsi="Calibri" w:cs="Calibri"/>
                <w:b/>
                <w:bCs/>
                <w:sz w:val="22"/>
                <w:szCs w:val="22"/>
              </w:rPr>
            </w:pPr>
            <w:r w:rsidRPr="00DA1046">
              <w:rPr>
                <w:rFonts w:ascii="Calibri" w:hAnsi="Calibri" w:cs="Calibri"/>
                <w:b/>
                <w:bCs/>
                <w:sz w:val="22"/>
                <w:szCs w:val="22"/>
              </w:rPr>
              <w:t>VIŠAK / MANJAK + NETO FINANCIRANJE + PRIJENOS</w:t>
            </w:r>
          </w:p>
        </w:tc>
        <w:tc>
          <w:tcPr>
            <w:tcW w:w="1576" w:type="dxa"/>
            <w:tcBorders>
              <w:top w:val="single" w:sz="4" w:space="0" w:color="auto"/>
              <w:left w:val="nil"/>
              <w:bottom w:val="single" w:sz="4" w:space="0" w:color="auto"/>
              <w:right w:val="single" w:sz="4" w:space="0" w:color="auto"/>
            </w:tcBorders>
            <w:noWrap/>
            <w:vAlign w:val="center"/>
            <w:hideMark/>
          </w:tcPr>
          <w:p w14:paraId="0025F29B" w14:textId="77777777" w:rsidR="00E827EA" w:rsidRPr="00DA1046" w:rsidRDefault="00E827EA">
            <w:pPr>
              <w:jc w:val="right"/>
              <w:rPr>
                <w:rFonts w:ascii="Calibri" w:hAnsi="Calibri" w:cs="Calibri"/>
                <w:b/>
                <w:bCs/>
                <w:sz w:val="22"/>
                <w:szCs w:val="22"/>
              </w:rPr>
            </w:pPr>
            <w:r w:rsidRPr="00DA1046">
              <w:rPr>
                <w:rFonts w:ascii="Calibri" w:hAnsi="Calibri" w:cs="Calibri"/>
                <w:b/>
                <w:bCs/>
                <w:sz w:val="22"/>
                <w:szCs w:val="22"/>
              </w:rPr>
              <w:t>-2.227.153,44</w:t>
            </w:r>
          </w:p>
        </w:tc>
        <w:tc>
          <w:tcPr>
            <w:tcW w:w="1596" w:type="dxa"/>
            <w:tcBorders>
              <w:top w:val="single" w:sz="4" w:space="0" w:color="auto"/>
              <w:left w:val="nil"/>
              <w:bottom w:val="single" w:sz="4" w:space="0" w:color="auto"/>
              <w:right w:val="single" w:sz="4" w:space="0" w:color="auto"/>
            </w:tcBorders>
            <w:noWrap/>
            <w:vAlign w:val="center"/>
            <w:hideMark/>
          </w:tcPr>
          <w:p w14:paraId="4AD8DEC1" w14:textId="77777777" w:rsidR="00E827EA" w:rsidRPr="00DA1046" w:rsidRDefault="00E827EA">
            <w:pPr>
              <w:jc w:val="right"/>
              <w:rPr>
                <w:rFonts w:ascii="Calibri" w:hAnsi="Calibri" w:cs="Calibri"/>
                <w:b/>
                <w:bCs/>
                <w:sz w:val="22"/>
                <w:szCs w:val="22"/>
              </w:rPr>
            </w:pPr>
            <w:r w:rsidRPr="00DA1046">
              <w:rPr>
                <w:rFonts w:ascii="Calibri" w:hAnsi="Calibri" w:cs="Calibri"/>
                <w:b/>
                <w:bCs/>
                <w:sz w:val="22"/>
                <w:szCs w:val="22"/>
              </w:rPr>
              <w:t>-2.227.153,44</w:t>
            </w:r>
          </w:p>
        </w:tc>
        <w:tc>
          <w:tcPr>
            <w:tcW w:w="1639" w:type="dxa"/>
            <w:tcBorders>
              <w:top w:val="single" w:sz="4" w:space="0" w:color="auto"/>
              <w:left w:val="nil"/>
              <w:bottom w:val="single" w:sz="4" w:space="0" w:color="auto"/>
              <w:right w:val="single" w:sz="4" w:space="0" w:color="auto"/>
            </w:tcBorders>
            <w:noWrap/>
            <w:vAlign w:val="center"/>
            <w:hideMark/>
          </w:tcPr>
          <w:p w14:paraId="7CE65FAA" w14:textId="77777777" w:rsidR="00E827EA" w:rsidRPr="00DA1046" w:rsidRDefault="00E827EA">
            <w:pPr>
              <w:jc w:val="right"/>
              <w:rPr>
                <w:rFonts w:ascii="Calibri" w:hAnsi="Calibri" w:cs="Calibri"/>
                <w:b/>
                <w:bCs/>
                <w:sz w:val="22"/>
                <w:szCs w:val="22"/>
              </w:rPr>
            </w:pPr>
            <w:r w:rsidRPr="00DA1046">
              <w:rPr>
                <w:rFonts w:ascii="Calibri" w:hAnsi="Calibri" w:cs="Calibri"/>
                <w:b/>
                <w:bCs/>
                <w:sz w:val="22"/>
                <w:szCs w:val="22"/>
              </w:rPr>
              <w:t>-2.475.125,14</w:t>
            </w:r>
          </w:p>
        </w:tc>
        <w:tc>
          <w:tcPr>
            <w:tcW w:w="1227" w:type="dxa"/>
            <w:tcBorders>
              <w:top w:val="nil"/>
              <w:left w:val="nil"/>
              <w:bottom w:val="nil"/>
              <w:right w:val="nil"/>
            </w:tcBorders>
            <w:noWrap/>
            <w:vAlign w:val="center"/>
            <w:hideMark/>
          </w:tcPr>
          <w:p w14:paraId="2CF0E4E9" w14:textId="77777777" w:rsidR="00E827EA" w:rsidRPr="00DA1046" w:rsidRDefault="00E827EA">
            <w:pPr>
              <w:jc w:val="right"/>
              <w:rPr>
                <w:rFonts w:ascii="Calibri" w:hAnsi="Calibri" w:cs="Calibri"/>
                <w:b/>
                <w:bCs/>
                <w:sz w:val="22"/>
                <w:szCs w:val="22"/>
              </w:rPr>
            </w:pPr>
          </w:p>
        </w:tc>
        <w:tc>
          <w:tcPr>
            <w:tcW w:w="1097" w:type="dxa"/>
            <w:tcBorders>
              <w:top w:val="nil"/>
              <w:left w:val="nil"/>
              <w:bottom w:val="nil"/>
              <w:right w:val="nil"/>
            </w:tcBorders>
            <w:noWrap/>
            <w:vAlign w:val="center"/>
            <w:hideMark/>
          </w:tcPr>
          <w:p w14:paraId="308A84B4" w14:textId="77777777" w:rsidR="00E827EA" w:rsidRPr="00DA1046" w:rsidRDefault="00E827EA">
            <w:pPr>
              <w:rPr>
                <w:sz w:val="20"/>
                <w:szCs w:val="20"/>
              </w:rPr>
            </w:pPr>
          </w:p>
        </w:tc>
        <w:tc>
          <w:tcPr>
            <w:tcW w:w="222" w:type="dxa"/>
            <w:vAlign w:val="center"/>
            <w:hideMark/>
          </w:tcPr>
          <w:p w14:paraId="4D11C0DC" w14:textId="77777777" w:rsidR="00E827EA" w:rsidRPr="00DA1046" w:rsidRDefault="00E827EA">
            <w:pPr>
              <w:rPr>
                <w:sz w:val="20"/>
                <w:szCs w:val="20"/>
              </w:rPr>
            </w:pPr>
          </w:p>
        </w:tc>
      </w:tr>
    </w:tbl>
    <w:p w14:paraId="1F04EC62" w14:textId="77777777" w:rsidR="006A4ACD" w:rsidRPr="004F3556" w:rsidRDefault="006A4ACD" w:rsidP="00C9766C">
      <w:pPr>
        <w:jc w:val="both"/>
        <w:rPr>
          <w:rFonts w:ascii="Arial" w:hAnsi="Arial" w:cs="Arial"/>
          <w:sz w:val="22"/>
          <w:szCs w:val="22"/>
        </w:rPr>
      </w:pPr>
    </w:p>
    <w:p w14:paraId="1AED3DF3" w14:textId="77777777" w:rsidR="006A4ACD" w:rsidRPr="004F3556" w:rsidRDefault="006A4ACD" w:rsidP="00C9766C">
      <w:pPr>
        <w:jc w:val="both"/>
        <w:rPr>
          <w:rFonts w:ascii="Arial" w:hAnsi="Arial" w:cs="Arial"/>
          <w:sz w:val="22"/>
          <w:szCs w:val="22"/>
        </w:rPr>
      </w:pPr>
    </w:p>
    <w:p w14:paraId="1A6E5EA8" w14:textId="1FD550A9" w:rsidR="00177FCD" w:rsidRPr="004F3556" w:rsidRDefault="00177FCD" w:rsidP="00C9766C">
      <w:pPr>
        <w:jc w:val="both"/>
        <w:rPr>
          <w:rFonts w:ascii="Arial" w:hAnsi="Arial" w:cs="Arial"/>
          <w:b/>
          <w:bCs/>
          <w:szCs w:val="22"/>
          <w:u w:val="single"/>
        </w:rPr>
      </w:pPr>
    </w:p>
    <w:p w14:paraId="55841A51" w14:textId="47F274BC" w:rsidR="00A45E60" w:rsidRPr="004F3556" w:rsidRDefault="00A45E60" w:rsidP="00C9766C">
      <w:pPr>
        <w:jc w:val="both"/>
        <w:rPr>
          <w:rFonts w:ascii="Arial" w:hAnsi="Arial" w:cs="Arial"/>
          <w:b/>
          <w:bCs/>
          <w:szCs w:val="22"/>
          <w:u w:val="single"/>
        </w:rPr>
      </w:pPr>
    </w:p>
    <w:p w14:paraId="3B752BEF" w14:textId="77777777" w:rsidR="00A45E60" w:rsidRPr="004F3556" w:rsidRDefault="00A45E60" w:rsidP="00C9766C">
      <w:pPr>
        <w:jc w:val="both"/>
        <w:rPr>
          <w:rFonts w:ascii="Arial" w:hAnsi="Arial" w:cs="Arial"/>
          <w:b/>
          <w:bCs/>
          <w:szCs w:val="22"/>
          <w:u w:val="single"/>
        </w:rPr>
      </w:pPr>
    </w:p>
    <w:p w14:paraId="25E0180D" w14:textId="73C57CF7" w:rsidR="00D73275" w:rsidRPr="004F3556" w:rsidRDefault="00D73275" w:rsidP="00773923">
      <w:pPr>
        <w:jc w:val="center"/>
        <w:rPr>
          <w:rFonts w:ascii="Arial" w:hAnsi="Arial" w:cs="Arial"/>
          <w:b/>
          <w:bCs/>
          <w:szCs w:val="22"/>
        </w:rPr>
      </w:pPr>
      <w:r w:rsidRPr="004F3556">
        <w:rPr>
          <w:rFonts w:ascii="Arial" w:hAnsi="Arial" w:cs="Arial"/>
          <w:b/>
          <w:bCs/>
          <w:szCs w:val="22"/>
        </w:rPr>
        <w:t>Račun prihoda i rashod</w:t>
      </w:r>
      <w:r w:rsidR="00A45E60" w:rsidRPr="004F3556">
        <w:rPr>
          <w:rFonts w:ascii="Arial" w:hAnsi="Arial" w:cs="Arial"/>
          <w:b/>
          <w:bCs/>
          <w:szCs w:val="22"/>
        </w:rPr>
        <w:t>a – po EKONOMSKOJ klasifikaciji</w:t>
      </w:r>
    </w:p>
    <w:p w14:paraId="210770C8" w14:textId="77777777" w:rsidR="00B22107" w:rsidRPr="004F3556" w:rsidRDefault="00B22107" w:rsidP="00773923">
      <w:pPr>
        <w:jc w:val="center"/>
        <w:rPr>
          <w:rFonts w:ascii="Arial" w:hAnsi="Arial" w:cs="Arial"/>
          <w:b/>
          <w:bCs/>
          <w:szCs w:val="22"/>
        </w:rPr>
      </w:pPr>
    </w:p>
    <w:tbl>
      <w:tblPr>
        <w:tblW w:w="10990" w:type="dxa"/>
        <w:jc w:val="center"/>
        <w:tblLook w:val="04A0" w:firstRow="1" w:lastRow="0" w:firstColumn="1" w:lastColumn="0" w:noHBand="0" w:noVBand="1"/>
      </w:tblPr>
      <w:tblGrid>
        <w:gridCol w:w="665"/>
        <w:gridCol w:w="4101"/>
        <w:gridCol w:w="1506"/>
        <w:gridCol w:w="1506"/>
        <w:gridCol w:w="1506"/>
        <w:gridCol w:w="877"/>
        <w:gridCol w:w="711"/>
        <w:gridCol w:w="222"/>
      </w:tblGrid>
      <w:tr w:rsidR="005369B3" w14:paraId="5B524F58" w14:textId="77777777" w:rsidTr="005369B3">
        <w:trPr>
          <w:gridAfter w:val="1"/>
          <w:wAfter w:w="222" w:type="dxa"/>
          <w:trHeight w:val="517"/>
          <w:jc w:val="center"/>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14:paraId="57D45DFA" w14:textId="77777777" w:rsidR="005369B3" w:rsidRPr="00184F72" w:rsidRDefault="005369B3">
            <w:pPr>
              <w:jc w:val="center"/>
              <w:rPr>
                <w:rFonts w:ascii="Calibri" w:hAnsi="Calibri" w:cs="Calibri"/>
                <w:b/>
                <w:bCs/>
                <w:sz w:val="12"/>
                <w:szCs w:val="12"/>
              </w:rPr>
            </w:pPr>
            <w:r w:rsidRPr="00184F72">
              <w:rPr>
                <w:rFonts w:ascii="Calibri" w:hAnsi="Calibri" w:cs="Calibri"/>
                <w:b/>
                <w:bCs/>
                <w:sz w:val="12"/>
                <w:szCs w:val="12"/>
              </w:rPr>
              <w:t>RAZRED  SKUPINA RAČUN</w:t>
            </w:r>
          </w:p>
        </w:tc>
        <w:tc>
          <w:tcPr>
            <w:tcW w:w="4101" w:type="dxa"/>
            <w:vMerge w:val="restart"/>
            <w:tcBorders>
              <w:top w:val="single" w:sz="4" w:space="0" w:color="auto"/>
              <w:left w:val="single" w:sz="4" w:space="0" w:color="auto"/>
              <w:bottom w:val="single" w:sz="4" w:space="0" w:color="auto"/>
              <w:right w:val="single" w:sz="4" w:space="0" w:color="auto"/>
            </w:tcBorders>
            <w:vAlign w:val="center"/>
            <w:hideMark/>
          </w:tcPr>
          <w:p w14:paraId="092633AA" w14:textId="77777777" w:rsidR="005369B3" w:rsidRPr="00184F72" w:rsidRDefault="005369B3">
            <w:pPr>
              <w:jc w:val="center"/>
              <w:rPr>
                <w:rFonts w:ascii="Calibri" w:hAnsi="Calibri" w:cs="Calibri"/>
                <w:b/>
                <w:bCs/>
              </w:rPr>
            </w:pPr>
            <w:r w:rsidRPr="00184F72">
              <w:rPr>
                <w:rFonts w:ascii="Calibri" w:hAnsi="Calibri" w:cs="Calibri"/>
                <w:b/>
                <w:bCs/>
              </w:rPr>
              <w:t xml:space="preserve">PRIHODI I PRIMICI </w:t>
            </w:r>
          </w:p>
        </w:tc>
        <w:tc>
          <w:tcPr>
            <w:tcW w:w="1506"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998AD31" w14:textId="5BCC2BC5" w:rsidR="005369B3" w:rsidRPr="00184F72" w:rsidRDefault="005369B3">
            <w:pPr>
              <w:jc w:val="center"/>
              <w:rPr>
                <w:rFonts w:ascii="Calibri" w:hAnsi="Calibri" w:cs="Calibri"/>
                <w:b/>
                <w:bCs/>
                <w:sz w:val="20"/>
                <w:szCs w:val="20"/>
              </w:rPr>
            </w:pPr>
            <w:r w:rsidRPr="00184F72">
              <w:rPr>
                <w:rFonts w:ascii="Calibri" w:hAnsi="Calibri" w:cs="Calibri"/>
                <w:b/>
                <w:bCs/>
                <w:sz w:val="20"/>
                <w:szCs w:val="20"/>
              </w:rPr>
              <w:t>Izvršenje        01.-12.2024.</w:t>
            </w:r>
          </w:p>
        </w:tc>
        <w:tc>
          <w:tcPr>
            <w:tcW w:w="1506"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138FFA1" w14:textId="77777777" w:rsidR="005369B3" w:rsidRPr="00184F72" w:rsidRDefault="005369B3">
            <w:pPr>
              <w:jc w:val="center"/>
              <w:rPr>
                <w:rFonts w:ascii="Calibri" w:hAnsi="Calibri" w:cs="Calibri"/>
                <w:b/>
                <w:bCs/>
                <w:sz w:val="20"/>
                <w:szCs w:val="20"/>
              </w:rPr>
            </w:pPr>
            <w:r w:rsidRPr="00184F72">
              <w:rPr>
                <w:rFonts w:ascii="Calibri" w:hAnsi="Calibri" w:cs="Calibri"/>
                <w:b/>
                <w:bCs/>
                <w:sz w:val="20"/>
                <w:szCs w:val="20"/>
              </w:rPr>
              <w:t>Financijski plan 2025.</w:t>
            </w:r>
          </w:p>
        </w:tc>
        <w:tc>
          <w:tcPr>
            <w:tcW w:w="1506"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2B37A43" w14:textId="4C87226B" w:rsidR="005369B3" w:rsidRPr="00184F72" w:rsidRDefault="005369B3">
            <w:pPr>
              <w:jc w:val="center"/>
              <w:rPr>
                <w:rFonts w:ascii="Calibri" w:hAnsi="Calibri" w:cs="Calibri"/>
                <w:b/>
                <w:bCs/>
                <w:sz w:val="20"/>
                <w:szCs w:val="20"/>
              </w:rPr>
            </w:pPr>
            <w:r w:rsidRPr="00184F72">
              <w:rPr>
                <w:rFonts w:ascii="Calibri" w:hAnsi="Calibri" w:cs="Calibri"/>
                <w:b/>
                <w:bCs/>
                <w:sz w:val="20"/>
                <w:szCs w:val="20"/>
              </w:rPr>
              <w:t>Izvršenje         01.-12.2025.</w:t>
            </w:r>
          </w:p>
        </w:tc>
        <w:tc>
          <w:tcPr>
            <w:tcW w:w="877"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A662DB6" w14:textId="77777777" w:rsidR="005369B3" w:rsidRPr="00184F72" w:rsidRDefault="005369B3">
            <w:pPr>
              <w:jc w:val="center"/>
              <w:rPr>
                <w:rFonts w:ascii="Calibri" w:hAnsi="Calibri" w:cs="Calibri"/>
                <w:b/>
                <w:bCs/>
                <w:sz w:val="18"/>
                <w:szCs w:val="18"/>
              </w:rPr>
            </w:pPr>
            <w:r w:rsidRPr="00184F72">
              <w:rPr>
                <w:rFonts w:ascii="Calibri" w:hAnsi="Calibri" w:cs="Calibri"/>
                <w:b/>
                <w:bCs/>
                <w:sz w:val="18"/>
                <w:szCs w:val="18"/>
              </w:rPr>
              <w:t xml:space="preserve"> Indeks izvršenje  2025/ 2024</w:t>
            </w:r>
          </w:p>
        </w:tc>
        <w:tc>
          <w:tcPr>
            <w:tcW w:w="607"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CF482FF" w14:textId="39857662" w:rsidR="005369B3" w:rsidRPr="00184F72" w:rsidRDefault="005369B3">
            <w:pPr>
              <w:jc w:val="center"/>
              <w:rPr>
                <w:rFonts w:ascii="Calibri" w:hAnsi="Calibri" w:cs="Calibri"/>
                <w:b/>
                <w:bCs/>
                <w:sz w:val="16"/>
                <w:szCs w:val="16"/>
              </w:rPr>
            </w:pPr>
            <w:r w:rsidRPr="00184F72">
              <w:rPr>
                <w:rFonts w:ascii="Calibri" w:hAnsi="Calibri" w:cs="Calibri"/>
                <w:b/>
                <w:bCs/>
                <w:sz w:val="16"/>
                <w:szCs w:val="16"/>
              </w:rPr>
              <w:t>Indeks Plan / izvrše nje</w:t>
            </w:r>
          </w:p>
        </w:tc>
      </w:tr>
      <w:tr w:rsidR="005369B3" w14:paraId="6E87DDA8" w14:textId="77777777" w:rsidTr="005369B3">
        <w:trPr>
          <w:trHeight w:val="450"/>
          <w:jc w:val="center"/>
        </w:trPr>
        <w:tc>
          <w:tcPr>
            <w:tcW w:w="665" w:type="dxa"/>
            <w:vMerge/>
            <w:tcBorders>
              <w:top w:val="single" w:sz="4" w:space="0" w:color="auto"/>
              <w:left w:val="single" w:sz="4" w:space="0" w:color="auto"/>
              <w:bottom w:val="single" w:sz="4" w:space="0" w:color="auto"/>
              <w:right w:val="single" w:sz="4" w:space="0" w:color="auto"/>
            </w:tcBorders>
            <w:vAlign w:val="center"/>
            <w:hideMark/>
          </w:tcPr>
          <w:p w14:paraId="7FBAD395" w14:textId="77777777" w:rsidR="005369B3" w:rsidRPr="00184F72" w:rsidRDefault="005369B3">
            <w:pPr>
              <w:rPr>
                <w:rFonts w:ascii="Calibri" w:hAnsi="Calibri" w:cs="Calibri"/>
                <w:b/>
                <w:bCs/>
                <w:sz w:val="12"/>
                <w:szCs w:val="12"/>
              </w:rPr>
            </w:pPr>
          </w:p>
        </w:tc>
        <w:tc>
          <w:tcPr>
            <w:tcW w:w="4101" w:type="dxa"/>
            <w:vMerge/>
            <w:tcBorders>
              <w:top w:val="single" w:sz="4" w:space="0" w:color="auto"/>
              <w:left w:val="single" w:sz="4" w:space="0" w:color="auto"/>
              <w:bottom w:val="single" w:sz="4" w:space="0" w:color="auto"/>
              <w:right w:val="single" w:sz="4" w:space="0" w:color="auto"/>
            </w:tcBorders>
            <w:vAlign w:val="center"/>
            <w:hideMark/>
          </w:tcPr>
          <w:p w14:paraId="3D53FB8E" w14:textId="77777777" w:rsidR="005369B3" w:rsidRPr="00184F72" w:rsidRDefault="005369B3">
            <w:pPr>
              <w:rPr>
                <w:rFonts w:ascii="Calibri" w:hAnsi="Calibri" w:cs="Calibri"/>
                <w:b/>
                <w:bCs/>
              </w:rPr>
            </w:pPr>
          </w:p>
        </w:tc>
        <w:tc>
          <w:tcPr>
            <w:tcW w:w="1506" w:type="dxa"/>
            <w:vMerge/>
            <w:tcBorders>
              <w:top w:val="single" w:sz="4" w:space="0" w:color="auto"/>
              <w:left w:val="single" w:sz="4" w:space="0" w:color="auto"/>
              <w:bottom w:val="single" w:sz="4" w:space="0" w:color="auto"/>
              <w:right w:val="single" w:sz="4" w:space="0" w:color="auto"/>
            </w:tcBorders>
            <w:vAlign w:val="center"/>
            <w:hideMark/>
          </w:tcPr>
          <w:p w14:paraId="59E65D50" w14:textId="77777777" w:rsidR="005369B3" w:rsidRPr="00184F72" w:rsidRDefault="005369B3">
            <w:pPr>
              <w:rPr>
                <w:rFonts w:ascii="Calibri" w:hAnsi="Calibri" w:cs="Calibri"/>
                <w:b/>
                <w:bCs/>
                <w:sz w:val="20"/>
                <w:szCs w:val="20"/>
              </w:rPr>
            </w:pPr>
          </w:p>
        </w:tc>
        <w:tc>
          <w:tcPr>
            <w:tcW w:w="1506" w:type="dxa"/>
            <w:vMerge/>
            <w:tcBorders>
              <w:top w:val="single" w:sz="4" w:space="0" w:color="auto"/>
              <w:left w:val="single" w:sz="4" w:space="0" w:color="auto"/>
              <w:bottom w:val="single" w:sz="4" w:space="0" w:color="auto"/>
              <w:right w:val="single" w:sz="4" w:space="0" w:color="auto"/>
            </w:tcBorders>
            <w:vAlign w:val="center"/>
            <w:hideMark/>
          </w:tcPr>
          <w:p w14:paraId="7596A106" w14:textId="77777777" w:rsidR="005369B3" w:rsidRPr="00184F72" w:rsidRDefault="005369B3">
            <w:pPr>
              <w:rPr>
                <w:rFonts w:ascii="Calibri" w:hAnsi="Calibri" w:cs="Calibri"/>
                <w:b/>
                <w:bCs/>
                <w:sz w:val="20"/>
                <w:szCs w:val="20"/>
              </w:rPr>
            </w:pPr>
          </w:p>
        </w:tc>
        <w:tc>
          <w:tcPr>
            <w:tcW w:w="1506" w:type="dxa"/>
            <w:vMerge/>
            <w:tcBorders>
              <w:top w:val="single" w:sz="4" w:space="0" w:color="auto"/>
              <w:left w:val="single" w:sz="4" w:space="0" w:color="auto"/>
              <w:bottom w:val="single" w:sz="4" w:space="0" w:color="auto"/>
              <w:right w:val="single" w:sz="4" w:space="0" w:color="auto"/>
            </w:tcBorders>
            <w:vAlign w:val="center"/>
            <w:hideMark/>
          </w:tcPr>
          <w:p w14:paraId="2EAC50A7" w14:textId="77777777" w:rsidR="005369B3" w:rsidRPr="00184F72" w:rsidRDefault="005369B3">
            <w:pPr>
              <w:rPr>
                <w:rFonts w:ascii="Calibri" w:hAnsi="Calibri" w:cs="Calibri"/>
                <w:b/>
                <w:bCs/>
                <w:sz w:val="20"/>
                <w:szCs w:val="20"/>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14:paraId="239ED8AF" w14:textId="77777777" w:rsidR="005369B3" w:rsidRPr="00184F72" w:rsidRDefault="005369B3">
            <w:pPr>
              <w:rPr>
                <w:rFonts w:ascii="Calibri" w:hAnsi="Calibri" w:cs="Calibri"/>
                <w:b/>
                <w:bCs/>
                <w:sz w:val="18"/>
                <w:szCs w:val="18"/>
              </w:rPr>
            </w:pPr>
          </w:p>
        </w:tc>
        <w:tc>
          <w:tcPr>
            <w:tcW w:w="607" w:type="dxa"/>
            <w:vMerge/>
            <w:tcBorders>
              <w:top w:val="single" w:sz="4" w:space="0" w:color="auto"/>
              <w:left w:val="single" w:sz="4" w:space="0" w:color="auto"/>
              <w:bottom w:val="single" w:sz="4" w:space="0" w:color="auto"/>
              <w:right w:val="single" w:sz="4" w:space="0" w:color="auto"/>
            </w:tcBorders>
            <w:vAlign w:val="center"/>
            <w:hideMark/>
          </w:tcPr>
          <w:p w14:paraId="1FEB6607" w14:textId="77777777" w:rsidR="005369B3" w:rsidRPr="00184F72" w:rsidRDefault="005369B3">
            <w:pPr>
              <w:rPr>
                <w:rFonts w:ascii="Calibri" w:hAnsi="Calibri" w:cs="Calibri"/>
                <w:b/>
                <w:bCs/>
                <w:sz w:val="16"/>
                <w:szCs w:val="16"/>
              </w:rPr>
            </w:pPr>
          </w:p>
        </w:tc>
        <w:tc>
          <w:tcPr>
            <w:tcW w:w="222" w:type="dxa"/>
            <w:tcBorders>
              <w:top w:val="nil"/>
              <w:left w:val="nil"/>
              <w:bottom w:val="nil"/>
              <w:right w:val="nil"/>
            </w:tcBorders>
            <w:noWrap/>
            <w:vAlign w:val="bottom"/>
            <w:hideMark/>
          </w:tcPr>
          <w:p w14:paraId="24B5D3B7" w14:textId="77777777" w:rsidR="005369B3" w:rsidRDefault="005369B3">
            <w:pPr>
              <w:jc w:val="center"/>
              <w:rPr>
                <w:rFonts w:ascii="Calibri" w:hAnsi="Calibri" w:cs="Calibri"/>
                <w:b/>
                <w:bCs/>
                <w:sz w:val="16"/>
                <w:szCs w:val="16"/>
              </w:rPr>
            </w:pPr>
          </w:p>
        </w:tc>
      </w:tr>
      <w:tr w:rsidR="005369B3" w14:paraId="29AB3737" w14:textId="77777777" w:rsidTr="005369B3">
        <w:trPr>
          <w:trHeight w:val="180"/>
          <w:jc w:val="center"/>
        </w:trPr>
        <w:tc>
          <w:tcPr>
            <w:tcW w:w="665" w:type="dxa"/>
            <w:tcBorders>
              <w:top w:val="nil"/>
              <w:left w:val="single" w:sz="4" w:space="0" w:color="auto"/>
              <w:bottom w:val="single" w:sz="4" w:space="0" w:color="auto"/>
              <w:right w:val="single" w:sz="4" w:space="0" w:color="auto"/>
            </w:tcBorders>
            <w:noWrap/>
            <w:vAlign w:val="center"/>
            <w:hideMark/>
          </w:tcPr>
          <w:p w14:paraId="6D4F6F7D" w14:textId="77777777" w:rsidR="005369B3" w:rsidRPr="00184F72" w:rsidRDefault="005369B3">
            <w:pPr>
              <w:jc w:val="center"/>
              <w:rPr>
                <w:rFonts w:ascii="Calibri" w:hAnsi="Calibri" w:cs="Calibri"/>
                <w:sz w:val="14"/>
                <w:szCs w:val="14"/>
              </w:rPr>
            </w:pPr>
            <w:r w:rsidRPr="00184F72">
              <w:rPr>
                <w:rFonts w:ascii="Calibri" w:hAnsi="Calibri" w:cs="Calibri"/>
                <w:sz w:val="14"/>
                <w:szCs w:val="14"/>
              </w:rPr>
              <w:t>0</w:t>
            </w:r>
          </w:p>
        </w:tc>
        <w:tc>
          <w:tcPr>
            <w:tcW w:w="4101" w:type="dxa"/>
            <w:tcBorders>
              <w:top w:val="nil"/>
              <w:left w:val="nil"/>
              <w:bottom w:val="single" w:sz="4" w:space="0" w:color="auto"/>
              <w:right w:val="single" w:sz="4" w:space="0" w:color="auto"/>
            </w:tcBorders>
            <w:vAlign w:val="center"/>
            <w:hideMark/>
          </w:tcPr>
          <w:p w14:paraId="1B74F92F" w14:textId="77777777" w:rsidR="005369B3" w:rsidRPr="00184F72" w:rsidRDefault="005369B3">
            <w:pPr>
              <w:jc w:val="center"/>
              <w:rPr>
                <w:rFonts w:ascii="Calibri" w:hAnsi="Calibri" w:cs="Calibri"/>
                <w:sz w:val="14"/>
                <w:szCs w:val="14"/>
              </w:rPr>
            </w:pPr>
            <w:r w:rsidRPr="00184F72">
              <w:rPr>
                <w:rFonts w:ascii="Calibri" w:hAnsi="Calibri" w:cs="Calibri"/>
                <w:sz w:val="14"/>
                <w:szCs w:val="14"/>
              </w:rPr>
              <w:t>1</w:t>
            </w:r>
          </w:p>
        </w:tc>
        <w:tc>
          <w:tcPr>
            <w:tcW w:w="1506" w:type="dxa"/>
            <w:tcBorders>
              <w:top w:val="nil"/>
              <w:left w:val="nil"/>
              <w:bottom w:val="single" w:sz="4" w:space="0" w:color="auto"/>
              <w:right w:val="single" w:sz="4" w:space="0" w:color="auto"/>
            </w:tcBorders>
            <w:vAlign w:val="center"/>
            <w:hideMark/>
          </w:tcPr>
          <w:p w14:paraId="718853C4" w14:textId="77777777" w:rsidR="005369B3" w:rsidRPr="00184F72" w:rsidRDefault="005369B3">
            <w:pPr>
              <w:jc w:val="center"/>
              <w:rPr>
                <w:rFonts w:ascii="Calibri" w:hAnsi="Calibri" w:cs="Calibri"/>
                <w:sz w:val="14"/>
                <w:szCs w:val="14"/>
              </w:rPr>
            </w:pPr>
            <w:r w:rsidRPr="00184F72">
              <w:rPr>
                <w:rFonts w:ascii="Calibri" w:hAnsi="Calibri" w:cs="Calibri"/>
                <w:sz w:val="14"/>
                <w:szCs w:val="14"/>
              </w:rPr>
              <w:t>2</w:t>
            </w:r>
          </w:p>
        </w:tc>
        <w:tc>
          <w:tcPr>
            <w:tcW w:w="1506" w:type="dxa"/>
            <w:tcBorders>
              <w:top w:val="nil"/>
              <w:left w:val="nil"/>
              <w:bottom w:val="single" w:sz="4" w:space="0" w:color="auto"/>
              <w:right w:val="single" w:sz="4" w:space="0" w:color="auto"/>
            </w:tcBorders>
            <w:vAlign w:val="center"/>
            <w:hideMark/>
          </w:tcPr>
          <w:p w14:paraId="1602824A" w14:textId="77777777" w:rsidR="005369B3" w:rsidRPr="00184F72" w:rsidRDefault="005369B3">
            <w:pPr>
              <w:jc w:val="center"/>
              <w:rPr>
                <w:rFonts w:ascii="Calibri" w:hAnsi="Calibri" w:cs="Calibri"/>
                <w:sz w:val="14"/>
                <w:szCs w:val="14"/>
              </w:rPr>
            </w:pPr>
            <w:r w:rsidRPr="00184F72">
              <w:rPr>
                <w:rFonts w:ascii="Calibri" w:hAnsi="Calibri" w:cs="Calibri"/>
                <w:sz w:val="14"/>
                <w:szCs w:val="14"/>
              </w:rPr>
              <w:t>3</w:t>
            </w:r>
          </w:p>
        </w:tc>
        <w:tc>
          <w:tcPr>
            <w:tcW w:w="1506" w:type="dxa"/>
            <w:tcBorders>
              <w:top w:val="nil"/>
              <w:left w:val="nil"/>
              <w:bottom w:val="single" w:sz="4" w:space="0" w:color="auto"/>
              <w:right w:val="single" w:sz="4" w:space="0" w:color="auto"/>
            </w:tcBorders>
            <w:vAlign w:val="center"/>
            <w:hideMark/>
          </w:tcPr>
          <w:p w14:paraId="794CFC90" w14:textId="77777777" w:rsidR="005369B3" w:rsidRPr="00184F72" w:rsidRDefault="005369B3">
            <w:pPr>
              <w:jc w:val="center"/>
              <w:rPr>
                <w:rFonts w:ascii="Calibri" w:hAnsi="Calibri" w:cs="Calibri"/>
                <w:sz w:val="14"/>
                <w:szCs w:val="14"/>
              </w:rPr>
            </w:pPr>
            <w:r w:rsidRPr="00184F72">
              <w:rPr>
                <w:rFonts w:ascii="Calibri" w:hAnsi="Calibri" w:cs="Calibri"/>
                <w:sz w:val="14"/>
                <w:szCs w:val="14"/>
              </w:rPr>
              <w:t>4</w:t>
            </w:r>
          </w:p>
        </w:tc>
        <w:tc>
          <w:tcPr>
            <w:tcW w:w="877" w:type="dxa"/>
            <w:tcBorders>
              <w:top w:val="nil"/>
              <w:left w:val="nil"/>
              <w:bottom w:val="single" w:sz="4" w:space="0" w:color="auto"/>
              <w:right w:val="single" w:sz="4" w:space="0" w:color="auto"/>
            </w:tcBorders>
            <w:vAlign w:val="center"/>
            <w:hideMark/>
          </w:tcPr>
          <w:p w14:paraId="19821C8C" w14:textId="77777777" w:rsidR="005369B3" w:rsidRPr="00184F72" w:rsidRDefault="005369B3">
            <w:pPr>
              <w:jc w:val="center"/>
              <w:rPr>
                <w:rFonts w:ascii="Calibri" w:hAnsi="Calibri" w:cs="Calibri"/>
                <w:sz w:val="14"/>
                <w:szCs w:val="14"/>
              </w:rPr>
            </w:pPr>
            <w:r w:rsidRPr="00184F72">
              <w:rPr>
                <w:rFonts w:ascii="Calibri" w:hAnsi="Calibri" w:cs="Calibri"/>
                <w:sz w:val="14"/>
                <w:szCs w:val="14"/>
              </w:rPr>
              <w:t>5 = 4 /2</w:t>
            </w:r>
          </w:p>
        </w:tc>
        <w:tc>
          <w:tcPr>
            <w:tcW w:w="607" w:type="dxa"/>
            <w:tcBorders>
              <w:top w:val="nil"/>
              <w:left w:val="nil"/>
              <w:bottom w:val="single" w:sz="4" w:space="0" w:color="auto"/>
              <w:right w:val="single" w:sz="4" w:space="0" w:color="auto"/>
            </w:tcBorders>
            <w:vAlign w:val="center"/>
            <w:hideMark/>
          </w:tcPr>
          <w:p w14:paraId="2F8DE0A1" w14:textId="77777777" w:rsidR="005369B3" w:rsidRPr="00184F72" w:rsidRDefault="005369B3">
            <w:pPr>
              <w:jc w:val="center"/>
              <w:rPr>
                <w:rFonts w:ascii="Calibri" w:hAnsi="Calibri" w:cs="Calibri"/>
                <w:sz w:val="14"/>
                <w:szCs w:val="14"/>
              </w:rPr>
            </w:pPr>
            <w:r w:rsidRPr="00184F72">
              <w:rPr>
                <w:rFonts w:ascii="Calibri" w:hAnsi="Calibri" w:cs="Calibri"/>
                <w:sz w:val="14"/>
                <w:szCs w:val="14"/>
              </w:rPr>
              <w:t>6 = 4 /3</w:t>
            </w:r>
          </w:p>
        </w:tc>
        <w:tc>
          <w:tcPr>
            <w:tcW w:w="222" w:type="dxa"/>
            <w:vAlign w:val="center"/>
            <w:hideMark/>
          </w:tcPr>
          <w:p w14:paraId="70EF5C0C" w14:textId="77777777" w:rsidR="005369B3" w:rsidRDefault="005369B3">
            <w:pPr>
              <w:rPr>
                <w:sz w:val="20"/>
                <w:szCs w:val="20"/>
              </w:rPr>
            </w:pPr>
          </w:p>
        </w:tc>
      </w:tr>
      <w:tr w:rsidR="005369B3" w14:paraId="3DF4F72C" w14:textId="77777777" w:rsidTr="005369B3">
        <w:trPr>
          <w:trHeight w:val="530"/>
          <w:jc w:val="center"/>
        </w:trPr>
        <w:tc>
          <w:tcPr>
            <w:tcW w:w="665" w:type="dxa"/>
            <w:tcBorders>
              <w:top w:val="nil"/>
              <w:left w:val="single" w:sz="4" w:space="0" w:color="auto"/>
              <w:bottom w:val="single" w:sz="4" w:space="0" w:color="auto"/>
              <w:right w:val="single" w:sz="4" w:space="0" w:color="auto"/>
            </w:tcBorders>
            <w:shd w:val="clear" w:color="000000" w:fill="D9D9D9"/>
            <w:noWrap/>
            <w:vAlign w:val="center"/>
            <w:hideMark/>
          </w:tcPr>
          <w:p w14:paraId="28720064" w14:textId="77777777" w:rsidR="005369B3" w:rsidRPr="00184F72" w:rsidRDefault="005369B3">
            <w:pPr>
              <w:jc w:val="center"/>
              <w:rPr>
                <w:rFonts w:ascii="Calibri" w:hAnsi="Calibri" w:cs="Calibri"/>
                <w:b/>
                <w:bCs/>
                <w:sz w:val="22"/>
                <w:szCs w:val="22"/>
              </w:rPr>
            </w:pPr>
            <w:r w:rsidRPr="00184F72">
              <w:rPr>
                <w:rFonts w:ascii="Calibri" w:hAnsi="Calibri" w:cs="Calibri"/>
                <w:b/>
                <w:bCs/>
                <w:sz w:val="22"/>
                <w:szCs w:val="22"/>
              </w:rPr>
              <w:t>6</w:t>
            </w:r>
          </w:p>
        </w:tc>
        <w:tc>
          <w:tcPr>
            <w:tcW w:w="4101" w:type="dxa"/>
            <w:tcBorders>
              <w:top w:val="nil"/>
              <w:left w:val="nil"/>
              <w:bottom w:val="single" w:sz="4" w:space="0" w:color="auto"/>
              <w:right w:val="single" w:sz="4" w:space="0" w:color="auto"/>
            </w:tcBorders>
            <w:shd w:val="clear" w:color="000000" w:fill="D9D9D9"/>
            <w:vAlign w:val="center"/>
            <w:hideMark/>
          </w:tcPr>
          <w:p w14:paraId="3885B3C7" w14:textId="77777777" w:rsidR="005369B3" w:rsidRPr="00184F72" w:rsidRDefault="005369B3">
            <w:pPr>
              <w:jc w:val="center"/>
              <w:rPr>
                <w:rFonts w:ascii="Calibri" w:hAnsi="Calibri" w:cs="Calibri"/>
                <w:b/>
                <w:bCs/>
                <w:sz w:val="22"/>
                <w:szCs w:val="22"/>
              </w:rPr>
            </w:pPr>
            <w:r w:rsidRPr="00184F72">
              <w:rPr>
                <w:rFonts w:ascii="Calibri" w:hAnsi="Calibri" w:cs="Calibri"/>
                <w:b/>
                <w:bCs/>
                <w:sz w:val="22"/>
                <w:szCs w:val="22"/>
              </w:rPr>
              <w:t>PRIHODI POSLOVANJA</w:t>
            </w:r>
          </w:p>
        </w:tc>
        <w:tc>
          <w:tcPr>
            <w:tcW w:w="1506" w:type="dxa"/>
            <w:tcBorders>
              <w:top w:val="nil"/>
              <w:left w:val="nil"/>
              <w:bottom w:val="single" w:sz="4" w:space="0" w:color="auto"/>
              <w:right w:val="single" w:sz="4" w:space="0" w:color="auto"/>
            </w:tcBorders>
            <w:shd w:val="clear" w:color="000000" w:fill="D9D9D9"/>
            <w:noWrap/>
            <w:vAlign w:val="center"/>
            <w:hideMark/>
          </w:tcPr>
          <w:p w14:paraId="7C4E9CA6" w14:textId="77777777" w:rsidR="005369B3" w:rsidRPr="00184F72" w:rsidRDefault="005369B3">
            <w:pPr>
              <w:jc w:val="right"/>
              <w:rPr>
                <w:rFonts w:ascii="Calibri" w:hAnsi="Calibri" w:cs="Calibri"/>
                <w:b/>
                <w:bCs/>
                <w:sz w:val="22"/>
                <w:szCs w:val="22"/>
              </w:rPr>
            </w:pPr>
            <w:r w:rsidRPr="00184F72">
              <w:rPr>
                <w:rFonts w:ascii="Calibri" w:hAnsi="Calibri" w:cs="Calibri"/>
                <w:b/>
                <w:bCs/>
                <w:sz w:val="22"/>
                <w:szCs w:val="22"/>
              </w:rPr>
              <w:t>31.232.777,65</w:t>
            </w:r>
          </w:p>
        </w:tc>
        <w:tc>
          <w:tcPr>
            <w:tcW w:w="1506" w:type="dxa"/>
            <w:tcBorders>
              <w:top w:val="nil"/>
              <w:left w:val="nil"/>
              <w:bottom w:val="single" w:sz="4" w:space="0" w:color="auto"/>
              <w:right w:val="single" w:sz="4" w:space="0" w:color="auto"/>
            </w:tcBorders>
            <w:shd w:val="clear" w:color="000000" w:fill="D9D9D9"/>
            <w:noWrap/>
            <w:vAlign w:val="center"/>
            <w:hideMark/>
          </w:tcPr>
          <w:p w14:paraId="6EDC97D2" w14:textId="77777777" w:rsidR="005369B3" w:rsidRPr="00184F72" w:rsidRDefault="005369B3">
            <w:pPr>
              <w:jc w:val="right"/>
              <w:rPr>
                <w:rFonts w:ascii="Calibri" w:hAnsi="Calibri" w:cs="Calibri"/>
                <w:b/>
                <w:bCs/>
                <w:sz w:val="22"/>
                <w:szCs w:val="22"/>
              </w:rPr>
            </w:pPr>
            <w:r w:rsidRPr="00184F72">
              <w:rPr>
                <w:rFonts w:ascii="Calibri" w:hAnsi="Calibri" w:cs="Calibri"/>
                <w:b/>
                <w:bCs/>
                <w:sz w:val="22"/>
                <w:szCs w:val="22"/>
              </w:rPr>
              <w:t>35.166.207,00</w:t>
            </w:r>
          </w:p>
        </w:tc>
        <w:tc>
          <w:tcPr>
            <w:tcW w:w="1506" w:type="dxa"/>
            <w:tcBorders>
              <w:top w:val="nil"/>
              <w:left w:val="nil"/>
              <w:bottom w:val="single" w:sz="4" w:space="0" w:color="auto"/>
              <w:right w:val="single" w:sz="4" w:space="0" w:color="auto"/>
            </w:tcBorders>
            <w:shd w:val="clear" w:color="000000" w:fill="D9D9D9"/>
            <w:noWrap/>
            <w:vAlign w:val="center"/>
            <w:hideMark/>
          </w:tcPr>
          <w:p w14:paraId="1FB93586" w14:textId="77777777" w:rsidR="005369B3" w:rsidRPr="00184F72" w:rsidRDefault="005369B3">
            <w:pPr>
              <w:jc w:val="right"/>
              <w:rPr>
                <w:rFonts w:ascii="Calibri" w:hAnsi="Calibri" w:cs="Calibri"/>
                <w:b/>
                <w:bCs/>
                <w:sz w:val="22"/>
                <w:szCs w:val="22"/>
              </w:rPr>
            </w:pPr>
            <w:r w:rsidRPr="00184F72">
              <w:rPr>
                <w:rFonts w:ascii="Calibri" w:hAnsi="Calibri" w:cs="Calibri"/>
                <w:b/>
                <w:bCs/>
                <w:sz w:val="22"/>
                <w:szCs w:val="22"/>
              </w:rPr>
              <w:t>34.874.730,51</w:t>
            </w:r>
          </w:p>
        </w:tc>
        <w:tc>
          <w:tcPr>
            <w:tcW w:w="877" w:type="dxa"/>
            <w:tcBorders>
              <w:top w:val="nil"/>
              <w:left w:val="nil"/>
              <w:bottom w:val="single" w:sz="4" w:space="0" w:color="auto"/>
              <w:right w:val="single" w:sz="4" w:space="0" w:color="auto"/>
            </w:tcBorders>
            <w:shd w:val="clear" w:color="000000" w:fill="D9D9D9"/>
            <w:noWrap/>
            <w:vAlign w:val="center"/>
            <w:hideMark/>
          </w:tcPr>
          <w:p w14:paraId="1F470E41" w14:textId="77777777" w:rsidR="005369B3" w:rsidRPr="00184F72" w:rsidRDefault="005369B3">
            <w:pPr>
              <w:jc w:val="center"/>
              <w:rPr>
                <w:rFonts w:ascii="Calibri" w:hAnsi="Calibri" w:cs="Calibri"/>
                <w:b/>
                <w:bCs/>
                <w:sz w:val="22"/>
                <w:szCs w:val="22"/>
              </w:rPr>
            </w:pPr>
            <w:r w:rsidRPr="00184F72">
              <w:rPr>
                <w:rFonts w:ascii="Calibri" w:hAnsi="Calibri" w:cs="Calibri"/>
                <w:b/>
                <w:bCs/>
                <w:sz w:val="22"/>
                <w:szCs w:val="22"/>
              </w:rPr>
              <w:t>112%</w:t>
            </w:r>
          </w:p>
        </w:tc>
        <w:tc>
          <w:tcPr>
            <w:tcW w:w="607" w:type="dxa"/>
            <w:tcBorders>
              <w:top w:val="nil"/>
              <w:left w:val="nil"/>
              <w:bottom w:val="single" w:sz="4" w:space="0" w:color="auto"/>
              <w:right w:val="single" w:sz="4" w:space="0" w:color="auto"/>
            </w:tcBorders>
            <w:shd w:val="clear" w:color="000000" w:fill="D9D9D9"/>
            <w:noWrap/>
            <w:vAlign w:val="center"/>
            <w:hideMark/>
          </w:tcPr>
          <w:p w14:paraId="03FA8C6A" w14:textId="77777777" w:rsidR="005369B3" w:rsidRPr="00184F72" w:rsidRDefault="005369B3">
            <w:pPr>
              <w:jc w:val="center"/>
              <w:rPr>
                <w:rFonts w:ascii="Calibri" w:hAnsi="Calibri" w:cs="Calibri"/>
                <w:b/>
                <w:bCs/>
                <w:sz w:val="22"/>
                <w:szCs w:val="22"/>
              </w:rPr>
            </w:pPr>
            <w:r w:rsidRPr="00184F72">
              <w:rPr>
                <w:rFonts w:ascii="Calibri" w:hAnsi="Calibri" w:cs="Calibri"/>
                <w:b/>
                <w:bCs/>
                <w:sz w:val="22"/>
                <w:szCs w:val="22"/>
              </w:rPr>
              <w:t>99%</w:t>
            </w:r>
          </w:p>
        </w:tc>
        <w:tc>
          <w:tcPr>
            <w:tcW w:w="222" w:type="dxa"/>
            <w:vAlign w:val="center"/>
            <w:hideMark/>
          </w:tcPr>
          <w:p w14:paraId="3DE965D8" w14:textId="77777777" w:rsidR="005369B3" w:rsidRDefault="005369B3">
            <w:pPr>
              <w:rPr>
                <w:sz w:val="20"/>
                <w:szCs w:val="20"/>
              </w:rPr>
            </w:pPr>
          </w:p>
        </w:tc>
      </w:tr>
      <w:tr w:rsidR="005369B3" w14:paraId="51E06C82" w14:textId="77777777" w:rsidTr="005369B3">
        <w:trPr>
          <w:trHeight w:val="550"/>
          <w:jc w:val="center"/>
        </w:trPr>
        <w:tc>
          <w:tcPr>
            <w:tcW w:w="665" w:type="dxa"/>
            <w:tcBorders>
              <w:top w:val="nil"/>
              <w:left w:val="single" w:sz="4" w:space="0" w:color="auto"/>
              <w:bottom w:val="single" w:sz="4" w:space="0" w:color="auto"/>
              <w:right w:val="single" w:sz="4" w:space="0" w:color="auto"/>
            </w:tcBorders>
            <w:shd w:val="clear" w:color="000000" w:fill="D9D9D9"/>
            <w:noWrap/>
            <w:vAlign w:val="bottom"/>
            <w:hideMark/>
          </w:tcPr>
          <w:p w14:paraId="79BB1571" w14:textId="77777777" w:rsidR="005369B3" w:rsidRPr="00184F72" w:rsidRDefault="005369B3">
            <w:pPr>
              <w:jc w:val="center"/>
              <w:rPr>
                <w:rFonts w:ascii="Calibri" w:hAnsi="Calibri" w:cs="Calibri"/>
                <w:b/>
                <w:bCs/>
                <w:sz w:val="22"/>
                <w:szCs w:val="22"/>
              </w:rPr>
            </w:pPr>
            <w:r w:rsidRPr="00184F72">
              <w:rPr>
                <w:rFonts w:ascii="Calibri" w:hAnsi="Calibri" w:cs="Calibri"/>
                <w:b/>
                <w:bCs/>
                <w:sz w:val="22"/>
                <w:szCs w:val="22"/>
              </w:rPr>
              <w:t>63</w:t>
            </w:r>
          </w:p>
        </w:tc>
        <w:tc>
          <w:tcPr>
            <w:tcW w:w="4101" w:type="dxa"/>
            <w:tcBorders>
              <w:top w:val="nil"/>
              <w:left w:val="nil"/>
              <w:bottom w:val="single" w:sz="4" w:space="0" w:color="auto"/>
              <w:right w:val="single" w:sz="4" w:space="0" w:color="auto"/>
            </w:tcBorders>
            <w:shd w:val="clear" w:color="000000" w:fill="D9D9D9"/>
            <w:vAlign w:val="center"/>
            <w:hideMark/>
          </w:tcPr>
          <w:p w14:paraId="193294AD" w14:textId="77777777" w:rsidR="005369B3" w:rsidRPr="00184F72" w:rsidRDefault="005369B3">
            <w:pPr>
              <w:rPr>
                <w:rFonts w:ascii="Calibri" w:hAnsi="Calibri" w:cs="Calibri"/>
                <w:b/>
                <w:bCs/>
                <w:sz w:val="22"/>
                <w:szCs w:val="22"/>
              </w:rPr>
            </w:pPr>
            <w:r w:rsidRPr="00184F72">
              <w:rPr>
                <w:rFonts w:ascii="Calibri" w:hAnsi="Calibri" w:cs="Calibri"/>
                <w:b/>
                <w:bCs/>
                <w:sz w:val="22"/>
                <w:szCs w:val="22"/>
              </w:rPr>
              <w:t>POMOĆI IZ INOZEMSTVA I OD SUBJEKATA UNUTAR OPĆEG PRORAČUNA</w:t>
            </w:r>
          </w:p>
        </w:tc>
        <w:tc>
          <w:tcPr>
            <w:tcW w:w="1506" w:type="dxa"/>
            <w:tcBorders>
              <w:top w:val="nil"/>
              <w:left w:val="nil"/>
              <w:bottom w:val="single" w:sz="4" w:space="0" w:color="auto"/>
              <w:right w:val="single" w:sz="4" w:space="0" w:color="auto"/>
            </w:tcBorders>
            <w:shd w:val="clear" w:color="000000" w:fill="D9D9D9"/>
            <w:vAlign w:val="bottom"/>
            <w:hideMark/>
          </w:tcPr>
          <w:p w14:paraId="447E77CE" w14:textId="77777777" w:rsidR="005369B3" w:rsidRPr="00184F72" w:rsidRDefault="005369B3">
            <w:pPr>
              <w:jc w:val="right"/>
              <w:rPr>
                <w:rFonts w:ascii="Calibri" w:hAnsi="Calibri" w:cs="Calibri"/>
                <w:b/>
                <w:bCs/>
                <w:sz w:val="22"/>
                <w:szCs w:val="22"/>
              </w:rPr>
            </w:pPr>
            <w:r w:rsidRPr="00184F72">
              <w:rPr>
                <w:rFonts w:ascii="Calibri" w:hAnsi="Calibri" w:cs="Calibri"/>
                <w:b/>
                <w:bCs/>
                <w:sz w:val="22"/>
                <w:szCs w:val="22"/>
              </w:rPr>
              <w:t>1.674.216,90</w:t>
            </w:r>
          </w:p>
        </w:tc>
        <w:tc>
          <w:tcPr>
            <w:tcW w:w="1506" w:type="dxa"/>
            <w:tcBorders>
              <w:top w:val="nil"/>
              <w:left w:val="nil"/>
              <w:bottom w:val="single" w:sz="4" w:space="0" w:color="auto"/>
              <w:right w:val="single" w:sz="4" w:space="0" w:color="auto"/>
            </w:tcBorders>
            <w:shd w:val="clear" w:color="000000" w:fill="D9D9D9"/>
            <w:vAlign w:val="bottom"/>
            <w:hideMark/>
          </w:tcPr>
          <w:p w14:paraId="42C6F433" w14:textId="77777777" w:rsidR="005369B3" w:rsidRPr="00184F72" w:rsidRDefault="005369B3">
            <w:pPr>
              <w:jc w:val="right"/>
              <w:rPr>
                <w:rFonts w:ascii="Calibri" w:hAnsi="Calibri" w:cs="Calibri"/>
                <w:b/>
                <w:bCs/>
                <w:sz w:val="22"/>
                <w:szCs w:val="22"/>
              </w:rPr>
            </w:pPr>
            <w:r w:rsidRPr="00184F72">
              <w:rPr>
                <w:rFonts w:ascii="Calibri" w:hAnsi="Calibri" w:cs="Calibri"/>
                <w:b/>
                <w:bCs/>
                <w:sz w:val="22"/>
                <w:szCs w:val="22"/>
              </w:rPr>
              <w:t>1.093.979,00</w:t>
            </w:r>
          </w:p>
        </w:tc>
        <w:tc>
          <w:tcPr>
            <w:tcW w:w="1506" w:type="dxa"/>
            <w:tcBorders>
              <w:top w:val="nil"/>
              <w:left w:val="nil"/>
              <w:bottom w:val="single" w:sz="4" w:space="0" w:color="auto"/>
              <w:right w:val="single" w:sz="4" w:space="0" w:color="auto"/>
            </w:tcBorders>
            <w:shd w:val="clear" w:color="000000" w:fill="D9D9D9"/>
            <w:vAlign w:val="bottom"/>
            <w:hideMark/>
          </w:tcPr>
          <w:p w14:paraId="6593249D" w14:textId="77777777" w:rsidR="005369B3" w:rsidRPr="00184F72" w:rsidRDefault="005369B3">
            <w:pPr>
              <w:jc w:val="right"/>
              <w:rPr>
                <w:rFonts w:ascii="Calibri" w:hAnsi="Calibri" w:cs="Calibri"/>
                <w:b/>
                <w:bCs/>
                <w:sz w:val="22"/>
                <w:szCs w:val="22"/>
              </w:rPr>
            </w:pPr>
            <w:r w:rsidRPr="00184F72">
              <w:rPr>
                <w:rFonts w:ascii="Calibri" w:hAnsi="Calibri" w:cs="Calibri"/>
                <w:b/>
                <w:bCs/>
                <w:sz w:val="22"/>
                <w:szCs w:val="22"/>
              </w:rPr>
              <w:t>1.088.250,77</w:t>
            </w:r>
          </w:p>
        </w:tc>
        <w:tc>
          <w:tcPr>
            <w:tcW w:w="877" w:type="dxa"/>
            <w:tcBorders>
              <w:top w:val="nil"/>
              <w:left w:val="nil"/>
              <w:bottom w:val="single" w:sz="4" w:space="0" w:color="auto"/>
              <w:right w:val="single" w:sz="4" w:space="0" w:color="auto"/>
            </w:tcBorders>
            <w:shd w:val="clear" w:color="000000" w:fill="D9D9D9"/>
            <w:vAlign w:val="bottom"/>
            <w:hideMark/>
          </w:tcPr>
          <w:p w14:paraId="58F07DF0" w14:textId="77777777" w:rsidR="005369B3" w:rsidRPr="00184F72" w:rsidRDefault="005369B3">
            <w:pPr>
              <w:jc w:val="center"/>
              <w:rPr>
                <w:rFonts w:ascii="Calibri" w:hAnsi="Calibri" w:cs="Calibri"/>
                <w:b/>
                <w:bCs/>
                <w:sz w:val="22"/>
                <w:szCs w:val="22"/>
              </w:rPr>
            </w:pPr>
            <w:r w:rsidRPr="00184F72">
              <w:rPr>
                <w:rFonts w:ascii="Calibri" w:hAnsi="Calibri" w:cs="Calibri"/>
                <w:b/>
                <w:bCs/>
                <w:sz w:val="22"/>
                <w:szCs w:val="22"/>
              </w:rPr>
              <w:t>65%</w:t>
            </w:r>
          </w:p>
        </w:tc>
        <w:tc>
          <w:tcPr>
            <w:tcW w:w="607" w:type="dxa"/>
            <w:tcBorders>
              <w:top w:val="nil"/>
              <w:left w:val="nil"/>
              <w:bottom w:val="single" w:sz="4" w:space="0" w:color="auto"/>
              <w:right w:val="single" w:sz="4" w:space="0" w:color="auto"/>
            </w:tcBorders>
            <w:shd w:val="clear" w:color="000000" w:fill="D9D9D9"/>
            <w:vAlign w:val="bottom"/>
            <w:hideMark/>
          </w:tcPr>
          <w:p w14:paraId="1D1C5767" w14:textId="77777777" w:rsidR="005369B3" w:rsidRPr="00184F72" w:rsidRDefault="005369B3">
            <w:pPr>
              <w:jc w:val="center"/>
              <w:rPr>
                <w:rFonts w:ascii="Calibri" w:hAnsi="Calibri" w:cs="Calibri"/>
                <w:b/>
                <w:bCs/>
                <w:sz w:val="22"/>
                <w:szCs w:val="22"/>
              </w:rPr>
            </w:pPr>
            <w:r w:rsidRPr="00184F72">
              <w:rPr>
                <w:rFonts w:ascii="Calibri" w:hAnsi="Calibri" w:cs="Calibri"/>
                <w:b/>
                <w:bCs/>
                <w:sz w:val="22"/>
                <w:szCs w:val="22"/>
              </w:rPr>
              <w:t>99%</w:t>
            </w:r>
          </w:p>
        </w:tc>
        <w:tc>
          <w:tcPr>
            <w:tcW w:w="222" w:type="dxa"/>
            <w:vAlign w:val="center"/>
            <w:hideMark/>
          </w:tcPr>
          <w:p w14:paraId="6351BD84" w14:textId="77777777" w:rsidR="005369B3" w:rsidRDefault="005369B3">
            <w:pPr>
              <w:rPr>
                <w:sz w:val="20"/>
                <w:szCs w:val="20"/>
              </w:rPr>
            </w:pPr>
          </w:p>
        </w:tc>
      </w:tr>
      <w:tr w:rsidR="005369B3" w14:paraId="5F61CFBB" w14:textId="77777777" w:rsidTr="005369B3">
        <w:trPr>
          <w:trHeight w:val="620"/>
          <w:jc w:val="center"/>
        </w:trPr>
        <w:tc>
          <w:tcPr>
            <w:tcW w:w="665" w:type="dxa"/>
            <w:tcBorders>
              <w:top w:val="nil"/>
              <w:left w:val="single" w:sz="4" w:space="0" w:color="auto"/>
              <w:bottom w:val="single" w:sz="4" w:space="0" w:color="auto"/>
              <w:right w:val="single" w:sz="4" w:space="0" w:color="auto"/>
            </w:tcBorders>
            <w:shd w:val="clear" w:color="000000" w:fill="FFFFFF"/>
            <w:noWrap/>
            <w:vAlign w:val="bottom"/>
            <w:hideMark/>
          </w:tcPr>
          <w:p w14:paraId="29AFA539" w14:textId="77777777" w:rsidR="005369B3" w:rsidRDefault="005369B3">
            <w:pPr>
              <w:jc w:val="center"/>
              <w:rPr>
                <w:rFonts w:ascii="Calibri" w:hAnsi="Calibri" w:cs="Calibri"/>
                <w:b/>
                <w:bCs/>
                <w:sz w:val="22"/>
                <w:szCs w:val="22"/>
              </w:rPr>
            </w:pPr>
            <w:r>
              <w:rPr>
                <w:rFonts w:ascii="Calibri" w:hAnsi="Calibri" w:cs="Calibri"/>
                <w:b/>
                <w:bCs/>
                <w:sz w:val="22"/>
                <w:szCs w:val="22"/>
              </w:rPr>
              <w:t>634</w:t>
            </w:r>
          </w:p>
        </w:tc>
        <w:tc>
          <w:tcPr>
            <w:tcW w:w="4101" w:type="dxa"/>
            <w:tcBorders>
              <w:top w:val="nil"/>
              <w:left w:val="nil"/>
              <w:bottom w:val="single" w:sz="4" w:space="0" w:color="auto"/>
              <w:right w:val="single" w:sz="4" w:space="0" w:color="auto"/>
            </w:tcBorders>
            <w:shd w:val="clear" w:color="000000" w:fill="FFFFFF"/>
            <w:vAlign w:val="center"/>
            <w:hideMark/>
          </w:tcPr>
          <w:p w14:paraId="5262480F" w14:textId="77777777" w:rsidR="005369B3" w:rsidRDefault="005369B3">
            <w:pPr>
              <w:rPr>
                <w:rFonts w:ascii="Calibri" w:hAnsi="Calibri" w:cs="Calibri"/>
                <w:b/>
                <w:bCs/>
                <w:sz w:val="22"/>
                <w:szCs w:val="22"/>
              </w:rPr>
            </w:pPr>
            <w:r>
              <w:rPr>
                <w:rFonts w:ascii="Calibri" w:hAnsi="Calibri" w:cs="Calibri"/>
                <w:b/>
                <w:bCs/>
                <w:sz w:val="22"/>
                <w:szCs w:val="22"/>
              </w:rPr>
              <w:t>Pomoći od ostalih subjekata unutar opće države</w:t>
            </w:r>
          </w:p>
        </w:tc>
        <w:tc>
          <w:tcPr>
            <w:tcW w:w="1506" w:type="dxa"/>
            <w:tcBorders>
              <w:top w:val="nil"/>
              <w:left w:val="nil"/>
              <w:bottom w:val="single" w:sz="4" w:space="0" w:color="auto"/>
              <w:right w:val="single" w:sz="4" w:space="0" w:color="auto"/>
            </w:tcBorders>
            <w:shd w:val="clear" w:color="000000" w:fill="FFFFFF"/>
            <w:vAlign w:val="bottom"/>
            <w:hideMark/>
          </w:tcPr>
          <w:p w14:paraId="1F7344D0" w14:textId="77777777" w:rsidR="005369B3" w:rsidRDefault="005369B3">
            <w:pPr>
              <w:jc w:val="right"/>
              <w:rPr>
                <w:rFonts w:ascii="Calibri" w:hAnsi="Calibri" w:cs="Calibri"/>
                <w:b/>
                <w:bCs/>
                <w:sz w:val="22"/>
                <w:szCs w:val="22"/>
              </w:rPr>
            </w:pPr>
            <w:r>
              <w:rPr>
                <w:rFonts w:ascii="Calibri" w:hAnsi="Calibri" w:cs="Calibri"/>
                <w:b/>
                <w:bCs/>
                <w:sz w:val="22"/>
                <w:szCs w:val="22"/>
              </w:rPr>
              <w:t>224.136,07</w:t>
            </w:r>
          </w:p>
        </w:tc>
        <w:tc>
          <w:tcPr>
            <w:tcW w:w="1506" w:type="dxa"/>
            <w:tcBorders>
              <w:top w:val="nil"/>
              <w:left w:val="nil"/>
              <w:bottom w:val="single" w:sz="4" w:space="0" w:color="auto"/>
              <w:right w:val="single" w:sz="4" w:space="0" w:color="auto"/>
            </w:tcBorders>
            <w:shd w:val="clear" w:color="000000" w:fill="FFFFFF"/>
            <w:vAlign w:val="bottom"/>
            <w:hideMark/>
          </w:tcPr>
          <w:p w14:paraId="24239F7A" w14:textId="77777777" w:rsidR="005369B3" w:rsidRDefault="005369B3">
            <w:pPr>
              <w:jc w:val="right"/>
              <w:rPr>
                <w:rFonts w:ascii="Calibri" w:hAnsi="Calibri" w:cs="Calibri"/>
                <w:b/>
                <w:bCs/>
                <w:sz w:val="22"/>
                <w:szCs w:val="22"/>
              </w:rPr>
            </w:pPr>
            <w:r>
              <w:rPr>
                <w:rFonts w:ascii="Calibri" w:hAnsi="Calibri" w:cs="Calibri"/>
                <w:b/>
                <w:bCs/>
                <w:sz w:val="22"/>
                <w:szCs w:val="22"/>
              </w:rPr>
              <w:t> </w:t>
            </w:r>
          </w:p>
        </w:tc>
        <w:tc>
          <w:tcPr>
            <w:tcW w:w="1506" w:type="dxa"/>
            <w:tcBorders>
              <w:top w:val="nil"/>
              <w:left w:val="nil"/>
              <w:bottom w:val="single" w:sz="4" w:space="0" w:color="auto"/>
              <w:right w:val="single" w:sz="4" w:space="0" w:color="auto"/>
            </w:tcBorders>
            <w:shd w:val="clear" w:color="000000" w:fill="FFFFFF"/>
            <w:vAlign w:val="bottom"/>
            <w:hideMark/>
          </w:tcPr>
          <w:p w14:paraId="05A9E2D7" w14:textId="77777777" w:rsidR="005369B3" w:rsidRDefault="005369B3">
            <w:pPr>
              <w:jc w:val="right"/>
              <w:rPr>
                <w:rFonts w:ascii="Calibri" w:hAnsi="Calibri" w:cs="Calibri"/>
                <w:b/>
                <w:bCs/>
                <w:sz w:val="22"/>
                <w:szCs w:val="22"/>
              </w:rPr>
            </w:pPr>
            <w:r>
              <w:rPr>
                <w:rFonts w:ascii="Calibri" w:hAnsi="Calibri" w:cs="Calibri"/>
                <w:b/>
                <w:bCs/>
                <w:sz w:val="22"/>
                <w:szCs w:val="22"/>
              </w:rPr>
              <w:t>40.023,48</w:t>
            </w:r>
          </w:p>
        </w:tc>
        <w:tc>
          <w:tcPr>
            <w:tcW w:w="877" w:type="dxa"/>
            <w:tcBorders>
              <w:top w:val="nil"/>
              <w:left w:val="nil"/>
              <w:bottom w:val="single" w:sz="4" w:space="0" w:color="auto"/>
              <w:right w:val="single" w:sz="4" w:space="0" w:color="auto"/>
            </w:tcBorders>
            <w:noWrap/>
            <w:vAlign w:val="bottom"/>
            <w:hideMark/>
          </w:tcPr>
          <w:p w14:paraId="61700B93" w14:textId="77777777" w:rsidR="005369B3" w:rsidRDefault="005369B3">
            <w:pPr>
              <w:jc w:val="center"/>
              <w:rPr>
                <w:rFonts w:ascii="Calibri" w:hAnsi="Calibri" w:cs="Calibri"/>
                <w:color w:val="000000"/>
                <w:sz w:val="22"/>
                <w:szCs w:val="22"/>
              </w:rPr>
            </w:pPr>
            <w:r>
              <w:rPr>
                <w:rFonts w:ascii="Calibri" w:hAnsi="Calibri" w:cs="Calibri"/>
                <w:color w:val="000000"/>
                <w:sz w:val="22"/>
                <w:szCs w:val="22"/>
              </w:rPr>
              <w:t>18%</w:t>
            </w:r>
          </w:p>
        </w:tc>
        <w:tc>
          <w:tcPr>
            <w:tcW w:w="607" w:type="dxa"/>
            <w:tcBorders>
              <w:top w:val="nil"/>
              <w:left w:val="nil"/>
              <w:bottom w:val="single" w:sz="4" w:space="0" w:color="auto"/>
              <w:right w:val="single" w:sz="4" w:space="0" w:color="auto"/>
            </w:tcBorders>
            <w:shd w:val="clear" w:color="000000" w:fill="FFFFFF"/>
            <w:vAlign w:val="bottom"/>
            <w:hideMark/>
          </w:tcPr>
          <w:p w14:paraId="2278EC75" w14:textId="77777777" w:rsidR="005369B3" w:rsidRDefault="005369B3">
            <w:pPr>
              <w:jc w:val="center"/>
              <w:rPr>
                <w:rFonts w:ascii="Calibri" w:hAnsi="Calibri" w:cs="Calibri"/>
                <w:b/>
                <w:bCs/>
                <w:sz w:val="22"/>
                <w:szCs w:val="22"/>
              </w:rPr>
            </w:pPr>
            <w:r>
              <w:rPr>
                <w:rFonts w:ascii="Calibri" w:hAnsi="Calibri" w:cs="Calibri"/>
                <w:b/>
                <w:bCs/>
                <w:sz w:val="22"/>
                <w:szCs w:val="22"/>
              </w:rPr>
              <w:t> </w:t>
            </w:r>
          </w:p>
        </w:tc>
        <w:tc>
          <w:tcPr>
            <w:tcW w:w="222" w:type="dxa"/>
            <w:vAlign w:val="center"/>
            <w:hideMark/>
          </w:tcPr>
          <w:p w14:paraId="1414071E" w14:textId="77777777" w:rsidR="005369B3" w:rsidRDefault="005369B3">
            <w:pPr>
              <w:rPr>
                <w:sz w:val="20"/>
                <w:szCs w:val="20"/>
              </w:rPr>
            </w:pPr>
          </w:p>
        </w:tc>
      </w:tr>
      <w:tr w:rsidR="005369B3" w14:paraId="25C37D07" w14:textId="77777777" w:rsidTr="005369B3">
        <w:trPr>
          <w:trHeight w:val="580"/>
          <w:jc w:val="center"/>
        </w:trPr>
        <w:tc>
          <w:tcPr>
            <w:tcW w:w="665" w:type="dxa"/>
            <w:tcBorders>
              <w:top w:val="nil"/>
              <w:left w:val="single" w:sz="4" w:space="0" w:color="auto"/>
              <w:bottom w:val="single" w:sz="4" w:space="0" w:color="auto"/>
              <w:right w:val="single" w:sz="4" w:space="0" w:color="auto"/>
            </w:tcBorders>
            <w:noWrap/>
            <w:vAlign w:val="bottom"/>
            <w:hideMark/>
          </w:tcPr>
          <w:p w14:paraId="466B1DDD" w14:textId="77777777" w:rsidR="005369B3" w:rsidRDefault="005369B3">
            <w:pPr>
              <w:jc w:val="center"/>
              <w:rPr>
                <w:rFonts w:ascii="Calibri" w:hAnsi="Calibri" w:cs="Calibri"/>
                <w:color w:val="000000"/>
                <w:sz w:val="22"/>
                <w:szCs w:val="22"/>
              </w:rPr>
            </w:pPr>
            <w:r>
              <w:rPr>
                <w:rFonts w:ascii="Calibri" w:hAnsi="Calibri" w:cs="Calibri"/>
                <w:color w:val="000000"/>
                <w:sz w:val="22"/>
                <w:szCs w:val="22"/>
              </w:rPr>
              <w:t>6341</w:t>
            </w:r>
          </w:p>
        </w:tc>
        <w:tc>
          <w:tcPr>
            <w:tcW w:w="4101" w:type="dxa"/>
            <w:tcBorders>
              <w:top w:val="nil"/>
              <w:left w:val="nil"/>
              <w:bottom w:val="single" w:sz="4" w:space="0" w:color="auto"/>
              <w:right w:val="single" w:sz="4" w:space="0" w:color="auto"/>
            </w:tcBorders>
            <w:vAlign w:val="bottom"/>
            <w:hideMark/>
          </w:tcPr>
          <w:p w14:paraId="16657477" w14:textId="77777777" w:rsidR="005369B3" w:rsidRDefault="005369B3">
            <w:pPr>
              <w:rPr>
                <w:rFonts w:ascii="Calibri" w:hAnsi="Calibri" w:cs="Calibri"/>
                <w:sz w:val="22"/>
                <w:szCs w:val="22"/>
              </w:rPr>
            </w:pPr>
            <w:r>
              <w:rPr>
                <w:rFonts w:ascii="Calibri" w:hAnsi="Calibri" w:cs="Calibri"/>
                <w:sz w:val="22"/>
                <w:szCs w:val="22"/>
              </w:rPr>
              <w:t>Tekuće pomoći od izvanproračunskih korisnika (HZZ-a) -</w:t>
            </w:r>
            <w:r>
              <w:rPr>
                <w:rFonts w:ascii="Calibri" w:hAnsi="Calibri" w:cs="Calibri"/>
                <w:color w:val="0066CC"/>
                <w:sz w:val="22"/>
                <w:szCs w:val="22"/>
              </w:rPr>
              <w:t xml:space="preserve"> pomoći </w:t>
            </w:r>
          </w:p>
        </w:tc>
        <w:tc>
          <w:tcPr>
            <w:tcW w:w="1506" w:type="dxa"/>
            <w:tcBorders>
              <w:top w:val="nil"/>
              <w:left w:val="nil"/>
              <w:bottom w:val="single" w:sz="4" w:space="0" w:color="auto"/>
              <w:right w:val="single" w:sz="4" w:space="0" w:color="auto"/>
            </w:tcBorders>
            <w:vAlign w:val="bottom"/>
            <w:hideMark/>
          </w:tcPr>
          <w:p w14:paraId="4D31B027" w14:textId="77777777" w:rsidR="005369B3" w:rsidRDefault="005369B3">
            <w:pPr>
              <w:jc w:val="right"/>
              <w:rPr>
                <w:rFonts w:ascii="Calibri" w:hAnsi="Calibri" w:cs="Calibri"/>
                <w:sz w:val="22"/>
                <w:szCs w:val="22"/>
              </w:rPr>
            </w:pPr>
            <w:r>
              <w:rPr>
                <w:rFonts w:ascii="Calibri" w:hAnsi="Calibri" w:cs="Calibri"/>
                <w:sz w:val="22"/>
                <w:szCs w:val="22"/>
              </w:rPr>
              <w:t>224.136,07</w:t>
            </w:r>
          </w:p>
        </w:tc>
        <w:tc>
          <w:tcPr>
            <w:tcW w:w="1506" w:type="dxa"/>
            <w:tcBorders>
              <w:top w:val="nil"/>
              <w:left w:val="nil"/>
              <w:bottom w:val="single" w:sz="4" w:space="0" w:color="auto"/>
              <w:right w:val="single" w:sz="4" w:space="0" w:color="auto"/>
            </w:tcBorders>
            <w:shd w:val="clear" w:color="000000" w:fill="FFFFFF"/>
            <w:vAlign w:val="bottom"/>
            <w:hideMark/>
          </w:tcPr>
          <w:p w14:paraId="063FA77B" w14:textId="77777777" w:rsidR="005369B3" w:rsidRDefault="005369B3">
            <w:pPr>
              <w:jc w:val="right"/>
              <w:rPr>
                <w:rFonts w:ascii="Calibri" w:hAnsi="Calibri" w:cs="Calibri"/>
                <w:sz w:val="22"/>
                <w:szCs w:val="22"/>
              </w:rPr>
            </w:pPr>
            <w:r>
              <w:rPr>
                <w:rFonts w:ascii="Calibri" w:hAnsi="Calibri" w:cs="Calibri"/>
                <w:sz w:val="22"/>
                <w:szCs w:val="22"/>
              </w:rPr>
              <w:t> </w:t>
            </w:r>
          </w:p>
        </w:tc>
        <w:tc>
          <w:tcPr>
            <w:tcW w:w="1506" w:type="dxa"/>
            <w:tcBorders>
              <w:top w:val="nil"/>
              <w:left w:val="nil"/>
              <w:bottom w:val="single" w:sz="4" w:space="0" w:color="auto"/>
              <w:right w:val="single" w:sz="4" w:space="0" w:color="auto"/>
            </w:tcBorders>
            <w:noWrap/>
            <w:vAlign w:val="bottom"/>
            <w:hideMark/>
          </w:tcPr>
          <w:p w14:paraId="5308CEF5" w14:textId="77777777" w:rsidR="005369B3" w:rsidRDefault="005369B3">
            <w:pPr>
              <w:jc w:val="right"/>
              <w:rPr>
                <w:rFonts w:ascii="Calibri" w:hAnsi="Calibri" w:cs="Calibri"/>
                <w:sz w:val="22"/>
                <w:szCs w:val="22"/>
              </w:rPr>
            </w:pPr>
            <w:r>
              <w:rPr>
                <w:rFonts w:ascii="Calibri" w:hAnsi="Calibri" w:cs="Calibri"/>
                <w:sz w:val="22"/>
                <w:szCs w:val="22"/>
              </w:rPr>
              <w:t>40.023,48</w:t>
            </w:r>
          </w:p>
        </w:tc>
        <w:tc>
          <w:tcPr>
            <w:tcW w:w="877" w:type="dxa"/>
            <w:tcBorders>
              <w:top w:val="nil"/>
              <w:left w:val="nil"/>
              <w:bottom w:val="single" w:sz="4" w:space="0" w:color="auto"/>
              <w:right w:val="single" w:sz="4" w:space="0" w:color="auto"/>
            </w:tcBorders>
            <w:noWrap/>
            <w:vAlign w:val="bottom"/>
            <w:hideMark/>
          </w:tcPr>
          <w:p w14:paraId="13F86C77" w14:textId="77777777" w:rsidR="005369B3" w:rsidRDefault="005369B3">
            <w:pPr>
              <w:jc w:val="center"/>
              <w:rPr>
                <w:rFonts w:ascii="Calibri" w:hAnsi="Calibri" w:cs="Calibri"/>
                <w:color w:val="000000"/>
                <w:sz w:val="22"/>
                <w:szCs w:val="22"/>
              </w:rPr>
            </w:pPr>
            <w:r>
              <w:rPr>
                <w:rFonts w:ascii="Calibri" w:hAnsi="Calibri" w:cs="Calibri"/>
                <w:color w:val="000000"/>
                <w:sz w:val="22"/>
                <w:szCs w:val="22"/>
              </w:rPr>
              <w:t>18%</w:t>
            </w:r>
          </w:p>
        </w:tc>
        <w:tc>
          <w:tcPr>
            <w:tcW w:w="607" w:type="dxa"/>
            <w:tcBorders>
              <w:top w:val="nil"/>
              <w:left w:val="nil"/>
              <w:bottom w:val="single" w:sz="4" w:space="0" w:color="auto"/>
              <w:right w:val="single" w:sz="4" w:space="0" w:color="auto"/>
            </w:tcBorders>
            <w:noWrap/>
            <w:vAlign w:val="bottom"/>
            <w:hideMark/>
          </w:tcPr>
          <w:p w14:paraId="3C65D471" w14:textId="77777777" w:rsidR="005369B3" w:rsidRDefault="005369B3">
            <w:pPr>
              <w:jc w:val="center"/>
              <w:rPr>
                <w:rFonts w:ascii="Calibri" w:hAnsi="Calibri" w:cs="Calibri"/>
                <w:color w:val="000000"/>
                <w:sz w:val="22"/>
                <w:szCs w:val="22"/>
              </w:rPr>
            </w:pPr>
            <w:r>
              <w:rPr>
                <w:rFonts w:ascii="Calibri" w:hAnsi="Calibri" w:cs="Calibri"/>
                <w:color w:val="000000"/>
                <w:sz w:val="22"/>
                <w:szCs w:val="22"/>
              </w:rPr>
              <w:t> </w:t>
            </w:r>
          </w:p>
        </w:tc>
        <w:tc>
          <w:tcPr>
            <w:tcW w:w="222" w:type="dxa"/>
            <w:vAlign w:val="center"/>
            <w:hideMark/>
          </w:tcPr>
          <w:p w14:paraId="2993CA45" w14:textId="77777777" w:rsidR="005369B3" w:rsidRDefault="005369B3">
            <w:pPr>
              <w:rPr>
                <w:sz w:val="20"/>
                <w:szCs w:val="20"/>
              </w:rPr>
            </w:pPr>
          </w:p>
        </w:tc>
      </w:tr>
      <w:tr w:rsidR="005369B3" w14:paraId="7D199522" w14:textId="77777777" w:rsidTr="005369B3">
        <w:trPr>
          <w:trHeight w:val="580"/>
          <w:jc w:val="center"/>
        </w:trPr>
        <w:tc>
          <w:tcPr>
            <w:tcW w:w="665" w:type="dxa"/>
            <w:tcBorders>
              <w:top w:val="nil"/>
              <w:left w:val="single" w:sz="4" w:space="0" w:color="auto"/>
              <w:bottom w:val="single" w:sz="4" w:space="0" w:color="auto"/>
              <w:right w:val="single" w:sz="4" w:space="0" w:color="auto"/>
            </w:tcBorders>
            <w:noWrap/>
            <w:vAlign w:val="bottom"/>
            <w:hideMark/>
          </w:tcPr>
          <w:p w14:paraId="57A045B7" w14:textId="77777777" w:rsidR="005369B3" w:rsidRDefault="005369B3">
            <w:pPr>
              <w:jc w:val="center"/>
              <w:rPr>
                <w:rFonts w:ascii="Calibri" w:hAnsi="Calibri" w:cs="Calibri"/>
                <w:b/>
                <w:bCs/>
                <w:color w:val="000000"/>
                <w:sz w:val="22"/>
                <w:szCs w:val="22"/>
              </w:rPr>
            </w:pPr>
            <w:r>
              <w:rPr>
                <w:rFonts w:ascii="Calibri" w:hAnsi="Calibri" w:cs="Calibri"/>
                <w:b/>
                <w:bCs/>
                <w:color w:val="000000"/>
                <w:sz w:val="22"/>
                <w:szCs w:val="22"/>
              </w:rPr>
              <w:t>636</w:t>
            </w:r>
          </w:p>
        </w:tc>
        <w:tc>
          <w:tcPr>
            <w:tcW w:w="4101" w:type="dxa"/>
            <w:tcBorders>
              <w:top w:val="nil"/>
              <w:left w:val="nil"/>
              <w:bottom w:val="single" w:sz="4" w:space="0" w:color="auto"/>
              <w:right w:val="single" w:sz="4" w:space="0" w:color="auto"/>
            </w:tcBorders>
            <w:vAlign w:val="bottom"/>
            <w:hideMark/>
          </w:tcPr>
          <w:p w14:paraId="3A9F64F5" w14:textId="77777777" w:rsidR="005369B3" w:rsidRDefault="005369B3">
            <w:pPr>
              <w:rPr>
                <w:rFonts w:ascii="Calibri" w:hAnsi="Calibri" w:cs="Calibri"/>
                <w:b/>
                <w:bCs/>
                <w:sz w:val="22"/>
                <w:szCs w:val="22"/>
              </w:rPr>
            </w:pPr>
            <w:r>
              <w:rPr>
                <w:rFonts w:ascii="Calibri" w:hAnsi="Calibri" w:cs="Calibri"/>
                <w:b/>
                <w:bCs/>
                <w:sz w:val="22"/>
                <w:szCs w:val="22"/>
              </w:rPr>
              <w:t>Pomoći proračunskim korisnicima iz proračuna koji im nije nadležan -</w:t>
            </w:r>
            <w:r>
              <w:rPr>
                <w:rFonts w:ascii="Calibri" w:hAnsi="Calibri" w:cs="Calibri"/>
                <w:color w:val="99CCFF"/>
                <w:sz w:val="22"/>
                <w:szCs w:val="22"/>
              </w:rPr>
              <w:t xml:space="preserve"> </w:t>
            </w:r>
            <w:r>
              <w:rPr>
                <w:rFonts w:ascii="Calibri" w:hAnsi="Calibri" w:cs="Calibri"/>
                <w:color w:val="0066CC"/>
                <w:sz w:val="22"/>
                <w:szCs w:val="22"/>
              </w:rPr>
              <w:t>pomoći</w:t>
            </w:r>
          </w:p>
        </w:tc>
        <w:tc>
          <w:tcPr>
            <w:tcW w:w="1506" w:type="dxa"/>
            <w:tcBorders>
              <w:top w:val="nil"/>
              <w:left w:val="nil"/>
              <w:bottom w:val="single" w:sz="4" w:space="0" w:color="auto"/>
              <w:right w:val="single" w:sz="4" w:space="0" w:color="auto"/>
            </w:tcBorders>
            <w:vAlign w:val="bottom"/>
            <w:hideMark/>
          </w:tcPr>
          <w:p w14:paraId="0FF0DEED" w14:textId="77777777" w:rsidR="005369B3" w:rsidRDefault="005369B3">
            <w:pPr>
              <w:jc w:val="right"/>
              <w:rPr>
                <w:rFonts w:ascii="Calibri" w:hAnsi="Calibri" w:cs="Calibri"/>
                <w:b/>
                <w:bCs/>
                <w:sz w:val="22"/>
                <w:szCs w:val="22"/>
              </w:rPr>
            </w:pPr>
            <w:r>
              <w:rPr>
                <w:rFonts w:ascii="Calibri" w:hAnsi="Calibri" w:cs="Calibri"/>
                <w:b/>
                <w:bCs/>
                <w:sz w:val="22"/>
                <w:szCs w:val="22"/>
              </w:rPr>
              <w:t>289.619,90</w:t>
            </w:r>
          </w:p>
        </w:tc>
        <w:tc>
          <w:tcPr>
            <w:tcW w:w="1506" w:type="dxa"/>
            <w:tcBorders>
              <w:top w:val="nil"/>
              <w:left w:val="nil"/>
              <w:bottom w:val="single" w:sz="4" w:space="0" w:color="auto"/>
              <w:right w:val="single" w:sz="4" w:space="0" w:color="auto"/>
            </w:tcBorders>
            <w:vAlign w:val="bottom"/>
            <w:hideMark/>
          </w:tcPr>
          <w:p w14:paraId="26A4EE5C" w14:textId="77777777" w:rsidR="005369B3" w:rsidRDefault="005369B3">
            <w:pPr>
              <w:jc w:val="right"/>
              <w:rPr>
                <w:rFonts w:ascii="Calibri" w:hAnsi="Calibri" w:cs="Calibri"/>
                <w:b/>
                <w:bCs/>
                <w:sz w:val="22"/>
                <w:szCs w:val="22"/>
              </w:rPr>
            </w:pPr>
            <w:r>
              <w:rPr>
                <w:rFonts w:ascii="Calibri" w:hAnsi="Calibri" w:cs="Calibri"/>
                <w:b/>
                <w:bCs/>
                <w:sz w:val="22"/>
                <w:szCs w:val="22"/>
              </w:rPr>
              <w:t> </w:t>
            </w:r>
          </w:p>
        </w:tc>
        <w:tc>
          <w:tcPr>
            <w:tcW w:w="1506" w:type="dxa"/>
            <w:tcBorders>
              <w:top w:val="nil"/>
              <w:left w:val="nil"/>
              <w:bottom w:val="single" w:sz="4" w:space="0" w:color="auto"/>
              <w:right w:val="single" w:sz="4" w:space="0" w:color="auto"/>
            </w:tcBorders>
            <w:vAlign w:val="bottom"/>
            <w:hideMark/>
          </w:tcPr>
          <w:p w14:paraId="2059051C" w14:textId="77777777" w:rsidR="005369B3" w:rsidRDefault="005369B3">
            <w:pPr>
              <w:jc w:val="right"/>
              <w:rPr>
                <w:rFonts w:ascii="Calibri" w:hAnsi="Calibri" w:cs="Calibri"/>
                <w:b/>
                <w:bCs/>
                <w:sz w:val="22"/>
                <w:szCs w:val="22"/>
              </w:rPr>
            </w:pPr>
            <w:r>
              <w:rPr>
                <w:rFonts w:ascii="Calibri" w:hAnsi="Calibri" w:cs="Calibri"/>
                <w:b/>
                <w:bCs/>
                <w:sz w:val="22"/>
                <w:szCs w:val="22"/>
              </w:rPr>
              <w:t>296.124,05</w:t>
            </w:r>
          </w:p>
        </w:tc>
        <w:tc>
          <w:tcPr>
            <w:tcW w:w="877" w:type="dxa"/>
            <w:tcBorders>
              <w:top w:val="nil"/>
              <w:left w:val="nil"/>
              <w:bottom w:val="single" w:sz="4" w:space="0" w:color="auto"/>
              <w:right w:val="single" w:sz="4" w:space="0" w:color="auto"/>
            </w:tcBorders>
            <w:noWrap/>
            <w:vAlign w:val="bottom"/>
            <w:hideMark/>
          </w:tcPr>
          <w:p w14:paraId="1225B3CE" w14:textId="77777777" w:rsidR="005369B3" w:rsidRDefault="005369B3">
            <w:pPr>
              <w:jc w:val="center"/>
              <w:rPr>
                <w:rFonts w:ascii="Calibri" w:hAnsi="Calibri" w:cs="Calibri"/>
                <w:b/>
                <w:bCs/>
                <w:color w:val="000000"/>
                <w:sz w:val="22"/>
                <w:szCs w:val="22"/>
              </w:rPr>
            </w:pPr>
            <w:r>
              <w:rPr>
                <w:rFonts w:ascii="Calibri" w:hAnsi="Calibri" w:cs="Calibri"/>
                <w:b/>
                <w:bCs/>
                <w:color w:val="000000"/>
                <w:sz w:val="22"/>
                <w:szCs w:val="22"/>
              </w:rPr>
              <w:t>102%</w:t>
            </w:r>
          </w:p>
        </w:tc>
        <w:tc>
          <w:tcPr>
            <w:tcW w:w="607" w:type="dxa"/>
            <w:tcBorders>
              <w:top w:val="nil"/>
              <w:left w:val="nil"/>
              <w:bottom w:val="single" w:sz="4" w:space="0" w:color="auto"/>
              <w:right w:val="single" w:sz="4" w:space="0" w:color="auto"/>
            </w:tcBorders>
            <w:noWrap/>
            <w:vAlign w:val="bottom"/>
            <w:hideMark/>
          </w:tcPr>
          <w:p w14:paraId="4B6F94E4" w14:textId="77777777" w:rsidR="005369B3" w:rsidRDefault="005369B3">
            <w:pPr>
              <w:jc w:val="center"/>
              <w:rPr>
                <w:rFonts w:ascii="Calibri" w:hAnsi="Calibri" w:cs="Calibri"/>
                <w:b/>
                <w:bCs/>
                <w:color w:val="000000"/>
                <w:sz w:val="22"/>
                <w:szCs w:val="22"/>
              </w:rPr>
            </w:pPr>
            <w:r>
              <w:rPr>
                <w:rFonts w:ascii="Calibri" w:hAnsi="Calibri" w:cs="Calibri"/>
                <w:b/>
                <w:bCs/>
                <w:color w:val="000000"/>
                <w:sz w:val="22"/>
                <w:szCs w:val="22"/>
              </w:rPr>
              <w:t> </w:t>
            </w:r>
          </w:p>
        </w:tc>
        <w:tc>
          <w:tcPr>
            <w:tcW w:w="222" w:type="dxa"/>
            <w:vAlign w:val="center"/>
            <w:hideMark/>
          </w:tcPr>
          <w:p w14:paraId="12AFCB5E" w14:textId="77777777" w:rsidR="005369B3" w:rsidRDefault="005369B3">
            <w:pPr>
              <w:rPr>
                <w:sz w:val="20"/>
                <w:szCs w:val="20"/>
              </w:rPr>
            </w:pPr>
          </w:p>
        </w:tc>
      </w:tr>
      <w:tr w:rsidR="005369B3" w14:paraId="19AAD25C" w14:textId="77777777" w:rsidTr="005369B3">
        <w:trPr>
          <w:trHeight w:val="870"/>
          <w:jc w:val="center"/>
        </w:trPr>
        <w:tc>
          <w:tcPr>
            <w:tcW w:w="665" w:type="dxa"/>
            <w:tcBorders>
              <w:top w:val="nil"/>
              <w:left w:val="single" w:sz="4" w:space="0" w:color="auto"/>
              <w:bottom w:val="single" w:sz="4" w:space="0" w:color="auto"/>
              <w:right w:val="single" w:sz="4" w:space="0" w:color="auto"/>
            </w:tcBorders>
            <w:noWrap/>
            <w:vAlign w:val="bottom"/>
            <w:hideMark/>
          </w:tcPr>
          <w:p w14:paraId="597B3E33" w14:textId="77777777" w:rsidR="005369B3" w:rsidRDefault="005369B3">
            <w:pPr>
              <w:jc w:val="center"/>
              <w:rPr>
                <w:rFonts w:ascii="Calibri" w:hAnsi="Calibri" w:cs="Calibri"/>
                <w:color w:val="000000"/>
                <w:sz w:val="22"/>
                <w:szCs w:val="22"/>
              </w:rPr>
            </w:pPr>
            <w:r>
              <w:rPr>
                <w:rFonts w:ascii="Calibri" w:hAnsi="Calibri" w:cs="Calibri"/>
                <w:color w:val="000000"/>
                <w:sz w:val="22"/>
                <w:szCs w:val="22"/>
              </w:rPr>
              <w:t>6361</w:t>
            </w:r>
          </w:p>
        </w:tc>
        <w:tc>
          <w:tcPr>
            <w:tcW w:w="4101" w:type="dxa"/>
            <w:tcBorders>
              <w:top w:val="nil"/>
              <w:left w:val="nil"/>
              <w:bottom w:val="single" w:sz="4" w:space="0" w:color="auto"/>
              <w:right w:val="single" w:sz="4" w:space="0" w:color="auto"/>
            </w:tcBorders>
            <w:vAlign w:val="bottom"/>
            <w:hideMark/>
          </w:tcPr>
          <w:p w14:paraId="680E0650" w14:textId="77777777" w:rsidR="005369B3" w:rsidRDefault="005369B3">
            <w:pPr>
              <w:rPr>
                <w:rFonts w:ascii="Calibri" w:hAnsi="Calibri" w:cs="Calibri"/>
                <w:sz w:val="22"/>
                <w:szCs w:val="22"/>
              </w:rPr>
            </w:pPr>
            <w:r>
              <w:rPr>
                <w:rFonts w:ascii="Calibri" w:hAnsi="Calibri" w:cs="Calibri"/>
                <w:sz w:val="22"/>
                <w:szCs w:val="22"/>
              </w:rPr>
              <w:t xml:space="preserve">Tekuće pomoći  </w:t>
            </w:r>
            <w:proofErr w:type="spellStart"/>
            <w:r>
              <w:rPr>
                <w:rFonts w:ascii="Calibri" w:hAnsi="Calibri" w:cs="Calibri"/>
                <w:sz w:val="22"/>
                <w:szCs w:val="22"/>
              </w:rPr>
              <w:t>prorač</w:t>
            </w:r>
            <w:proofErr w:type="spellEnd"/>
            <w:r>
              <w:rPr>
                <w:rFonts w:ascii="Calibri" w:hAnsi="Calibri" w:cs="Calibri"/>
                <w:sz w:val="22"/>
                <w:szCs w:val="22"/>
              </w:rPr>
              <w:t>. korisnicima iz proračuna koji im nije nadležan -</w:t>
            </w:r>
            <w:r>
              <w:rPr>
                <w:rFonts w:ascii="Calibri" w:hAnsi="Calibri" w:cs="Calibri"/>
                <w:color w:val="99CCFF"/>
                <w:sz w:val="22"/>
                <w:szCs w:val="22"/>
              </w:rPr>
              <w:t xml:space="preserve"> </w:t>
            </w:r>
            <w:r>
              <w:rPr>
                <w:rFonts w:ascii="Calibri" w:hAnsi="Calibri" w:cs="Calibri"/>
                <w:color w:val="0066CC"/>
                <w:sz w:val="22"/>
                <w:szCs w:val="22"/>
              </w:rPr>
              <w:t>pomoći - gradski/općinski proračun</w:t>
            </w:r>
          </w:p>
        </w:tc>
        <w:tc>
          <w:tcPr>
            <w:tcW w:w="1506" w:type="dxa"/>
            <w:tcBorders>
              <w:top w:val="nil"/>
              <w:left w:val="nil"/>
              <w:bottom w:val="single" w:sz="4" w:space="0" w:color="auto"/>
              <w:right w:val="single" w:sz="4" w:space="0" w:color="auto"/>
            </w:tcBorders>
            <w:vAlign w:val="bottom"/>
            <w:hideMark/>
          </w:tcPr>
          <w:p w14:paraId="7D151874" w14:textId="77777777" w:rsidR="005369B3" w:rsidRDefault="005369B3">
            <w:pPr>
              <w:jc w:val="right"/>
              <w:rPr>
                <w:rFonts w:ascii="Calibri" w:hAnsi="Calibri" w:cs="Calibri"/>
                <w:sz w:val="22"/>
                <w:szCs w:val="22"/>
              </w:rPr>
            </w:pPr>
            <w:r>
              <w:rPr>
                <w:rFonts w:ascii="Calibri" w:hAnsi="Calibri" w:cs="Calibri"/>
                <w:sz w:val="22"/>
                <w:szCs w:val="22"/>
              </w:rPr>
              <w:t>259.570,55</w:t>
            </w:r>
          </w:p>
        </w:tc>
        <w:tc>
          <w:tcPr>
            <w:tcW w:w="1506" w:type="dxa"/>
            <w:tcBorders>
              <w:top w:val="nil"/>
              <w:left w:val="nil"/>
              <w:bottom w:val="single" w:sz="4" w:space="0" w:color="auto"/>
              <w:right w:val="single" w:sz="4" w:space="0" w:color="auto"/>
            </w:tcBorders>
            <w:vAlign w:val="bottom"/>
            <w:hideMark/>
          </w:tcPr>
          <w:p w14:paraId="2D5821D6" w14:textId="77777777" w:rsidR="005369B3" w:rsidRDefault="005369B3">
            <w:pPr>
              <w:jc w:val="right"/>
              <w:rPr>
                <w:rFonts w:ascii="Calibri" w:hAnsi="Calibri" w:cs="Calibri"/>
                <w:sz w:val="22"/>
                <w:szCs w:val="22"/>
              </w:rPr>
            </w:pPr>
            <w:r>
              <w:rPr>
                <w:rFonts w:ascii="Calibri" w:hAnsi="Calibri" w:cs="Calibri"/>
                <w:sz w:val="22"/>
                <w:szCs w:val="22"/>
              </w:rPr>
              <w:t> </w:t>
            </w:r>
          </w:p>
        </w:tc>
        <w:tc>
          <w:tcPr>
            <w:tcW w:w="1506" w:type="dxa"/>
            <w:tcBorders>
              <w:top w:val="nil"/>
              <w:left w:val="nil"/>
              <w:bottom w:val="single" w:sz="4" w:space="0" w:color="auto"/>
              <w:right w:val="single" w:sz="4" w:space="0" w:color="auto"/>
            </w:tcBorders>
            <w:noWrap/>
            <w:vAlign w:val="bottom"/>
            <w:hideMark/>
          </w:tcPr>
          <w:p w14:paraId="2916E6C9" w14:textId="77777777" w:rsidR="005369B3" w:rsidRDefault="005369B3">
            <w:pPr>
              <w:jc w:val="right"/>
              <w:rPr>
                <w:rFonts w:ascii="Calibri" w:hAnsi="Calibri" w:cs="Calibri"/>
                <w:color w:val="000000"/>
                <w:sz w:val="22"/>
                <w:szCs w:val="22"/>
              </w:rPr>
            </w:pPr>
            <w:r>
              <w:rPr>
                <w:rFonts w:ascii="Calibri" w:hAnsi="Calibri" w:cs="Calibri"/>
                <w:color w:val="000000"/>
                <w:sz w:val="22"/>
                <w:szCs w:val="22"/>
              </w:rPr>
              <w:t>277.777,36</w:t>
            </w:r>
          </w:p>
        </w:tc>
        <w:tc>
          <w:tcPr>
            <w:tcW w:w="877" w:type="dxa"/>
            <w:tcBorders>
              <w:top w:val="nil"/>
              <w:left w:val="nil"/>
              <w:bottom w:val="single" w:sz="4" w:space="0" w:color="auto"/>
              <w:right w:val="single" w:sz="4" w:space="0" w:color="auto"/>
            </w:tcBorders>
            <w:noWrap/>
            <w:vAlign w:val="bottom"/>
            <w:hideMark/>
          </w:tcPr>
          <w:p w14:paraId="6EA070E7" w14:textId="77777777" w:rsidR="005369B3" w:rsidRDefault="005369B3">
            <w:pPr>
              <w:jc w:val="center"/>
              <w:rPr>
                <w:rFonts w:ascii="Calibri" w:hAnsi="Calibri" w:cs="Calibri"/>
                <w:color w:val="000000"/>
                <w:sz w:val="22"/>
                <w:szCs w:val="22"/>
              </w:rPr>
            </w:pPr>
            <w:r>
              <w:rPr>
                <w:rFonts w:ascii="Calibri" w:hAnsi="Calibri" w:cs="Calibri"/>
                <w:color w:val="000000"/>
                <w:sz w:val="22"/>
                <w:szCs w:val="22"/>
              </w:rPr>
              <w:t>107%</w:t>
            </w:r>
          </w:p>
        </w:tc>
        <w:tc>
          <w:tcPr>
            <w:tcW w:w="607" w:type="dxa"/>
            <w:tcBorders>
              <w:top w:val="nil"/>
              <w:left w:val="nil"/>
              <w:bottom w:val="single" w:sz="4" w:space="0" w:color="auto"/>
              <w:right w:val="single" w:sz="4" w:space="0" w:color="auto"/>
            </w:tcBorders>
            <w:noWrap/>
            <w:vAlign w:val="bottom"/>
            <w:hideMark/>
          </w:tcPr>
          <w:p w14:paraId="1C183D7D" w14:textId="77777777" w:rsidR="005369B3" w:rsidRDefault="005369B3">
            <w:pPr>
              <w:jc w:val="center"/>
              <w:rPr>
                <w:rFonts w:ascii="Calibri" w:hAnsi="Calibri" w:cs="Calibri"/>
                <w:color w:val="000000"/>
                <w:sz w:val="22"/>
                <w:szCs w:val="22"/>
              </w:rPr>
            </w:pPr>
            <w:r>
              <w:rPr>
                <w:rFonts w:ascii="Calibri" w:hAnsi="Calibri" w:cs="Calibri"/>
                <w:color w:val="000000"/>
                <w:sz w:val="22"/>
                <w:szCs w:val="22"/>
              </w:rPr>
              <w:t> </w:t>
            </w:r>
          </w:p>
        </w:tc>
        <w:tc>
          <w:tcPr>
            <w:tcW w:w="222" w:type="dxa"/>
            <w:vAlign w:val="center"/>
            <w:hideMark/>
          </w:tcPr>
          <w:p w14:paraId="68FBA9B7" w14:textId="77777777" w:rsidR="005369B3" w:rsidRDefault="005369B3">
            <w:pPr>
              <w:rPr>
                <w:sz w:val="20"/>
                <w:szCs w:val="20"/>
              </w:rPr>
            </w:pPr>
          </w:p>
        </w:tc>
      </w:tr>
      <w:tr w:rsidR="005369B3" w14:paraId="3BC457E8" w14:textId="77777777" w:rsidTr="005369B3">
        <w:trPr>
          <w:trHeight w:val="870"/>
          <w:jc w:val="center"/>
        </w:trPr>
        <w:tc>
          <w:tcPr>
            <w:tcW w:w="665" w:type="dxa"/>
            <w:tcBorders>
              <w:top w:val="nil"/>
              <w:left w:val="single" w:sz="4" w:space="0" w:color="auto"/>
              <w:bottom w:val="single" w:sz="4" w:space="0" w:color="auto"/>
              <w:right w:val="single" w:sz="4" w:space="0" w:color="auto"/>
            </w:tcBorders>
            <w:noWrap/>
            <w:vAlign w:val="bottom"/>
            <w:hideMark/>
          </w:tcPr>
          <w:p w14:paraId="4954D715" w14:textId="77777777" w:rsidR="005369B3" w:rsidRDefault="005369B3">
            <w:pPr>
              <w:jc w:val="center"/>
              <w:rPr>
                <w:rFonts w:ascii="Calibri" w:hAnsi="Calibri" w:cs="Calibri"/>
                <w:color w:val="000000"/>
                <w:sz w:val="22"/>
                <w:szCs w:val="22"/>
              </w:rPr>
            </w:pPr>
            <w:r>
              <w:rPr>
                <w:rFonts w:ascii="Calibri" w:hAnsi="Calibri" w:cs="Calibri"/>
                <w:color w:val="000000"/>
                <w:sz w:val="22"/>
                <w:szCs w:val="22"/>
              </w:rPr>
              <w:t>6362</w:t>
            </w:r>
          </w:p>
        </w:tc>
        <w:tc>
          <w:tcPr>
            <w:tcW w:w="4101" w:type="dxa"/>
            <w:tcBorders>
              <w:top w:val="nil"/>
              <w:left w:val="nil"/>
              <w:bottom w:val="single" w:sz="4" w:space="0" w:color="auto"/>
              <w:right w:val="single" w:sz="4" w:space="0" w:color="auto"/>
            </w:tcBorders>
            <w:vAlign w:val="bottom"/>
            <w:hideMark/>
          </w:tcPr>
          <w:p w14:paraId="56CC1B4B" w14:textId="77777777" w:rsidR="005369B3" w:rsidRDefault="005369B3">
            <w:pPr>
              <w:rPr>
                <w:rFonts w:ascii="Calibri" w:hAnsi="Calibri" w:cs="Calibri"/>
                <w:sz w:val="22"/>
                <w:szCs w:val="22"/>
              </w:rPr>
            </w:pPr>
            <w:r>
              <w:rPr>
                <w:rFonts w:ascii="Calibri" w:hAnsi="Calibri" w:cs="Calibri"/>
                <w:sz w:val="22"/>
                <w:szCs w:val="22"/>
              </w:rPr>
              <w:t>Kapitalne pomoći proračunskim korisnicima iz proračuna koji im nije nadležan -</w:t>
            </w:r>
            <w:r>
              <w:rPr>
                <w:rFonts w:ascii="Calibri" w:hAnsi="Calibri" w:cs="Calibri"/>
                <w:color w:val="99CCFF"/>
                <w:sz w:val="22"/>
                <w:szCs w:val="22"/>
              </w:rPr>
              <w:t xml:space="preserve"> </w:t>
            </w:r>
            <w:r>
              <w:rPr>
                <w:rFonts w:ascii="Calibri" w:hAnsi="Calibri" w:cs="Calibri"/>
                <w:color w:val="0066CC"/>
                <w:sz w:val="22"/>
                <w:szCs w:val="22"/>
              </w:rPr>
              <w:t xml:space="preserve">pomoći </w:t>
            </w:r>
          </w:p>
        </w:tc>
        <w:tc>
          <w:tcPr>
            <w:tcW w:w="1506" w:type="dxa"/>
            <w:tcBorders>
              <w:top w:val="nil"/>
              <w:left w:val="nil"/>
              <w:bottom w:val="single" w:sz="4" w:space="0" w:color="auto"/>
              <w:right w:val="single" w:sz="4" w:space="0" w:color="auto"/>
            </w:tcBorders>
            <w:shd w:val="clear" w:color="000000" w:fill="FFFFFF"/>
            <w:vAlign w:val="bottom"/>
            <w:hideMark/>
          </w:tcPr>
          <w:p w14:paraId="6F3FDDD7" w14:textId="77777777" w:rsidR="005369B3" w:rsidRDefault="005369B3">
            <w:pPr>
              <w:jc w:val="right"/>
              <w:rPr>
                <w:rFonts w:ascii="Calibri" w:hAnsi="Calibri" w:cs="Calibri"/>
                <w:sz w:val="22"/>
                <w:szCs w:val="22"/>
              </w:rPr>
            </w:pPr>
            <w:r>
              <w:rPr>
                <w:rFonts w:ascii="Calibri" w:hAnsi="Calibri" w:cs="Calibri"/>
                <w:sz w:val="22"/>
                <w:szCs w:val="22"/>
              </w:rPr>
              <w:t>30.049,35</w:t>
            </w:r>
          </w:p>
        </w:tc>
        <w:tc>
          <w:tcPr>
            <w:tcW w:w="1506" w:type="dxa"/>
            <w:tcBorders>
              <w:top w:val="nil"/>
              <w:left w:val="nil"/>
              <w:bottom w:val="single" w:sz="4" w:space="0" w:color="auto"/>
              <w:right w:val="single" w:sz="4" w:space="0" w:color="auto"/>
            </w:tcBorders>
            <w:shd w:val="clear" w:color="000000" w:fill="FFFFFF"/>
            <w:vAlign w:val="bottom"/>
            <w:hideMark/>
          </w:tcPr>
          <w:p w14:paraId="002E79E5" w14:textId="77777777" w:rsidR="005369B3" w:rsidRDefault="005369B3">
            <w:pPr>
              <w:jc w:val="right"/>
              <w:rPr>
                <w:rFonts w:ascii="Calibri" w:hAnsi="Calibri" w:cs="Calibri"/>
                <w:sz w:val="22"/>
                <w:szCs w:val="22"/>
              </w:rPr>
            </w:pPr>
            <w:r>
              <w:rPr>
                <w:rFonts w:ascii="Calibri" w:hAnsi="Calibri" w:cs="Calibri"/>
                <w:sz w:val="22"/>
                <w:szCs w:val="22"/>
              </w:rPr>
              <w:t> </w:t>
            </w:r>
          </w:p>
        </w:tc>
        <w:tc>
          <w:tcPr>
            <w:tcW w:w="1506" w:type="dxa"/>
            <w:tcBorders>
              <w:top w:val="nil"/>
              <w:left w:val="nil"/>
              <w:bottom w:val="single" w:sz="4" w:space="0" w:color="auto"/>
              <w:right w:val="single" w:sz="4" w:space="0" w:color="auto"/>
            </w:tcBorders>
            <w:shd w:val="clear" w:color="000000" w:fill="FFFFFF"/>
            <w:vAlign w:val="bottom"/>
            <w:hideMark/>
          </w:tcPr>
          <w:p w14:paraId="1206F22D" w14:textId="77777777" w:rsidR="005369B3" w:rsidRDefault="005369B3">
            <w:pPr>
              <w:jc w:val="right"/>
              <w:rPr>
                <w:rFonts w:ascii="Calibri" w:hAnsi="Calibri" w:cs="Calibri"/>
                <w:sz w:val="22"/>
                <w:szCs w:val="22"/>
              </w:rPr>
            </w:pPr>
            <w:r>
              <w:rPr>
                <w:rFonts w:ascii="Calibri" w:hAnsi="Calibri" w:cs="Calibri"/>
                <w:sz w:val="22"/>
                <w:szCs w:val="22"/>
              </w:rPr>
              <w:t>18.346,69</w:t>
            </w:r>
          </w:p>
        </w:tc>
        <w:tc>
          <w:tcPr>
            <w:tcW w:w="877" w:type="dxa"/>
            <w:tcBorders>
              <w:top w:val="nil"/>
              <w:left w:val="nil"/>
              <w:bottom w:val="single" w:sz="4" w:space="0" w:color="auto"/>
              <w:right w:val="single" w:sz="4" w:space="0" w:color="auto"/>
            </w:tcBorders>
            <w:shd w:val="clear" w:color="000000" w:fill="FFFFFF"/>
            <w:vAlign w:val="bottom"/>
            <w:hideMark/>
          </w:tcPr>
          <w:p w14:paraId="2F8573BA" w14:textId="77777777" w:rsidR="005369B3" w:rsidRDefault="005369B3">
            <w:pPr>
              <w:jc w:val="center"/>
              <w:rPr>
                <w:rFonts w:ascii="Calibri" w:hAnsi="Calibri" w:cs="Calibri"/>
                <w:sz w:val="22"/>
                <w:szCs w:val="22"/>
              </w:rPr>
            </w:pPr>
            <w:r>
              <w:rPr>
                <w:rFonts w:ascii="Calibri" w:hAnsi="Calibri" w:cs="Calibri"/>
                <w:sz w:val="22"/>
                <w:szCs w:val="22"/>
              </w:rPr>
              <w:t>61%</w:t>
            </w:r>
          </w:p>
        </w:tc>
        <w:tc>
          <w:tcPr>
            <w:tcW w:w="607" w:type="dxa"/>
            <w:tcBorders>
              <w:top w:val="nil"/>
              <w:left w:val="nil"/>
              <w:bottom w:val="single" w:sz="4" w:space="0" w:color="auto"/>
              <w:right w:val="single" w:sz="4" w:space="0" w:color="auto"/>
            </w:tcBorders>
            <w:shd w:val="clear" w:color="000000" w:fill="FFFFFF"/>
            <w:vAlign w:val="bottom"/>
            <w:hideMark/>
          </w:tcPr>
          <w:p w14:paraId="2DB58470" w14:textId="77777777" w:rsidR="005369B3" w:rsidRDefault="005369B3">
            <w:pPr>
              <w:jc w:val="center"/>
              <w:rPr>
                <w:rFonts w:ascii="Calibri" w:hAnsi="Calibri" w:cs="Calibri"/>
                <w:sz w:val="22"/>
                <w:szCs w:val="22"/>
              </w:rPr>
            </w:pPr>
            <w:r>
              <w:rPr>
                <w:rFonts w:ascii="Calibri" w:hAnsi="Calibri" w:cs="Calibri"/>
                <w:sz w:val="22"/>
                <w:szCs w:val="22"/>
              </w:rPr>
              <w:t> </w:t>
            </w:r>
          </w:p>
        </w:tc>
        <w:tc>
          <w:tcPr>
            <w:tcW w:w="222" w:type="dxa"/>
            <w:vAlign w:val="center"/>
            <w:hideMark/>
          </w:tcPr>
          <w:p w14:paraId="27A68EE3" w14:textId="77777777" w:rsidR="005369B3" w:rsidRDefault="005369B3">
            <w:pPr>
              <w:rPr>
                <w:sz w:val="20"/>
                <w:szCs w:val="20"/>
              </w:rPr>
            </w:pPr>
          </w:p>
        </w:tc>
      </w:tr>
      <w:tr w:rsidR="005369B3" w14:paraId="79B53709" w14:textId="77777777" w:rsidTr="005369B3">
        <w:trPr>
          <w:trHeight w:val="390"/>
          <w:jc w:val="center"/>
        </w:trPr>
        <w:tc>
          <w:tcPr>
            <w:tcW w:w="665" w:type="dxa"/>
            <w:tcBorders>
              <w:top w:val="nil"/>
              <w:left w:val="single" w:sz="4" w:space="0" w:color="auto"/>
              <w:bottom w:val="single" w:sz="4" w:space="0" w:color="auto"/>
              <w:right w:val="single" w:sz="4" w:space="0" w:color="auto"/>
            </w:tcBorders>
            <w:noWrap/>
            <w:vAlign w:val="bottom"/>
            <w:hideMark/>
          </w:tcPr>
          <w:p w14:paraId="766D3705" w14:textId="77777777" w:rsidR="005369B3" w:rsidRDefault="005369B3">
            <w:pPr>
              <w:jc w:val="center"/>
              <w:rPr>
                <w:rFonts w:ascii="Calibri" w:hAnsi="Calibri" w:cs="Calibri"/>
                <w:b/>
                <w:bCs/>
                <w:sz w:val="22"/>
                <w:szCs w:val="22"/>
              </w:rPr>
            </w:pPr>
            <w:r>
              <w:rPr>
                <w:rFonts w:ascii="Calibri" w:hAnsi="Calibri" w:cs="Calibri"/>
                <w:b/>
                <w:bCs/>
                <w:sz w:val="22"/>
                <w:szCs w:val="22"/>
              </w:rPr>
              <w:t>638</w:t>
            </w:r>
          </w:p>
        </w:tc>
        <w:tc>
          <w:tcPr>
            <w:tcW w:w="4101" w:type="dxa"/>
            <w:tcBorders>
              <w:top w:val="nil"/>
              <w:left w:val="nil"/>
              <w:bottom w:val="single" w:sz="4" w:space="0" w:color="auto"/>
              <w:right w:val="single" w:sz="4" w:space="0" w:color="auto"/>
            </w:tcBorders>
            <w:vAlign w:val="bottom"/>
            <w:hideMark/>
          </w:tcPr>
          <w:p w14:paraId="56E4AF8E" w14:textId="77777777" w:rsidR="005369B3" w:rsidRDefault="005369B3">
            <w:pPr>
              <w:rPr>
                <w:rFonts w:ascii="Calibri" w:hAnsi="Calibri" w:cs="Calibri"/>
                <w:b/>
                <w:bCs/>
                <w:sz w:val="22"/>
                <w:szCs w:val="22"/>
              </w:rPr>
            </w:pPr>
            <w:r>
              <w:rPr>
                <w:rFonts w:ascii="Calibri" w:hAnsi="Calibri" w:cs="Calibri"/>
                <w:b/>
                <w:bCs/>
                <w:sz w:val="22"/>
                <w:szCs w:val="22"/>
              </w:rPr>
              <w:t>Pomoći temeljem prijenosa EU sredstava</w:t>
            </w:r>
          </w:p>
        </w:tc>
        <w:tc>
          <w:tcPr>
            <w:tcW w:w="1506" w:type="dxa"/>
            <w:tcBorders>
              <w:top w:val="nil"/>
              <w:left w:val="nil"/>
              <w:bottom w:val="single" w:sz="4" w:space="0" w:color="auto"/>
              <w:right w:val="single" w:sz="4" w:space="0" w:color="auto"/>
            </w:tcBorders>
            <w:shd w:val="clear" w:color="000000" w:fill="FFFFFF"/>
            <w:vAlign w:val="bottom"/>
            <w:hideMark/>
          </w:tcPr>
          <w:p w14:paraId="1E2FB46D" w14:textId="77777777" w:rsidR="005369B3" w:rsidRDefault="005369B3">
            <w:pPr>
              <w:jc w:val="right"/>
              <w:rPr>
                <w:rFonts w:ascii="Calibri" w:hAnsi="Calibri" w:cs="Calibri"/>
                <w:b/>
                <w:bCs/>
                <w:sz w:val="22"/>
                <w:szCs w:val="22"/>
              </w:rPr>
            </w:pPr>
            <w:r>
              <w:rPr>
                <w:rFonts w:ascii="Calibri" w:hAnsi="Calibri" w:cs="Calibri"/>
                <w:b/>
                <w:bCs/>
                <w:sz w:val="22"/>
                <w:szCs w:val="22"/>
              </w:rPr>
              <w:t>1.160.460,93</w:t>
            </w:r>
          </w:p>
        </w:tc>
        <w:tc>
          <w:tcPr>
            <w:tcW w:w="1506" w:type="dxa"/>
            <w:tcBorders>
              <w:top w:val="nil"/>
              <w:left w:val="nil"/>
              <w:bottom w:val="single" w:sz="4" w:space="0" w:color="auto"/>
              <w:right w:val="single" w:sz="4" w:space="0" w:color="auto"/>
            </w:tcBorders>
            <w:shd w:val="clear" w:color="000000" w:fill="FFFFFF"/>
            <w:vAlign w:val="bottom"/>
            <w:hideMark/>
          </w:tcPr>
          <w:p w14:paraId="27298B45" w14:textId="77777777" w:rsidR="005369B3" w:rsidRDefault="005369B3">
            <w:pPr>
              <w:jc w:val="right"/>
              <w:rPr>
                <w:rFonts w:ascii="Calibri" w:hAnsi="Calibri" w:cs="Calibri"/>
                <w:b/>
                <w:bCs/>
                <w:sz w:val="22"/>
                <w:szCs w:val="22"/>
              </w:rPr>
            </w:pPr>
            <w:r>
              <w:rPr>
                <w:rFonts w:ascii="Calibri" w:hAnsi="Calibri" w:cs="Calibri"/>
                <w:b/>
                <w:bCs/>
                <w:sz w:val="22"/>
                <w:szCs w:val="22"/>
              </w:rPr>
              <w:t> </w:t>
            </w:r>
          </w:p>
        </w:tc>
        <w:tc>
          <w:tcPr>
            <w:tcW w:w="1506" w:type="dxa"/>
            <w:tcBorders>
              <w:top w:val="nil"/>
              <w:left w:val="nil"/>
              <w:bottom w:val="single" w:sz="4" w:space="0" w:color="auto"/>
              <w:right w:val="single" w:sz="4" w:space="0" w:color="auto"/>
            </w:tcBorders>
            <w:shd w:val="clear" w:color="000000" w:fill="FFFFFF"/>
            <w:vAlign w:val="bottom"/>
            <w:hideMark/>
          </w:tcPr>
          <w:p w14:paraId="7FD0AF74" w14:textId="77777777" w:rsidR="005369B3" w:rsidRDefault="005369B3">
            <w:pPr>
              <w:jc w:val="right"/>
              <w:rPr>
                <w:rFonts w:ascii="Calibri" w:hAnsi="Calibri" w:cs="Calibri"/>
                <w:b/>
                <w:bCs/>
                <w:sz w:val="22"/>
                <w:szCs w:val="22"/>
              </w:rPr>
            </w:pPr>
            <w:r>
              <w:rPr>
                <w:rFonts w:ascii="Calibri" w:hAnsi="Calibri" w:cs="Calibri"/>
                <w:b/>
                <w:bCs/>
                <w:sz w:val="22"/>
                <w:szCs w:val="22"/>
              </w:rPr>
              <w:t>752.103,24</w:t>
            </w:r>
          </w:p>
        </w:tc>
        <w:tc>
          <w:tcPr>
            <w:tcW w:w="877" w:type="dxa"/>
            <w:tcBorders>
              <w:top w:val="nil"/>
              <w:left w:val="nil"/>
              <w:bottom w:val="single" w:sz="4" w:space="0" w:color="auto"/>
              <w:right w:val="single" w:sz="4" w:space="0" w:color="auto"/>
            </w:tcBorders>
            <w:noWrap/>
            <w:vAlign w:val="bottom"/>
            <w:hideMark/>
          </w:tcPr>
          <w:p w14:paraId="03E7E9BC" w14:textId="77777777" w:rsidR="005369B3" w:rsidRDefault="005369B3">
            <w:pPr>
              <w:jc w:val="center"/>
              <w:rPr>
                <w:rFonts w:ascii="Calibri" w:hAnsi="Calibri" w:cs="Calibri"/>
                <w:b/>
                <w:bCs/>
                <w:color w:val="000000"/>
                <w:sz w:val="22"/>
                <w:szCs w:val="22"/>
              </w:rPr>
            </w:pPr>
            <w:r>
              <w:rPr>
                <w:rFonts w:ascii="Calibri" w:hAnsi="Calibri" w:cs="Calibri"/>
                <w:b/>
                <w:bCs/>
                <w:color w:val="000000"/>
                <w:sz w:val="22"/>
                <w:szCs w:val="22"/>
              </w:rPr>
              <w:t>65%</w:t>
            </w:r>
          </w:p>
        </w:tc>
        <w:tc>
          <w:tcPr>
            <w:tcW w:w="607" w:type="dxa"/>
            <w:tcBorders>
              <w:top w:val="nil"/>
              <w:left w:val="nil"/>
              <w:bottom w:val="single" w:sz="4" w:space="0" w:color="auto"/>
              <w:right w:val="single" w:sz="4" w:space="0" w:color="auto"/>
            </w:tcBorders>
            <w:noWrap/>
            <w:vAlign w:val="bottom"/>
            <w:hideMark/>
          </w:tcPr>
          <w:p w14:paraId="72FE76AF" w14:textId="77777777" w:rsidR="005369B3" w:rsidRDefault="005369B3">
            <w:pPr>
              <w:jc w:val="center"/>
              <w:rPr>
                <w:rFonts w:ascii="Calibri" w:hAnsi="Calibri" w:cs="Calibri"/>
                <w:b/>
                <w:bCs/>
                <w:color w:val="000000"/>
                <w:sz w:val="22"/>
                <w:szCs w:val="22"/>
              </w:rPr>
            </w:pPr>
            <w:r>
              <w:rPr>
                <w:rFonts w:ascii="Calibri" w:hAnsi="Calibri" w:cs="Calibri"/>
                <w:b/>
                <w:bCs/>
                <w:color w:val="000000"/>
                <w:sz w:val="22"/>
                <w:szCs w:val="22"/>
              </w:rPr>
              <w:t> </w:t>
            </w:r>
          </w:p>
        </w:tc>
        <w:tc>
          <w:tcPr>
            <w:tcW w:w="222" w:type="dxa"/>
            <w:vAlign w:val="center"/>
            <w:hideMark/>
          </w:tcPr>
          <w:p w14:paraId="271C09EB" w14:textId="77777777" w:rsidR="005369B3" w:rsidRDefault="005369B3">
            <w:pPr>
              <w:rPr>
                <w:sz w:val="20"/>
                <w:szCs w:val="20"/>
              </w:rPr>
            </w:pPr>
          </w:p>
        </w:tc>
      </w:tr>
      <w:tr w:rsidR="005369B3" w14:paraId="1203B757" w14:textId="77777777" w:rsidTr="005369B3">
        <w:trPr>
          <w:trHeight w:val="580"/>
          <w:jc w:val="center"/>
        </w:trPr>
        <w:tc>
          <w:tcPr>
            <w:tcW w:w="665" w:type="dxa"/>
            <w:tcBorders>
              <w:top w:val="nil"/>
              <w:left w:val="single" w:sz="4" w:space="0" w:color="auto"/>
              <w:bottom w:val="single" w:sz="4" w:space="0" w:color="auto"/>
              <w:right w:val="single" w:sz="4" w:space="0" w:color="auto"/>
            </w:tcBorders>
            <w:noWrap/>
            <w:vAlign w:val="bottom"/>
            <w:hideMark/>
          </w:tcPr>
          <w:p w14:paraId="380D5D17" w14:textId="77777777" w:rsidR="005369B3" w:rsidRDefault="005369B3">
            <w:pPr>
              <w:jc w:val="center"/>
              <w:rPr>
                <w:rFonts w:ascii="Calibri" w:hAnsi="Calibri" w:cs="Calibri"/>
                <w:sz w:val="22"/>
                <w:szCs w:val="22"/>
              </w:rPr>
            </w:pPr>
            <w:r>
              <w:rPr>
                <w:rFonts w:ascii="Calibri" w:hAnsi="Calibri" w:cs="Calibri"/>
                <w:sz w:val="22"/>
                <w:szCs w:val="22"/>
              </w:rPr>
              <w:t>6381</w:t>
            </w:r>
          </w:p>
        </w:tc>
        <w:tc>
          <w:tcPr>
            <w:tcW w:w="4101" w:type="dxa"/>
            <w:tcBorders>
              <w:top w:val="nil"/>
              <w:left w:val="nil"/>
              <w:bottom w:val="single" w:sz="4" w:space="0" w:color="auto"/>
              <w:right w:val="single" w:sz="4" w:space="0" w:color="auto"/>
            </w:tcBorders>
            <w:vAlign w:val="bottom"/>
            <w:hideMark/>
          </w:tcPr>
          <w:p w14:paraId="73B908E7" w14:textId="77777777" w:rsidR="005369B3" w:rsidRDefault="005369B3">
            <w:pPr>
              <w:rPr>
                <w:rFonts w:ascii="Calibri" w:hAnsi="Calibri" w:cs="Calibri"/>
                <w:sz w:val="22"/>
                <w:szCs w:val="22"/>
              </w:rPr>
            </w:pPr>
            <w:r>
              <w:rPr>
                <w:rFonts w:ascii="Calibri" w:hAnsi="Calibri" w:cs="Calibri"/>
                <w:sz w:val="22"/>
                <w:szCs w:val="22"/>
              </w:rPr>
              <w:t>Tekuće pomoći temeljem prijenosa EU sredstava</w:t>
            </w:r>
          </w:p>
        </w:tc>
        <w:tc>
          <w:tcPr>
            <w:tcW w:w="1506" w:type="dxa"/>
            <w:tcBorders>
              <w:top w:val="nil"/>
              <w:left w:val="nil"/>
              <w:bottom w:val="single" w:sz="4" w:space="0" w:color="auto"/>
              <w:right w:val="single" w:sz="4" w:space="0" w:color="auto"/>
            </w:tcBorders>
            <w:vAlign w:val="bottom"/>
            <w:hideMark/>
          </w:tcPr>
          <w:p w14:paraId="1C97860C" w14:textId="77777777" w:rsidR="005369B3" w:rsidRDefault="005369B3">
            <w:pPr>
              <w:jc w:val="right"/>
              <w:rPr>
                <w:rFonts w:ascii="Calibri" w:hAnsi="Calibri" w:cs="Calibri"/>
                <w:sz w:val="22"/>
                <w:szCs w:val="22"/>
              </w:rPr>
            </w:pPr>
            <w:r>
              <w:rPr>
                <w:rFonts w:ascii="Calibri" w:hAnsi="Calibri" w:cs="Calibri"/>
                <w:sz w:val="22"/>
                <w:szCs w:val="22"/>
              </w:rPr>
              <w:t>1.160.460,93</w:t>
            </w:r>
          </w:p>
        </w:tc>
        <w:tc>
          <w:tcPr>
            <w:tcW w:w="1506" w:type="dxa"/>
            <w:tcBorders>
              <w:top w:val="nil"/>
              <w:left w:val="nil"/>
              <w:bottom w:val="single" w:sz="4" w:space="0" w:color="auto"/>
              <w:right w:val="single" w:sz="4" w:space="0" w:color="auto"/>
            </w:tcBorders>
            <w:shd w:val="clear" w:color="000000" w:fill="FFFFFF"/>
            <w:vAlign w:val="bottom"/>
            <w:hideMark/>
          </w:tcPr>
          <w:p w14:paraId="7BFE4536" w14:textId="77777777" w:rsidR="005369B3" w:rsidRDefault="005369B3">
            <w:pPr>
              <w:jc w:val="right"/>
              <w:rPr>
                <w:rFonts w:ascii="Calibri" w:hAnsi="Calibri" w:cs="Calibri"/>
                <w:sz w:val="22"/>
                <w:szCs w:val="22"/>
              </w:rPr>
            </w:pPr>
            <w:r>
              <w:rPr>
                <w:rFonts w:ascii="Calibri" w:hAnsi="Calibri" w:cs="Calibri"/>
                <w:sz w:val="22"/>
                <w:szCs w:val="22"/>
              </w:rPr>
              <w:t> </w:t>
            </w:r>
          </w:p>
        </w:tc>
        <w:tc>
          <w:tcPr>
            <w:tcW w:w="1506" w:type="dxa"/>
            <w:tcBorders>
              <w:top w:val="nil"/>
              <w:left w:val="nil"/>
              <w:bottom w:val="single" w:sz="4" w:space="0" w:color="auto"/>
              <w:right w:val="single" w:sz="4" w:space="0" w:color="auto"/>
            </w:tcBorders>
            <w:noWrap/>
            <w:vAlign w:val="bottom"/>
            <w:hideMark/>
          </w:tcPr>
          <w:p w14:paraId="64B21410" w14:textId="77777777" w:rsidR="005369B3" w:rsidRDefault="005369B3">
            <w:pPr>
              <w:jc w:val="right"/>
              <w:rPr>
                <w:rFonts w:ascii="Calibri" w:hAnsi="Calibri" w:cs="Calibri"/>
                <w:color w:val="000000"/>
                <w:sz w:val="22"/>
                <w:szCs w:val="22"/>
              </w:rPr>
            </w:pPr>
            <w:r>
              <w:rPr>
                <w:rFonts w:ascii="Calibri" w:hAnsi="Calibri" w:cs="Calibri"/>
                <w:color w:val="000000"/>
                <w:sz w:val="22"/>
                <w:szCs w:val="22"/>
              </w:rPr>
              <w:t>752.103,24</w:t>
            </w:r>
          </w:p>
        </w:tc>
        <w:tc>
          <w:tcPr>
            <w:tcW w:w="877" w:type="dxa"/>
            <w:tcBorders>
              <w:top w:val="nil"/>
              <w:left w:val="nil"/>
              <w:bottom w:val="single" w:sz="4" w:space="0" w:color="auto"/>
              <w:right w:val="single" w:sz="4" w:space="0" w:color="auto"/>
            </w:tcBorders>
            <w:noWrap/>
            <w:vAlign w:val="bottom"/>
            <w:hideMark/>
          </w:tcPr>
          <w:p w14:paraId="1EB895F0" w14:textId="77777777" w:rsidR="005369B3" w:rsidRDefault="005369B3">
            <w:pPr>
              <w:jc w:val="center"/>
              <w:rPr>
                <w:rFonts w:ascii="Calibri" w:hAnsi="Calibri" w:cs="Calibri"/>
                <w:color w:val="000000"/>
                <w:sz w:val="22"/>
                <w:szCs w:val="22"/>
              </w:rPr>
            </w:pPr>
            <w:r>
              <w:rPr>
                <w:rFonts w:ascii="Calibri" w:hAnsi="Calibri" w:cs="Calibri"/>
                <w:color w:val="000000"/>
                <w:sz w:val="22"/>
                <w:szCs w:val="22"/>
              </w:rPr>
              <w:t>65%</w:t>
            </w:r>
          </w:p>
        </w:tc>
        <w:tc>
          <w:tcPr>
            <w:tcW w:w="607" w:type="dxa"/>
            <w:tcBorders>
              <w:top w:val="nil"/>
              <w:left w:val="nil"/>
              <w:bottom w:val="single" w:sz="4" w:space="0" w:color="auto"/>
              <w:right w:val="single" w:sz="4" w:space="0" w:color="auto"/>
            </w:tcBorders>
            <w:noWrap/>
            <w:vAlign w:val="bottom"/>
            <w:hideMark/>
          </w:tcPr>
          <w:p w14:paraId="2A5CCFC9" w14:textId="77777777" w:rsidR="005369B3" w:rsidRDefault="005369B3">
            <w:pPr>
              <w:jc w:val="center"/>
              <w:rPr>
                <w:rFonts w:ascii="Calibri" w:hAnsi="Calibri" w:cs="Calibri"/>
                <w:color w:val="000000"/>
                <w:sz w:val="22"/>
                <w:szCs w:val="22"/>
              </w:rPr>
            </w:pPr>
            <w:r>
              <w:rPr>
                <w:rFonts w:ascii="Calibri" w:hAnsi="Calibri" w:cs="Calibri"/>
                <w:color w:val="000000"/>
                <w:sz w:val="22"/>
                <w:szCs w:val="22"/>
              </w:rPr>
              <w:t> </w:t>
            </w:r>
          </w:p>
        </w:tc>
        <w:tc>
          <w:tcPr>
            <w:tcW w:w="222" w:type="dxa"/>
            <w:vAlign w:val="center"/>
            <w:hideMark/>
          </w:tcPr>
          <w:p w14:paraId="459C2351" w14:textId="77777777" w:rsidR="005369B3" w:rsidRDefault="005369B3">
            <w:pPr>
              <w:rPr>
                <w:sz w:val="20"/>
                <w:szCs w:val="20"/>
              </w:rPr>
            </w:pPr>
          </w:p>
        </w:tc>
      </w:tr>
      <w:tr w:rsidR="005369B3" w14:paraId="04678952" w14:textId="77777777" w:rsidTr="005369B3">
        <w:trPr>
          <w:trHeight w:val="410"/>
          <w:jc w:val="center"/>
        </w:trPr>
        <w:tc>
          <w:tcPr>
            <w:tcW w:w="665" w:type="dxa"/>
            <w:tcBorders>
              <w:top w:val="nil"/>
              <w:left w:val="single" w:sz="4" w:space="0" w:color="auto"/>
              <w:bottom w:val="single" w:sz="4" w:space="0" w:color="auto"/>
              <w:right w:val="single" w:sz="4" w:space="0" w:color="auto"/>
            </w:tcBorders>
            <w:shd w:val="clear" w:color="000000" w:fill="D9D9D9"/>
            <w:noWrap/>
            <w:vAlign w:val="bottom"/>
            <w:hideMark/>
          </w:tcPr>
          <w:p w14:paraId="339D4113" w14:textId="77777777" w:rsidR="005369B3" w:rsidRDefault="005369B3">
            <w:pPr>
              <w:jc w:val="center"/>
              <w:rPr>
                <w:rFonts w:ascii="Calibri" w:hAnsi="Calibri" w:cs="Calibri"/>
                <w:b/>
                <w:bCs/>
                <w:sz w:val="22"/>
                <w:szCs w:val="22"/>
              </w:rPr>
            </w:pPr>
            <w:r>
              <w:rPr>
                <w:rFonts w:ascii="Calibri" w:hAnsi="Calibri" w:cs="Calibri"/>
                <w:b/>
                <w:bCs/>
                <w:sz w:val="22"/>
                <w:szCs w:val="22"/>
              </w:rPr>
              <w:t>64</w:t>
            </w:r>
          </w:p>
        </w:tc>
        <w:tc>
          <w:tcPr>
            <w:tcW w:w="4101" w:type="dxa"/>
            <w:tcBorders>
              <w:top w:val="nil"/>
              <w:left w:val="nil"/>
              <w:bottom w:val="single" w:sz="4" w:space="0" w:color="auto"/>
              <w:right w:val="single" w:sz="4" w:space="0" w:color="auto"/>
            </w:tcBorders>
            <w:shd w:val="clear" w:color="000000" w:fill="D9D9D9"/>
            <w:vAlign w:val="bottom"/>
            <w:hideMark/>
          </w:tcPr>
          <w:p w14:paraId="32D63FC8" w14:textId="77777777" w:rsidR="005369B3" w:rsidRDefault="005369B3">
            <w:pPr>
              <w:rPr>
                <w:rFonts w:ascii="Calibri" w:hAnsi="Calibri" w:cs="Calibri"/>
                <w:b/>
                <w:bCs/>
                <w:sz w:val="22"/>
                <w:szCs w:val="22"/>
              </w:rPr>
            </w:pPr>
            <w:r>
              <w:rPr>
                <w:rFonts w:ascii="Calibri" w:hAnsi="Calibri" w:cs="Calibri"/>
                <w:b/>
                <w:bCs/>
                <w:sz w:val="22"/>
                <w:szCs w:val="22"/>
              </w:rPr>
              <w:t>PRIHODI OD IMOVINE</w:t>
            </w:r>
          </w:p>
        </w:tc>
        <w:tc>
          <w:tcPr>
            <w:tcW w:w="1506" w:type="dxa"/>
            <w:tcBorders>
              <w:top w:val="nil"/>
              <w:left w:val="nil"/>
              <w:bottom w:val="single" w:sz="4" w:space="0" w:color="auto"/>
              <w:right w:val="single" w:sz="4" w:space="0" w:color="auto"/>
            </w:tcBorders>
            <w:shd w:val="clear" w:color="000000" w:fill="D9D9D9"/>
            <w:vAlign w:val="bottom"/>
            <w:hideMark/>
          </w:tcPr>
          <w:p w14:paraId="6059B93D" w14:textId="77777777" w:rsidR="005369B3" w:rsidRDefault="005369B3">
            <w:pPr>
              <w:jc w:val="right"/>
              <w:rPr>
                <w:rFonts w:ascii="Calibri" w:hAnsi="Calibri" w:cs="Calibri"/>
                <w:b/>
                <w:bCs/>
                <w:sz w:val="22"/>
                <w:szCs w:val="22"/>
              </w:rPr>
            </w:pPr>
            <w:r>
              <w:rPr>
                <w:rFonts w:ascii="Calibri" w:hAnsi="Calibri" w:cs="Calibri"/>
                <w:b/>
                <w:bCs/>
                <w:sz w:val="22"/>
                <w:szCs w:val="22"/>
              </w:rPr>
              <w:t>20.052,66</w:t>
            </w:r>
          </w:p>
        </w:tc>
        <w:tc>
          <w:tcPr>
            <w:tcW w:w="1506" w:type="dxa"/>
            <w:tcBorders>
              <w:top w:val="nil"/>
              <w:left w:val="nil"/>
              <w:bottom w:val="single" w:sz="4" w:space="0" w:color="auto"/>
              <w:right w:val="single" w:sz="4" w:space="0" w:color="auto"/>
            </w:tcBorders>
            <w:shd w:val="clear" w:color="000000" w:fill="D9D9D9"/>
            <w:vAlign w:val="bottom"/>
            <w:hideMark/>
          </w:tcPr>
          <w:p w14:paraId="6D245457" w14:textId="77777777" w:rsidR="005369B3" w:rsidRDefault="005369B3">
            <w:pPr>
              <w:jc w:val="right"/>
              <w:rPr>
                <w:rFonts w:ascii="Calibri" w:hAnsi="Calibri" w:cs="Calibri"/>
                <w:b/>
                <w:bCs/>
                <w:sz w:val="22"/>
                <w:szCs w:val="22"/>
              </w:rPr>
            </w:pPr>
            <w:r>
              <w:rPr>
                <w:rFonts w:ascii="Calibri" w:hAnsi="Calibri" w:cs="Calibri"/>
                <w:b/>
                <w:bCs/>
                <w:sz w:val="22"/>
                <w:szCs w:val="22"/>
              </w:rPr>
              <w:t>23.000,00</w:t>
            </w:r>
          </w:p>
        </w:tc>
        <w:tc>
          <w:tcPr>
            <w:tcW w:w="1506" w:type="dxa"/>
            <w:tcBorders>
              <w:top w:val="nil"/>
              <w:left w:val="nil"/>
              <w:bottom w:val="single" w:sz="4" w:space="0" w:color="auto"/>
              <w:right w:val="single" w:sz="4" w:space="0" w:color="auto"/>
            </w:tcBorders>
            <w:shd w:val="clear" w:color="000000" w:fill="D9D9D9"/>
            <w:vAlign w:val="bottom"/>
            <w:hideMark/>
          </w:tcPr>
          <w:p w14:paraId="25C47F20" w14:textId="77777777" w:rsidR="005369B3" w:rsidRDefault="005369B3">
            <w:pPr>
              <w:jc w:val="right"/>
              <w:rPr>
                <w:rFonts w:ascii="Calibri" w:hAnsi="Calibri" w:cs="Calibri"/>
                <w:b/>
                <w:bCs/>
                <w:sz w:val="22"/>
                <w:szCs w:val="22"/>
              </w:rPr>
            </w:pPr>
            <w:r>
              <w:rPr>
                <w:rFonts w:ascii="Calibri" w:hAnsi="Calibri" w:cs="Calibri"/>
                <w:b/>
                <w:bCs/>
                <w:sz w:val="22"/>
                <w:szCs w:val="22"/>
              </w:rPr>
              <w:t>22.744,88</w:t>
            </w:r>
          </w:p>
        </w:tc>
        <w:tc>
          <w:tcPr>
            <w:tcW w:w="877" w:type="dxa"/>
            <w:tcBorders>
              <w:top w:val="nil"/>
              <w:left w:val="nil"/>
              <w:bottom w:val="single" w:sz="4" w:space="0" w:color="auto"/>
              <w:right w:val="single" w:sz="4" w:space="0" w:color="auto"/>
            </w:tcBorders>
            <w:shd w:val="clear" w:color="000000" w:fill="D9D9D9"/>
            <w:vAlign w:val="bottom"/>
            <w:hideMark/>
          </w:tcPr>
          <w:p w14:paraId="7E4DA94A" w14:textId="77777777" w:rsidR="005369B3" w:rsidRDefault="005369B3">
            <w:pPr>
              <w:jc w:val="center"/>
              <w:rPr>
                <w:rFonts w:ascii="Calibri" w:hAnsi="Calibri" w:cs="Calibri"/>
                <w:b/>
                <w:bCs/>
                <w:sz w:val="22"/>
                <w:szCs w:val="22"/>
              </w:rPr>
            </w:pPr>
            <w:r>
              <w:rPr>
                <w:rFonts w:ascii="Calibri" w:hAnsi="Calibri" w:cs="Calibri"/>
                <w:b/>
                <w:bCs/>
                <w:sz w:val="22"/>
                <w:szCs w:val="22"/>
              </w:rPr>
              <w:t>113%</w:t>
            </w:r>
          </w:p>
        </w:tc>
        <w:tc>
          <w:tcPr>
            <w:tcW w:w="607" w:type="dxa"/>
            <w:tcBorders>
              <w:top w:val="nil"/>
              <w:left w:val="nil"/>
              <w:bottom w:val="single" w:sz="4" w:space="0" w:color="auto"/>
              <w:right w:val="single" w:sz="4" w:space="0" w:color="auto"/>
            </w:tcBorders>
            <w:shd w:val="clear" w:color="000000" w:fill="D9D9D9"/>
            <w:vAlign w:val="bottom"/>
            <w:hideMark/>
          </w:tcPr>
          <w:p w14:paraId="046484B5" w14:textId="77777777" w:rsidR="005369B3" w:rsidRDefault="005369B3">
            <w:pPr>
              <w:jc w:val="center"/>
              <w:rPr>
                <w:rFonts w:ascii="Calibri" w:hAnsi="Calibri" w:cs="Calibri"/>
                <w:b/>
                <w:bCs/>
                <w:sz w:val="22"/>
                <w:szCs w:val="22"/>
              </w:rPr>
            </w:pPr>
            <w:r>
              <w:rPr>
                <w:rFonts w:ascii="Calibri" w:hAnsi="Calibri" w:cs="Calibri"/>
                <w:b/>
                <w:bCs/>
                <w:sz w:val="22"/>
                <w:szCs w:val="22"/>
              </w:rPr>
              <w:t>99%</w:t>
            </w:r>
          </w:p>
        </w:tc>
        <w:tc>
          <w:tcPr>
            <w:tcW w:w="222" w:type="dxa"/>
            <w:vAlign w:val="center"/>
            <w:hideMark/>
          </w:tcPr>
          <w:p w14:paraId="1F43BAF2" w14:textId="77777777" w:rsidR="005369B3" w:rsidRDefault="005369B3">
            <w:pPr>
              <w:rPr>
                <w:sz w:val="20"/>
                <w:szCs w:val="20"/>
              </w:rPr>
            </w:pPr>
          </w:p>
        </w:tc>
      </w:tr>
      <w:tr w:rsidR="005369B3" w14:paraId="60AFFE07" w14:textId="77777777" w:rsidTr="005369B3">
        <w:trPr>
          <w:trHeight w:val="580"/>
          <w:jc w:val="center"/>
        </w:trPr>
        <w:tc>
          <w:tcPr>
            <w:tcW w:w="665" w:type="dxa"/>
            <w:tcBorders>
              <w:top w:val="nil"/>
              <w:left w:val="single" w:sz="4" w:space="0" w:color="auto"/>
              <w:bottom w:val="single" w:sz="4" w:space="0" w:color="auto"/>
              <w:right w:val="single" w:sz="4" w:space="0" w:color="auto"/>
            </w:tcBorders>
            <w:shd w:val="clear" w:color="000000" w:fill="FFFFFF"/>
            <w:noWrap/>
            <w:vAlign w:val="bottom"/>
            <w:hideMark/>
          </w:tcPr>
          <w:p w14:paraId="130BB322" w14:textId="77777777" w:rsidR="005369B3" w:rsidRDefault="005369B3">
            <w:pPr>
              <w:jc w:val="center"/>
              <w:rPr>
                <w:rFonts w:ascii="Calibri" w:hAnsi="Calibri" w:cs="Calibri"/>
                <w:b/>
                <w:bCs/>
                <w:color w:val="000000"/>
                <w:sz w:val="22"/>
                <w:szCs w:val="22"/>
              </w:rPr>
            </w:pPr>
            <w:r>
              <w:rPr>
                <w:rFonts w:ascii="Calibri" w:hAnsi="Calibri" w:cs="Calibri"/>
                <w:b/>
                <w:bCs/>
                <w:color w:val="000000"/>
                <w:sz w:val="22"/>
                <w:szCs w:val="22"/>
              </w:rPr>
              <w:t>641</w:t>
            </w:r>
          </w:p>
        </w:tc>
        <w:tc>
          <w:tcPr>
            <w:tcW w:w="4101" w:type="dxa"/>
            <w:tcBorders>
              <w:top w:val="nil"/>
              <w:left w:val="nil"/>
              <w:bottom w:val="single" w:sz="4" w:space="0" w:color="auto"/>
              <w:right w:val="single" w:sz="4" w:space="0" w:color="auto"/>
            </w:tcBorders>
            <w:vAlign w:val="bottom"/>
            <w:hideMark/>
          </w:tcPr>
          <w:p w14:paraId="42E3D680" w14:textId="76BA5DCD" w:rsidR="005369B3" w:rsidRDefault="005369B3">
            <w:pPr>
              <w:rPr>
                <w:rFonts w:ascii="Calibri" w:hAnsi="Calibri" w:cs="Calibri"/>
                <w:b/>
                <w:bCs/>
                <w:sz w:val="22"/>
                <w:szCs w:val="22"/>
              </w:rPr>
            </w:pPr>
            <w:r>
              <w:rPr>
                <w:rFonts w:ascii="Calibri" w:hAnsi="Calibri" w:cs="Calibri"/>
                <w:b/>
                <w:bCs/>
                <w:sz w:val="22"/>
                <w:szCs w:val="22"/>
              </w:rPr>
              <w:t>Prih</w:t>
            </w:r>
            <w:r w:rsidR="00184F72">
              <w:rPr>
                <w:rFonts w:ascii="Calibri" w:hAnsi="Calibri" w:cs="Calibri"/>
                <w:b/>
                <w:bCs/>
                <w:sz w:val="22"/>
                <w:szCs w:val="22"/>
              </w:rPr>
              <w:t>odi</w:t>
            </w:r>
            <w:r>
              <w:rPr>
                <w:rFonts w:ascii="Calibri" w:hAnsi="Calibri" w:cs="Calibri"/>
                <w:b/>
                <w:bCs/>
                <w:sz w:val="22"/>
                <w:szCs w:val="22"/>
              </w:rPr>
              <w:t xml:space="preserve"> od financijske imovine -</w:t>
            </w:r>
            <w:r>
              <w:rPr>
                <w:rFonts w:ascii="Calibri" w:hAnsi="Calibri" w:cs="Calibri"/>
                <w:b/>
                <w:bCs/>
                <w:color w:val="0066CC"/>
                <w:sz w:val="22"/>
                <w:szCs w:val="22"/>
              </w:rPr>
              <w:t xml:space="preserve"> ostali vlastiti prihodi</w:t>
            </w:r>
          </w:p>
        </w:tc>
        <w:tc>
          <w:tcPr>
            <w:tcW w:w="1506" w:type="dxa"/>
            <w:tcBorders>
              <w:top w:val="nil"/>
              <w:left w:val="nil"/>
              <w:bottom w:val="single" w:sz="4" w:space="0" w:color="auto"/>
              <w:right w:val="single" w:sz="4" w:space="0" w:color="auto"/>
            </w:tcBorders>
            <w:vAlign w:val="bottom"/>
            <w:hideMark/>
          </w:tcPr>
          <w:p w14:paraId="39A8BA5A" w14:textId="77777777" w:rsidR="005369B3" w:rsidRDefault="005369B3">
            <w:pPr>
              <w:jc w:val="right"/>
              <w:rPr>
                <w:rFonts w:ascii="Calibri" w:hAnsi="Calibri" w:cs="Calibri"/>
                <w:b/>
                <w:bCs/>
                <w:sz w:val="22"/>
                <w:szCs w:val="22"/>
              </w:rPr>
            </w:pPr>
            <w:r>
              <w:rPr>
                <w:rFonts w:ascii="Calibri" w:hAnsi="Calibri" w:cs="Calibri"/>
                <w:b/>
                <w:bCs/>
                <w:sz w:val="22"/>
                <w:szCs w:val="22"/>
              </w:rPr>
              <w:t>20.052,66</w:t>
            </w:r>
          </w:p>
        </w:tc>
        <w:tc>
          <w:tcPr>
            <w:tcW w:w="1506" w:type="dxa"/>
            <w:tcBorders>
              <w:top w:val="nil"/>
              <w:left w:val="nil"/>
              <w:bottom w:val="single" w:sz="4" w:space="0" w:color="auto"/>
              <w:right w:val="single" w:sz="4" w:space="0" w:color="auto"/>
            </w:tcBorders>
            <w:shd w:val="clear" w:color="000000" w:fill="FFFFFF"/>
            <w:vAlign w:val="bottom"/>
            <w:hideMark/>
          </w:tcPr>
          <w:p w14:paraId="1901DDF9" w14:textId="77777777" w:rsidR="005369B3" w:rsidRDefault="005369B3">
            <w:pPr>
              <w:jc w:val="right"/>
              <w:rPr>
                <w:rFonts w:ascii="Calibri" w:hAnsi="Calibri" w:cs="Calibri"/>
                <w:b/>
                <w:bCs/>
                <w:sz w:val="22"/>
                <w:szCs w:val="22"/>
              </w:rPr>
            </w:pPr>
            <w:r>
              <w:rPr>
                <w:rFonts w:ascii="Calibri" w:hAnsi="Calibri" w:cs="Calibri"/>
                <w:b/>
                <w:bCs/>
                <w:sz w:val="22"/>
                <w:szCs w:val="22"/>
              </w:rPr>
              <w:t> </w:t>
            </w:r>
          </w:p>
        </w:tc>
        <w:tc>
          <w:tcPr>
            <w:tcW w:w="1506" w:type="dxa"/>
            <w:tcBorders>
              <w:top w:val="nil"/>
              <w:left w:val="nil"/>
              <w:bottom w:val="single" w:sz="4" w:space="0" w:color="auto"/>
              <w:right w:val="single" w:sz="4" w:space="0" w:color="auto"/>
            </w:tcBorders>
            <w:noWrap/>
            <w:vAlign w:val="bottom"/>
            <w:hideMark/>
          </w:tcPr>
          <w:p w14:paraId="77AD53AC" w14:textId="77777777" w:rsidR="005369B3" w:rsidRDefault="005369B3">
            <w:pPr>
              <w:jc w:val="right"/>
              <w:rPr>
                <w:rFonts w:ascii="Calibri" w:hAnsi="Calibri" w:cs="Calibri"/>
                <w:b/>
                <w:bCs/>
                <w:color w:val="000000"/>
                <w:sz w:val="22"/>
                <w:szCs w:val="22"/>
              </w:rPr>
            </w:pPr>
            <w:r>
              <w:rPr>
                <w:rFonts w:ascii="Calibri" w:hAnsi="Calibri" w:cs="Calibri"/>
                <w:b/>
                <w:bCs/>
                <w:color w:val="000000"/>
                <w:sz w:val="22"/>
                <w:szCs w:val="22"/>
              </w:rPr>
              <w:t>22.744,88</w:t>
            </w:r>
          </w:p>
        </w:tc>
        <w:tc>
          <w:tcPr>
            <w:tcW w:w="877" w:type="dxa"/>
            <w:tcBorders>
              <w:top w:val="nil"/>
              <w:left w:val="nil"/>
              <w:bottom w:val="single" w:sz="4" w:space="0" w:color="auto"/>
              <w:right w:val="single" w:sz="4" w:space="0" w:color="auto"/>
            </w:tcBorders>
            <w:noWrap/>
            <w:vAlign w:val="bottom"/>
            <w:hideMark/>
          </w:tcPr>
          <w:p w14:paraId="4F6FF2DB" w14:textId="77777777" w:rsidR="005369B3" w:rsidRDefault="005369B3">
            <w:pPr>
              <w:jc w:val="center"/>
              <w:rPr>
                <w:rFonts w:ascii="Calibri" w:hAnsi="Calibri" w:cs="Calibri"/>
                <w:b/>
                <w:bCs/>
                <w:color w:val="000000"/>
                <w:sz w:val="22"/>
                <w:szCs w:val="22"/>
              </w:rPr>
            </w:pPr>
            <w:r>
              <w:rPr>
                <w:rFonts w:ascii="Calibri" w:hAnsi="Calibri" w:cs="Calibri"/>
                <w:b/>
                <w:bCs/>
                <w:color w:val="000000"/>
                <w:sz w:val="22"/>
                <w:szCs w:val="22"/>
              </w:rPr>
              <w:t>113%</w:t>
            </w:r>
          </w:p>
        </w:tc>
        <w:tc>
          <w:tcPr>
            <w:tcW w:w="607" w:type="dxa"/>
            <w:tcBorders>
              <w:top w:val="nil"/>
              <w:left w:val="nil"/>
              <w:bottom w:val="single" w:sz="4" w:space="0" w:color="auto"/>
              <w:right w:val="single" w:sz="4" w:space="0" w:color="auto"/>
            </w:tcBorders>
            <w:noWrap/>
            <w:vAlign w:val="bottom"/>
            <w:hideMark/>
          </w:tcPr>
          <w:p w14:paraId="14C4A1B0" w14:textId="77777777" w:rsidR="005369B3" w:rsidRDefault="005369B3">
            <w:pPr>
              <w:jc w:val="center"/>
              <w:rPr>
                <w:rFonts w:ascii="Calibri" w:hAnsi="Calibri" w:cs="Calibri"/>
                <w:b/>
                <w:bCs/>
                <w:color w:val="000000"/>
                <w:sz w:val="22"/>
                <w:szCs w:val="22"/>
              </w:rPr>
            </w:pPr>
            <w:r>
              <w:rPr>
                <w:rFonts w:ascii="Calibri" w:hAnsi="Calibri" w:cs="Calibri"/>
                <w:b/>
                <w:bCs/>
                <w:color w:val="000000"/>
                <w:sz w:val="22"/>
                <w:szCs w:val="22"/>
              </w:rPr>
              <w:t> </w:t>
            </w:r>
          </w:p>
        </w:tc>
        <w:tc>
          <w:tcPr>
            <w:tcW w:w="222" w:type="dxa"/>
            <w:vAlign w:val="center"/>
            <w:hideMark/>
          </w:tcPr>
          <w:p w14:paraId="567BA684" w14:textId="77777777" w:rsidR="005369B3" w:rsidRDefault="005369B3">
            <w:pPr>
              <w:rPr>
                <w:sz w:val="20"/>
                <w:szCs w:val="20"/>
              </w:rPr>
            </w:pPr>
          </w:p>
        </w:tc>
      </w:tr>
      <w:tr w:rsidR="005369B3" w14:paraId="5081B520" w14:textId="77777777" w:rsidTr="005369B3">
        <w:trPr>
          <w:trHeight w:val="290"/>
          <w:jc w:val="center"/>
        </w:trPr>
        <w:tc>
          <w:tcPr>
            <w:tcW w:w="665" w:type="dxa"/>
            <w:tcBorders>
              <w:top w:val="nil"/>
              <w:left w:val="single" w:sz="4" w:space="0" w:color="auto"/>
              <w:bottom w:val="single" w:sz="4" w:space="0" w:color="auto"/>
              <w:right w:val="single" w:sz="4" w:space="0" w:color="auto"/>
            </w:tcBorders>
            <w:shd w:val="clear" w:color="000000" w:fill="FFFFFF"/>
            <w:noWrap/>
            <w:vAlign w:val="bottom"/>
            <w:hideMark/>
          </w:tcPr>
          <w:p w14:paraId="5AB137D8" w14:textId="77777777" w:rsidR="005369B3" w:rsidRDefault="005369B3">
            <w:pPr>
              <w:jc w:val="center"/>
              <w:rPr>
                <w:rFonts w:ascii="Calibri" w:hAnsi="Calibri" w:cs="Calibri"/>
                <w:color w:val="000000"/>
                <w:sz w:val="22"/>
                <w:szCs w:val="22"/>
              </w:rPr>
            </w:pPr>
            <w:r>
              <w:rPr>
                <w:rFonts w:ascii="Calibri" w:hAnsi="Calibri" w:cs="Calibri"/>
                <w:color w:val="000000"/>
                <w:sz w:val="22"/>
                <w:szCs w:val="22"/>
              </w:rPr>
              <w:t>6413</w:t>
            </w:r>
          </w:p>
        </w:tc>
        <w:tc>
          <w:tcPr>
            <w:tcW w:w="4101" w:type="dxa"/>
            <w:tcBorders>
              <w:top w:val="nil"/>
              <w:left w:val="nil"/>
              <w:bottom w:val="single" w:sz="4" w:space="0" w:color="auto"/>
              <w:right w:val="single" w:sz="4" w:space="0" w:color="auto"/>
            </w:tcBorders>
            <w:vAlign w:val="bottom"/>
            <w:hideMark/>
          </w:tcPr>
          <w:p w14:paraId="5BB8497C" w14:textId="77777777" w:rsidR="005369B3" w:rsidRDefault="005369B3">
            <w:pPr>
              <w:rPr>
                <w:rFonts w:ascii="Calibri" w:hAnsi="Calibri" w:cs="Calibri"/>
                <w:sz w:val="22"/>
                <w:szCs w:val="22"/>
              </w:rPr>
            </w:pPr>
            <w:r>
              <w:rPr>
                <w:rFonts w:ascii="Calibri" w:hAnsi="Calibri" w:cs="Calibri"/>
                <w:sz w:val="22"/>
                <w:szCs w:val="22"/>
              </w:rPr>
              <w:t>Kamate na oročena sredstva</w:t>
            </w:r>
          </w:p>
        </w:tc>
        <w:tc>
          <w:tcPr>
            <w:tcW w:w="1506" w:type="dxa"/>
            <w:tcBorders>
              <w:top w:val="nil"/>
              <w:left w:val="nil"/>
              <w:bottom w:val="single" w:sz="4" w:space="0" w:color="auto"/>
              <w:right w:val="single" w:sz="4" w:space="0" w:color="auto"/>
            </w:tcBorders>
            <w:vAlign w:val="bottom"/>
            <w:hideMark/>
          </w:tcPr>
          <w:p w14:paraId="47E80917" w14:textId="77777777" w:rsidR="005369B3" w:rsidRDefault="005369B3">
            <w:pPr>
              <w:jc w:val="right"/>
              <w:rPr>
                <w:rFonts w:ascii="Calibri" w:hAnsi="Calibri" w:cs="Calibri"/>
                <w:sz w:val="22"/>
                <w:szCs w:val="22"/>
              </w:rPr>
            </w:pPr>
            <w:r>
              <w:rPr>
                <w:rFonts w:ascii="Calibri" w:hAnsi="Calibri" w:cs="Calibri"/>
                <w:sz w:val="22"/>
                <w:szCs w:val="22"/>
              </w:rPr>
              <w:t>249,36</w:t>
            </w:r>
          </w:p>
        </w:tc>
        <w:tc>
          <w:tcPr>
            <w:tcW w:w="1506" w:type="dxa"/>
            <w:tcBorders>
              <w:top w:val="nil"/>
              <w:left w:val="nil"/>
              <w:bottom w:val="single" w:sz="4" w:space="0" w:color="auto"/>
              <w:right w:val="single" w:sz="4" w:space="0" w:color="auto"/>
            </w:tcBorders>
            <w:shd w:val="clear" w:color="000000" w:fill="FFFFFF"/>
            <w:vAlign w:val="bottom"/>
            <w:hideMark/>
          </w:tcPr>
          <w:p w14:paraId="2BB1988A" w14:textId="77777777" w:rsidR="005369B3" w:rsidRDefault="005369B3">
            <w:pPr>
              <w:jc w:val="right"/>
              <w:rPr>
                <w:rFonts w:ascii="Calibri" w:hAnsi="Calibri" w:cs="Calibri"/>
                <w:sz w:val="22"/>
                <w:szCs w:val="22"/>
              </w:rPr>
            </w:pPr>
            <w:r>
              <w:rPr>
                <w:rFonts w:ascii="Calibri" w:hAnsi="Calibri" w:cs="Calibri"/>
                <w:sz w:val="22"/>
                <w:szCs w:val="22"/>
              </w:rPr>
              <w:t> </w:t>
            </w:r>
          </w:p>
        </w:tc>
        <w:tc>
          <w:tcPr>
            <w:tcW w:w="1506" w:type="dxa"/>
            <w:tcBorders>
              <w:top w:val="nil"/>
              <w:left w:val="nil"/>
              <w:bottom w:val="single" w:sz="4" w:space="0" w:color="auto"/>
              <w:right w:val="single" w:sz="4" w:space="0" w:color="auto"/>
            </w:tcBorders>
            <w:noWrap/>
            <w:vAlign w:val="bottom"/>
            <w:hideMark/>
          </w:tcPr>
          <w:p w14:paraId="5735B029" w14:textId="77777777" w:rsidR="005369B3" w:rsidRDefault="005369B3">
            <w:pPr>
              <w:jc w:val="right"/>
              <w:rPr>
                <w:rFonts w:ascii="Calibri" w:hAnsi="Calibri" w:cs="Calibri"/>
                <w:color w:val="000000"/>
                <w:sz w:val="22"/>
                <w:szCs w:val="22"/>
              </w:rPr>
            </w:pPr>
            <w:r>
              <w:rPr>
                <w:rFonts w:ascii="Calibri" w:hAnsi="Calibri" w:cs="Calibri"/>
                <w:color w:val="000000"/>
                <w:sz w:val="22"/>
                <w:szCs w:val="22"/>
              </w:rPr>
              <w:t>204,43</w:t>
            </w:r>
          </w:p>
        </w:tc>
        <w:tc>
          <w:tcPr>
            <w:tcW w:w="877" w:type="dxa"/>
            <w:tcBorders>
              <w:top w:val="nil"/>
              <w:left w:val="nil"/>
              <w:bottom w:val="single" w:sz="4" w:space="0" w:color="auto"/>
              <w:right w:val="single" w:sz="4" w:space="0" w:color="auto"/>
            </w:tcBorders>
            <w:noWrap/>
            <w:vAlign w:val="bottom"/>
            <w:hideMark/>
          </w:tcPr>
          <w:p w14:paraId="41B4006B" w14:textId="77777777" w:rsidR="005369B3" w:rsidRDefault="005369B3">
            <w:pPr>
              <w:jc w:val="center"/>
              <w:rPr>
                <w:rFonts w:ascii="Calibri" w:hAnsi="Calibri" w:cs="Calibri"/>
                <w:color w:val="000000"/>
                <w:sz w:val="22"/>
                <w:szCs w:val="22"/>
              </w:rPr>
            </w:pPr>
            <w:r>
              <w:rPr>
                <w:rFonts w:ascii="Calibri" w:hAnsi="Calibri" w:cs="Calibri"/>
                <w:color w:val="000000"/>
                <w:sz w:val="22"/>
                <w:szCs w:val="22"/>
              </w:rPr>
              <w:t>82%</w:t>
            </w:r>
          </w:p>
        </w:tc>
        <w:tc>
          <w:tcPr>
            <w:tcW w:w="607" w:type="dxa"/>
            <w:tcBorders>
              <w:top w:val="nil"/>
              <w:left w:val="nil"/>
              <w:bottom w:val="single" w:sz="4" w:space="0" w:color="auto"/>
              <w:right w:val="single" w:sz="4" w:space="0" w:color="auto"/>
            </w:tcBorders>
            <w:noWrap/>
            <w:vAlign w:val="bottom"/>
            <w:hideMark/>
          </w:tcPr>
          <w:p w14:paraId="3180D573" w14:textId="77777777" w:rsidR="005369B3" w:rsidRDefault="005369B3">
            <w:pPr>
              <w:jc w:val="center"/>
              <w:rPr>
                <w:rFonts w:ascii="Calibri" w:hAnsi="Calibri" w:cs="Calibri"/>
                <w:color w:val="000000"/>
                <w:sz w:val="22"/>
                <w:szCs w:val="22"/>
              </w:rPr>
            </w:pPr>
            <w:r>
              <w:rPr>
                <w:rFonts w:ascii="Calibri" w:hAnsi="Calibri" w:cs="Calibri"/>
                <w:color w:val="000000"/>
                <w:sz w:val="22"/>
                <w:szCs w:val="22"/>
              </w:rPr>
              <w:t> </w:t>
            </w:r>
          </w:p>
        </w:tc>
        <w:tc>
          <w:tcPr>
            <w:tcW w:w="222" w:type="dxa"/>
            <w:vAlign w:val="center"/>
            <w:hideMark/>
          </w:tcPr>
          <w:p w14:paraId="368968AE" w14:textId="77777777" w:rsidR="005369B3" w:rsidRDefault="005369B3">
            <w:pPr>
              <w:rPr>
                <w:sz w:val="20"/>
                <w:szCs w:val="20"/>
              </w:rPr>
            </w:pPr>
          </w:p>
        </w:tc>
      </w:tr>
      <w:tr w:rsidR="005369B3" w14:paraId="1E6A90B4" w14:textId="77777777" w:rsidTr="005369B3">
        <w:trPr>
          <w:trHeight w:val="290"/>
          <w:jc w:val="center"/>
        </w:trPr>
        <w:tc>
          <w:tcPr>
            <w:tcW w:w="665" w:type="dxa"/>
            <w:tcBorders>
              <w:top w:val="nil"/>
              <w:left w:val="single" w:sz="4" w:space="0" w:color="auto"/>
              <w:bottom w:val="single" w:sz="4" w:space="0" w:color="auto"/>
              <w:right w:val="single" w:sz="4" w:space="0" w:color="auto"/>
            </w:tcBorders>
            <w:shd w:val="clear" w:color="000000" w:fill="FFFFFF"/>
            <w:noWrap/>
            <w:vAlign w:val="bottom"/>
            <w:hideMark/>
          </w:tcPr>
          <w:p w14:paraId="1B0E6545" w14:textId="77777777" w:rsidR="005369B3" w:rsidRDefault="005369B3">
            <w:pPr>
              <w:jc w:val="center"/>
              <w:rPr>
                <w:rFonts w:ascii="Calibri" w:hAnsi="Calibri" w:cs="Calibri"/>
                <w:color w:val="000000"/>
                <w:sz w:val="22"/>
                <w:szCs w:val="22"/>
              </w:rPr>
            </w:pPr>
            <w:r>
              <w:rPr>
                <w:rFonts w:ascii="Calibri" w:hAnsi="Calibri" w:cs="Calibri"/>
                <w:color w:val="000000"/>
                <w:sz w:val="22"/>
                <w:szCs w:val="22"/>
              </w:rPr>
              <w:t>6414</w:t>
            </w:r>
          </w:p>
        </w:tc>
        <w:tc>
          <w:tcPr>
            <w:tcW w:w="4101" w:type="dxa"/>
            <w:tcBorders>
              <w:top w:val="nil"/>
              <w:left w:val="nil"/>
              <w:bottom w:val="single" w:sz="4" w:space="0" w:color="auto"/>
              <w:right w:val="single" w:sz="4" w:space="0" w:color="auto"/>
            </w:tcBorders>
            <w:vAlign w:val="bottom"/>
            <w:hideMark/>
          </w:tcPr>
          <w:p w14:paraId="124FB6FA" w14:textId="77777777" w:rsidR="005369B3" w:rsidRDefault="005369B3">
            <w:pPr>
              <w:rPr>
                <w:rFonts w:ascii="Calibri" w:hAnsi="Calibri" w:cs="Calibri"/>
                <w:sz w:val="22"/>
                <w:szCs w:val="22"/>
              </w:rPr>
            </w:pPr>
            <w:r>
              <w:rPr>
                <w:rFonts w:ascii="Calibri" w:hAnsi="Calibri" w:cs="Calibri"/>
                <w:sz w:val="22"/>
                <w:szCs w:val="22"/>
              </w:rPr>
              <w:t>Zatezne kamate</w:t>
            </w:r>
          </w:p>
        </w:tc>
        <w:tc>
          <w:tcPr>
            <w:tcW w:w="1506" w:type="dxa"/>
            <w:tcBorders>
              <w:top w:val="nil"/>
              <w:left w:val="nil"/>
              <w:bottom w:val="single" w:sz="4" w:space="0" w:color="auto"/>
              <w:right w:val="single" w:sz="4" w:space="0" w:color="auto"/>
            </w:tcBorders>
            <w:vAlign w:val="bottom"/>
            <w:hideMark/>
          </w:tcPr>
          <w:p w14:paraId="172B3D0F" w14:textId="77777777" w:rsidR="005369B3" w:rsidRDefault="005369B3">
            <w:pPr>
              <w:jc w:val="right"/>
              <w:rPr>
                <w:rFonts w:ascii="Calibri" w:hAnsi="Calibri" w:cs="Calibri"/>
                <w:sz w:val="22"/>
                <w:szCs w:val="22"/>
              </w:rPr>
            </w:pPr>
            <w:r>
              <w:rPr>
                <w:rFonts w:ascii="Calibri" w:hAnsi="Calibri" w:cs="Calibri"/>
                <w:sz w:val="22"/>
                <w:szCs w:val="22"/>
              </w:rPr>
              <w:t>0,00</w:t>
            </w:r>
          </w:p>
        </w:tc>
        <w:tc>
          <w:tcPr>
            <w:tcW w:w="1506" w:type="dxa"/>
            <w:tcBorders>
              <w:top w:val="nil"/>
              <w:left w:val="nil"/>
              <w:bottom w:val="single" w:sz="4" w:space="0" w:color="auto"/>
              <w:right w:val="single" w:sz="4" w:space="0" w:color="auto"/>
            </w:tcBorders>
            <w:shd w:val="clear" w:color="000000" w:fill="FFFFFF"/>
            <w:vAlign w:val="bottom"/>
            <w:hideMark/>
          </w:tcPr>
          <w:p w14:paraId="70D230AD" w14:textId="77777777" w:rsidR="005369B3" w:rsidRDefault="005369B3">
            <w:pPr>
              <w:jc w:val="right"/>
              <w:rPr>
                <w:rFonts w:ascii="Calibri" w:hAnsi="Calibri" w:cs="Calibri"/>
                <w:sz w:val="22"/>
                <w:szCs w:val="22"/>
              </w:rPr>
            </w:pPr>
            <w:r>
              <w:rPr>
                <w:rFonts w:ascii="Calibri" w:hAnsi="Calibri" w:cs="Calibri"/>
                <w:sz w:val="22"/>
                <w:szCs w:val="22"/>
              </w:rPr>
              <w:t> </w:t>
            </w:r>
          </w:p>
        </w:tc>
        <w:tc>
          <w:tcPr>
            <w:tcW w:w="1506" w:type="dxa"/>
            <w:tcBorders>
              <w:top w:val="nil"/>
              <w:left w:val="nil"/>
              <w:bottom w:val="single" w:sz="4" w:space="0" w:color="auto"/>
              <w:right w:val="single" w:sz="4" w:space="0" w:color="auto"/>
            </w:tcBorders>
            <w:noWrap/>
            <w:vAlign w:val="bottom"/>
            <w:hideMark/>
          </w:tcPr>
          <w:p w14:paraId="4AA260F2" w14:textId="77777777" w:rsidR="005369B3" w:rsidRDefault="005369B3">
            <w:pPr>
              <w:jc w:val="right"/>
              <w:rPr>
                <w:rFonts w:ascii="Calibri" w:hAnsi="Calibri" w:cs="Calibri"/>
                <w:color w:val="000000"/>
                <w:sz w:val="22"/>
                <w:szCs w:val="22"/>
              </w:rPr>
            </w:pPr>
            <w:r>
              <w:rPr>
                <w:rFonts w:ascii="Calibri" w:hAnsi="Calibri" w:cs="Calibri"/>
                <w:color w:val="000000"/>
                <w:sz w:val="22"/>
                <w:szCs w:val="22"/>
              </w:rPr>
              <w:t>64,45</w:t>
            </w:r>
          </w:p>
        </w:tc>
        <w:tc>
          <w:tcPr>
            <w:tcW w:w="877" w:type="dxa"/>
            <w:tcBorders>
              <w:top w:val="nil"/>
              <w:left w:val="nil"/>
              <w:bottom w:val="single" w:sz="4" w:space="0" w:color="auto"/>
              <w:right w:val="single" w:sz="4" w:space="0" w:color="auto"/>
            </w:tcBorders>
            <w:noWrap/>
            <w:vAlign w:val="bottom"/>
            <w:hideMark/>
          </w:tcPr>
          <w:p w14:paraId="526E06BE" w14:textId="77777777" w:rsidR="005369B3" w:rsidRDefault="005369B3">
            <w:pPr>
              <w:jc w:val="center"/>
              <w:rPr>
                <w:rFonts w:ascii="Calibri" w:hAnsi="Calibri" w:cs="Calibri"/>
                <w:color w:val="000000"/>
                <w:sz w:val="22"/>
                <w:szCs w:val="22"/>
              </w:rPr>
            </w:pPr>
            <w:r>
              <w:rPr>
                <w:rFonts w:ascii="Calibri" w:hAnsi="Calibri" w:cs="Calibri"/>
                <w:color w:val="000000"/>
                <w:sz w:val="22"/>
                <w:szCs w:val="22"/>
              </w:rPr>
              <w:t> </w:t>
            </w:r>
          </w:p>
        </w:tc>
        <w:tc>
          <w:tcPr>
            <w:tcW w:w="607" w:type="dxa"/>
            <w:tcBorders>
              <w:top w:val="nil"/>
              <w:left w:val="nil"/>
              <w:bottom w:val="single" w:sz="4" w:space="0" w:color="auto"/>
              <w:right w:val="single" w:sz="4" w:space="0" w:color="auto"/>
            </w:tcBorders>
            <w:noWrap/>
            <w:vAlign w:val="bottom"/>
            <w:hideMark/>
          </w:tcPr>
          <w:p w14:paraId="62059744" w14:textId="77777777" w:rsidR="005369B3" w:rsidRDefault="005369B3">
            <w:pPr>
              <w:jc w:val="center"/>
              <w:rPr>
                <w:rFonts w:ascii="Calibri" w:hAnsi="Calibri" w:cs="Calibri"/>
                <w:color w:val="000000"/>
                <w:sz w:val="22"/>
                <w:szCs w:val="22"/>
              </w:rPr>
            </w:pPr>
            <w:r>
              <w:rPr>
                <w:rFonts w:ascii="Calibri" w:hAnsi="Calibri" w:cs="Calibri"/>
                <w:color w:val="000000"/>
                <w:sz w:val="22"/>
                <w:szCs w:val="22"/>
              </w:rPr>
              <w:t> </w:t>
            </w:r>
          </w:p>
        </w:tc>
        <w:tc>
          <w:tcPr>
            <w:tcW w:w="222" w:type="dxa"/>
            <w:vAlign w:val="center"/>
            <w:hideMark/>
          </w:tcPr>
          <w:p w14:paraId="0B88E94B" w14:textId="77777777" w:rsidR="005369B3" w:rsidRDefault="005369B3">
            <w:pPr>
              <w:rPr>
                <w:sz w:val="20"/>
                <w:szCs w:val="20"/>
              </w:rPr>
            </w:pPr>
          </w:p>
        </w:tc>
      </w:tr>
      <w:tr w:rsidR="005369B3" w14:paraId="4F654477" w14:textId="77777777" w:rsidTr="005369B3">
        <w:trPr>
          <w:trHeight w:val="290"/>
          <w:jc w:val="center"/>
        </w:trPr>
        <w:tc>
          <w:tcPr>
            <w:tcW w:w="665" w:type="dxa"/>
            <w:tcBorders>
              <w:top w:val="nil"/>
              <w:left w:val="single" w:sz="4" w:space="0" w:color="auto"/>
              <w:bottom w:val="single" w:sz="4" w:space="0" w:color="auto"/>
              <w:right w:val="single" w:sz="4" w:space="0" w:color="auto"/>
            </w:tcBorders>
            <w:shd w:val="clear" w:color="000000" w:fill="FFFFFF"/>
            <w:noWrap/>
            <w:vAlign w:val="bottom"/>
            <w:hideMark/>
          </w:tcPr>
          <w:p w14:paraId="793E148A" w14:textId="77777777" w:rsidR="005369B3" w:rsidRDefault="005369B3">
            <w:pPr>
              <w:jc w:val="center"/>
              <w:rPr>
                <w:rFonts w:ascii="Calibri" w:hAnsi="Calibri" w:cs="Calibri"/>
                <w:color w:val="000000"/>
                <w:sz w:val="22"/>
                <w:szCs w:val="22"/>
              </w:rPr>
            </w:pPr>
            <w:r>
              <w:rPr>
                <w:rFonts w:ascii="Calibri" w:hAnsi="Calibri" w:cs="Calibri"/>
                <w:color w:val="000000"/>
                <w:sz w:val="22"/>
                <w:szCs w:val="22"/>
              </w:rPr>
              <w:t>6415</w:t>
            </w:r>
          </w:p>
        </w:tc>
        <w:tc>
          <w:tcPr>
            <w:tcW w:w="4101" w:type="dxa"/>
            <w:tcBorders>
              <w:top w:val="nil"/>
              <w:left w:val="nil"/>
              <w:bottom w:val="single" w:sz="4" w:space="0" w:color="auto"/>
              <w:right w:val="single" w:sz="4" w:space="0" w:color="auto"/>
            </w:tcBorders>
            <w:vAlign w:val="bottom"/>
            <w:hideMark/>
          </w:tcPr>
          <w:p w14:paraId="5DA6F974" w14:textId="77777777" w:rsidR="005369B3" w:rsidRDefault="005369B3">
            <w:pPr>
              <w:rPr>
                <w:rFonts w:ascii="Calibri" w:hAnsi="Calibri" w:cs="Calibri"/>
                <w:sz w:val="22"/>
                <w:szCs w:val="22"/>
              </w:rPr>
            </w:pPr>
            <w:r>
              <w:rPr>
                <w:rFonts w:ascii="Calibri" w:hAnsi="Calibri" w:cs="Calibri"/>
                <w:sz w:val="22"/>
                <w:szCs w:val="22"/>
              </w:rPr>
              <w:t>Prihodi od pozitivnih tečajnih razlika</w:t>
            </w:r>
          </w:p>
        </w:tc>
        <w:tc>
          <w:tcPr>
            <w:tcW w:w="1506" w:type="dxa"/>
            <w:tcBorders>
              <w:top w:val="nil"/>
              <w:left w:val="nil"/>
              <w:bottom w:val="single" w:sz="4" w:space="0" w:color="auto"/>
              <w:right w:val="single" w:sz="4" w:space="0" w:color="auto"/>
            </w:tcBorders>
            <w:vAlign w:val="bottom"/>
            <w:hideMark/>
          </w:tcPr>
          <w:p w14:paraId="69BCB2C7" w14:textId="77777777" w:rsidR="005369B3" w:rsidRDefault="005369B3">
            <w:pPr>
              <w:jc w:val="right"/>
              <w:rPr>
                <w:rFonts w:ascii="Calibri" w:hAnsi="Calibri" w:cs="Calibri"/>
                <w:sz w:val="22"/>
                <w:szCs w:val="22"/>
              </w:rPr>
            </w:pPr>
            <w:r>
              <w:rPr>
                <w:rFonts w:ascii="Calibri" w:hAnsi="Calibri" w:cs="Calibri"/>
                <w:sz w:val="22"/>
                <w:szCs w:val="22"/>
              </w:rPr>
              <w:t>9,30</w:t>
            </w:r>
          </w:p>
        </w:tc>
        <w:tc>
          <w:tcPr>
            <w:tcW w:w="1506" w:type="dxa"/>
            <w:tcBorders>
              <w:top w:val="nil"/>
              <w:left w:val="nil"/>
              <w:bottom w:val="single" w:sz="4" w:space="0" w:color="auto"/>
              <w:right w:val="single" w:sz="4" w:space="0" w:color="auto"/>
            </w:tcBorders>
            <w:shd w:val="clear" w:color="000000" w:fill="FFFFFF"/>
            <w:vAlign w:val="bottom"/>
            <w:hideMark/>
          </w:tcPr>
          <w:p w14:paraId="07235BC1" w14:textId="77777777" w:rsidR="005369B3" w:rsidRDefault="005369B3">
            <w:pPr>
              <w:jc w:val="right"/>
              <w:rPr>
                <w:rFonts w:ascii="Calibri" w:hAnsi="Calibri" w:cs="Calibri"/>
                <w:sz w:val="22"/>
                <w:szCs w:val="22"/>
              </w:rPr>
            </w:pPr>
            <w:r>
              <w:rPr>
                <w:rFonts w:ascii="Calibri" w:hAnsi="Calibri" w:cs="Calibri"/>
                <w:sz w:val="22"/>
                <w:szCs w:val="22"/>
              </w:rPr>
              <w:t> </w:t>
            </w:r>
          </w:p>
        </w:tc>
        <w:tc>
          <w:tcPr>
            <w:tcW w:w="1506" w:type="dxa"/>
            <w:tcBorders>
              <w:top w:val="nil"/>
              <w:left w:val="nil"/>
              <w:bottom w:val="single" w:sz="4" w:space="0" w:color="auto"/>
              <w:right w:val="single" w:sz="4" w:space="0" w:color="auto"/>
            </w:tcBorders>
            <w:noWrap/>
            <w:vAlign w:val="bottom"/>
            <w:hideMark/>
          </w:tcPr>
          <w:p w14:paraId="7283BE52" w14:textId="77777777" w:rsidR="005369B3" w:rsidRDefault="005369B3">
            <w:pPr>
              <w:jc w:val="right"/>
              <w:rPr>
                <w:rFonts w:ascii="Calibri" w:hAnsi="Calibri" w:cs="Calibri"/>
                <w:color w:val="000000"/>
                <w:sz w:val="22"/>
                <w:szCs w:val="22"/>
              </w:rPr>
            </w:pPr>
            <w:r>
              <w:rPr>
                <w:rFonts w:ascii="Calibri" w:hAnsi="Calibri" w:cs="Calibri"/>
                <w:color w:val="000000"/>
                <w:sz w:val="22"/>
                <w:szCs w:val="22"/>
              </w:rPr>
              <w:t>0,00</w:t>
            </w:r>
          </w:p>
        </w:tc>
        <w:tc>
          <w:tcPr>
            <w:tcW w:w="877" w:type="dxa"/>
            <w:tcBorders>
              <w:top w:val="nil"/>
              <w:left w:val="nil"/>
              <w:bottom w:val="single" w:sz="4" w:space="0" w:color="auto"/>
              <w:right w:val="single" w:sz="4" w:space="0" w:color="auto"/>
            </w:tcBorders>
            <w:noWrap/>
            <w:vAlign w:val="bottom"/>
            <w:hideMark/>
          </w:tcPr>
          <w:p w14:paraId="43294D5E" w14:textId="77777777" w:rsidR="005369B3" w:rsidRDefault="005369B3">
            <w:pPr>
              <w:jc w:val="center"/>
              <w:rPr>
                <w:rFonts w:ascii="Calibri" w:hAnsi="Calibri" w:cs="Calibri"/>
                <w:color w:val="000000"/>
                <w:sz w:val="22"/>
                <w:szCs w:val="22"/>
              </w:rPr>
            </w:pPr>
            <w:r>
              <w:rPr>
                <w:rFonts w:ascii="Calibri" w:hAnsi="Calibri" w:cs="Calibri"/>
                <w:color w:val="000000"/>
                <w:sz w:val="22"/>
                <w:szCs w:val="22"/>
              </w:rPr>
              <w:t> </w:t>
            </w:r>
          </w:p>
        </w:tc>
        <w:tc>
          <w:tcPr>
            <w:tcW w:w="607" w:type="dxa"/>
            <w:tcBorders>
              <w:top w:val="nil"/>
              <w:left w:val="nil"/>
              <w:bottom w:val="single" w:sz="4" w:space="0" w:color="auto"/>
              <w:right w:val="single" w:sz="4" w:space="0" w:color="auto"/>
            </w:tcBorders>
            <w:noWrap/>
            <w:vAlign w:val="bottom"/>
            <w:hideMark/>
          </w:tcPr>
          <w:p w14:paraId="2289F979" w14:textId="77777777" w:rsidR="005369B3" w:rsidRDefault="005369B3">
            <w:pPr>
              <w:jc w:val="center"/>
              <w:rPr>
                <w:rFonts w:ascii="Calibri" w:hAnsi="Calibri" w:cs="Calibri"/>
                <w:color w:val="000000"/>
                <w:sz w:val="22"/>
                <w:szCs w:val="22"/>
              </w:rPr>
            </w:pPr>
            <w:r>
              <w:rPr>
                <w:rFonts w:ascii="Calibri" w:hAnsi="Calibri" w:cs="Calibri"/>
                <w:color w:val="000000"/>
                <w:sz w:val="22"/>
                <w:szCs w:val="22"/>
              </w:rPr>
              <w:t> </w:t>
            </w:r>
          </w:p>
        </w:tc>
        <w:tc>
          <w:tcPr>
            <w:tcW w:w="222" w:type="dxa"/>
            <w:vAlign w:val="center"/>
            <w:hideMark/>
          </w:tcPr>
          <w:p w14:paraId="22346722" w14:textId="77777777" w:rsidR="005369B3" w:rsidRDefault="005369B3">
            <w:pPr>
              <w:rPr>
                <w:sz w:val="20"/>
                <w:szCs w:val="20"/>
              </w:rPr>
            </w:pPr>
          </w:p>
        </w:tc>
      </w:tr>
      <w:tr w:rsidR="005369B3" w14:paraId="3FCDC79C" w14:textId="77777777" w:rsidTr="005369B3">
        <w:trPr>
          <w:trHeight w:val="290"/>
          <w:jc w:val="center"/>
        </w:trPr>
        <w:tc>
          <w:tcPr>
            <w:tcW w:w="665" w:type="dxa"/>
            <w:tcBorders>
              <w:top w:val="nil"/>
              <w:left w:val="single" w:sz="4" w:space="0" w:color="auto"/>
              <w:bottom w:val="single" w:sz="4" w:space="0" w:color="auto"/>
              <w:right w:val="single" w:sz="4" w:space="0" w:color="auto"/>
            </w:tcBorders>
            <w:shd w:val="clear" w:color="000000" w:fill="FFFFFF"/>
            <w:noWrap/>
            <w:vAlign w:val="bottom"/>
            <w:hideMark/>
          </w:tcPr>
          <w:p w14:paraId="7B005D26" w14:textId="77777777" w:rsidR="005369B3" w:rsidRDefault="005369B3">
            <w:pPr>
              <w:jc w:val="center"/>
              <w:rPr>
                <w:rFonts w:ascii="Calibri" w:hAnsi="Calibri" w:cs="Calibri"/>
                <w:color w:val="000000"/>
                <w:sz w:val="22"/>
                <w:szCs w:val="22"/>
              </w:rPr>
            </w:pPr>
            <w:r>
              <w:rPr>
                <w:rFonts w:ascii="Calibri" w:hAnsi="Calibri" w:cs="Calibri"/>
                <w:color w:val="000000"/>
                <w:sz w:val="22"/>
                <w:szCs w:val="22"/>
              </w:rPr>
              <w:t>6416</w:t>
            </w:r>
          </w:p>
        </w:tc>
        <w:tc>
          <w:tcPr>
            <w:tcW w:w="4101" w:type="dxa"/>
            <w:tcBorders>
              <w:top w:val="nil"/>
              <w:left w:val="nil"/>
              <w:bottom w:val="single" w:sz="4" w:space="0" w:color="auto"/>
              <w:right w:val="single" w:sz="4" w:space="0" w:color="auto"/>
            </w:tcBorders>
            <w:vAlign w:val="bottom"/>
            <w:hideMark/>
          </w:tcPr>
          <w:p w14:paraId="5802656D" w14:textId="77777777" w:rsidR="005369B3" w:rsidRDefault="005369B3">
            <w:pPr>
              <w:rPr>
                <w:rFonts w:ascii="Calibri" w:hAnsi="Calibri" w:cs="Calibri"/>
                <w:sz w:val="22"/>
                <w:szCs w:val="22"/>
              </w:rPr>
            </w:pPr>
            <w:r>
              <w:rPr>
                <w:rFonts w:ascii="Calibri" w:hAnsi="Calibri" w:cs="Calibri"/>
                <w:sz w:val="22"/>
                <w:szCs w:val="22"/>
              </w:rPr>
              <w:t>Prihodi od dividendi</w:t>
            </w:r>
          </w:p>
        </w:tc>
        <w:tc>
          <w:tcPr>
            <w:tcW w:w="1506" w:type="dxa"/>
            <w:tcBorders>
              <w:top w:val="nil"/>
              <w:left w:val="nil"/>
              <w:bottom w:val="single" w:sz="4" w:space="0" w:color="auto"/>
              <w:right w:val="single" w:sz="4" w:space="0" w:color="auto"/>
            </w:tcBorders>
            <w:vAlign w:val="bottom"/>
            <w:hideMark/>
          </w:tcPr>
          <w:p w14:paraId="6EF9F2B7" w14:textId="77777777" w:rsidR="005369B3" w:rsidRDefault="005369B3">
            <w:pPr>
              <w:jc w:val="right"/>
              <w:rPr>
                <w:rFonts w:ascii="Calibri" w:hAnsi="Calibri" w:cs="Calibri"/>
                <w:sz w:val="22"/>
                <w:szCs w:val="22"/>
              </w:rPr>
            </w:pPr>
            <w:r>
              <w:rPr>
                <w:rFonts w:ascii="Calibri" w:hAnsi="Calibri" w:cs="Calibri"/>
                <w:sz w:val="22"/>
                <w:szCs w:val="22"/>
              </w:rPr>
              <w:t>19.794,00</w:t>
            </w:r>
          </w:p>
        </w:tc>
        <w:tc>
          <w:tcPr>
            <w:tcW w:w="1506" w:type="dxa"/>
            <w:tcBorders>
              <w:top w:val="nil"/>
              <w:left w:val="nil"/>
              <w:bottom w:val="single" w:sz="4" w:space="0" w:color="auto"/>
              <w:right w:val="single" w:sz="4" w:space="0" w:color="auto"/>
            </w:tcBorders>
            <w:shd w:val="clear" w:color="000000" w:fill="FFFFFF"/>
            <w:vAlign w:val="bottom"/>
            <w:hideMark/>
          </w:tcPr>
          <w:p w14:paraId="05E15ACF" w14:textId="77777777" w:rsidR="005369B3" w:rsidRDefault="005369B3">
            <w:pPr>
              <w:jc w:val="right"/>
              <w:rPr>
                <w:rFonts w:ascii="Calibri" w:hAnsi="Calibri" w:cs="Calibri"/>
                <w:sz w:val="22"/>
                <w:szCs w:val="22"/>
              </w:rPr>
            </w:pPr>
            <w:r>
              <w:rPr>
                <w:rFonts w:ascii="Calibri" w:hAnsi="Calibri" w:cs="Calibri"/>
                <w:sz w:val="22"/>
                <w:szCs w:val="22"/>
              </w:rPr>
              <w:t> </w:t>
            </w:r>
          </w:p>
        </w:tc>
        <w:tc>
          <w:tcPr>
            <w:tcW w:w="1506" w:type="dxa"/>
            <w:tcBorders>
              <w:top w:val="nil"/>
              <w:left w:val="nil"/>
              <w:bottom w:val="single" w:sz="4" w:space="0" w:color="auto"/>
              <w:right w:val="single" w:sz="4" w:space="0" w:color="auto"/>
            </w:tcBorders>
            <w:noWrap/>
            <w:vAlign w:val="bottom"/>
            <w:hideMark/>
          </w:tcPr>
          <w:p w14:paraId="31656249" w14:textId="77777777" w:rsidR="005369B3" w:rsidRDefault="005369B3">
            <w:pPr>
              <w:jc w:val="right"/>
              <w:rPr>
                <w:rFonts w:ascii="Calibri" w:hAnsi="Calibri" w:cs="Calibri"/>
                <w:color w:val="000000"/>
                <w:sz w:val="22"/>
                <w:szCs w:val="22"/>
              </w:rPr>
            </w:pPr>
            <w:r>
              <w:rPr>
                <w:rFonts w:ascii="Calibri" w:hAnsi="Calibri" w:cs="Calibri"/>
                <w:color w:val="000000"/>
                <w:sz w:val="22"/>
                <w:szCs w:val="22"/>
              </w:rPr>
              <w:t>22.476,00</w:t>
            </w:r>
          </w:p>
        </w:tc>
        <w:tc>
          <w:tcPr>
            <w:tcW w:w="877" w:type="dxa"/>
            <w:tcBorders>
              <w:top w:val="nil"/>
              <w:left w:val="nil"/>
              <w:bottom w:val="single" w:sz="4" w:space="0" w:color="auto"/>
              <w:right w:val="single" w:sz="4" w:space="0" w:color="auto"/>
            </w:tcBorders>
            <w:noWrap/>
            <w:vAlign w:val="bottom"/>
            <w:hideMark/>
          </w:tcPr>
          <w:p w14:paraId="19784F02" w14:textId="77777777" w:rsidR="005369B3" w:rsidRDefault="005369B3">
            <w:pPr>
              <w:jc w:val="center"/>
              <w:rPr>
                <w:rFonts w:ascii="Calibri" w:hAnsi="Calibri" w:cs="Calibri"/>
                <w:color w:val="000000"/>
                <w:sz w:val="22"/>
                <w:szCs w:val="22"/>
              </w:rPr>
            </w:pPr>
            <w:r>
              <w:rPr>
                <w:rFonts w:ascii="Calibri" w:hAnsi="Calibri" w:cs="Calibri"/>
                <w:color w:val="000000"/>
                <w:sz w:val="22"/>
                <w:szCs w:val="22"/>
              </w:rPr>
              <w:t>114%</w:t>
            </w:r>
          </w:p>
        </w:tc>
        <w:tc>
          <w:tcPr>
            <w:tcW w:w="607" w:type="dxa"/>
            <w:tcBorders>
              <w:top w:val="nil"/>
              <w:left w:val="nil"/>
              <w:bottom w:val="single" w:sz="4" w:space="0" w:color="auto"/>
              <w:right w:val="single" w:sz="4" w:space="0" w:color="auto"/>
            </w:tcBorders>
            <w:noWrap/>
            <w:vAlign w:val="bottom"/>
            <w:hideMark/>
          </w:tcPr>
          <w:p w14:paraId="377BB3F4" w14:textId="77777777" w:rsidR="005369B3" w:rsidRDefault="005369B3">
            <w:pPr>
              <w:jc w:val="center"/>
              <w:rPr>
                <w:rFonts w:ascii="Calibri" w:hAnsi="Calibri" w:cs="Calibri"/>
                <w:color w:val="000000"/>
                <w:sz w:val="22"/>
                <w:szCs w:val="22"/>
              </w:rPr>
            </w:pPr>
            <w:r>
              <w:rPr>
                <w:rFonts w:ascii="Calibri" w:hAnsi="Calibri" w:cs="Calibri"/>
                <w:color w:val="000000"/>
                <w:sz w:val="22"/>
                <w:szCs w:val="22"/>
              </w:rPr>
              <w:t> </w:t>
            </w:r>
          </w:p>
        </w:tc>
        <w:tc>
          <w:tcPr>
            <w:tcW w:w="222" w:type="dxa"/>
            <w:vAlign w:val="center"/>
            <w:hideMark/>
          </w:tcPr>
          <w:p w14:paraId="1FB36246" w14:textId="77777777" w:rsidR="005369B3" w:rsidRDefault="005369B3">
            <w:pPr>
              <w:rPr>
                <w:sz w:val="20"/>
                <w:szCs w:val="20"/>
              </w:rPr>
            </w:pPr>
          </w:p>
        </w:tc>
      </w:tr>
      <w:tr w:rsidR="005369B3" w14:paraId="5F240D55" w14:textId="77777777" w:rsidTr="005369B3">
        <w:trPr>
          <w:trHeight w:val="870"/>
          <w:jc w:val="center"/>
        </w:trPr>
        <w:tc>
          <w:tcPr>
            <w:tcW w:w="665" w:type="dxa"/>
            <w:tcBorders>
              <w:top w:val="nil"/>
              <w:left w:val="single" w:sz="4" w:space="0" w:color="auto"/>
              <w:bottom w:val="single" w:sz="4" w:space="0" w:color="auto"/>
              <w:right w:val="single" w:sz="4" w:space="0" w:color="auto"/>
            </w:tcBorders>
            <w:shd w:val="clear" w:color="000000" w:fill="D9D9D9"/>
            <w:noWrap/>
            <w:vAlign w:val="bottom"/>
            <w:hideMark/>
          </w:tcPr>
          <w:p w14:paraId="546F7DA4" w14:textId="77777777" w:rsidR="005369B3" w:rsidRDefault="005369B3">
            <w:pPr>
              <w:jc w:val="center"/>
              <w:rPr>
                <w:rFonts w:ascii="Calibri" w:hAnsi="Calibri" w:cs="Calibri"/>
                <w:b/>
                <w:bCs/>
                <w:sz w:val="22"/>
                <w:szCs w:val="22"/>
              </w:rPr>
            </w:pPr>
            <w:r>
              <w:rPr>
                <w:rFonts w:ascii="Calibri" w:hAnsi="Calibri" w:cs="Calibri"/>
                <w:b/>
                <w:bCs/>
                <w:sz w:val="22"/>
                <w:szCs w:val="22"/>
              </w:rPr>
              <w:t>65</w:t>
            </w:r>
          </w:p>
        </w:tc>
        <w:tc>
          <w:tcPr>
            <w:tcW w:w="4101" w:type="dxa"/>
            <w:tcBorders>
              <w:top w:val="nil"/>
              <w:left w:val="nil"/>
              <w:bottom w:val="single" w:sz="4" w:space="0" w:color="auto"/>
              <w:right w:val="single" w:sz="4" w:space="0" w:color="auto"/>
            </w:tcBorders>
            <w:shd w:val="clear" w:color="000000" w:fill="D9D9D9"/>
            <w:vAlign w:val="bottom"/>
            <w:hideMark/>
          </w:tcPr>
          <w:p w14:paraId="5433F1D7" w14:textId="77777777" w:rsidR="005369B3" w:rsidRDefault="005369B3">
            <w:pPr>
              <w:rPr>
                <w:rFonts w:ascii="Calibri" w:hAnsi="Calibri" w:cs="Calibri"/>
                <w:b/>
                <w:bCs/>
                <w:sz w:val="22"/>
                <w:szCs w:val="22"/>
              </w:rPr>
            </w:pPr>
            <w:r>
              <w:rPr>
                <w:rFonts w:ascii="Calibri" w:hAnsi="Calibri" w:cs="Calibri"/>
                <w:b/>
                <w:bCs/>
                <w:sz w:val="22"/>
                <w:szCs w:val="22"/>
              </w:rPr>
              <w:t>PRIH. OD UPRAVNIH I ADMINISTRAT. PRISTOJBI, PRIST. PO POSEBNIM PROPISIMA I NAKNADA</w:t>
            </w:r>
          </w:p>
        </w:tc>
        <w:tc>
          <w:tcPr>
            <w:tcW w:w="1506" w:type="dxa"/>
            <w:tcBorders>
              <w:top w:val="nil"/>
              <w:left w:val="nil"/>
              <w:bottom w:val="single" w:sz="4" w:space="0" w:color="auto"/>
              <w:right w:val="single" w:sz="4" w:space="0" w:color="auto"/>
            </w:tcBorders>
            <w:shd w:val="clear" w:color="000000" w:fill="D9D9D9"/>
            <w:vAlign w:val="bottom"/>
            <w:hideMark/>
          </w:tcPr>
          <w:p w14:paraId="67D1A935" w14:textId="77777777" w:rsidR="005369B3" w:rsidRDefault="005369B3">
            <w:pPr>
              <w:jc w:val="right"/>
              <w:rPr>
                <w:rFonts w:ascii="Calibri" w:hAnsi="Calibri" w:cs="Calibri"/>
                <w:b/>
                <w:bCs/>
                <w:sz w:val="22"/>
                <w:szCs w:val="22"/>
              </w:rPr>
            </w:pPr>
            <w:r>
              <w:rPr>
                <w:rFonts w:ascii="Calibri" w:hAnsi="Calibri" w:cs="Calibri"/>
                <w:b/>
                <w:bCs/>
                <w:sz w:val="22"/>
                <w:szCs w:val="22"/>
              </w:rPr>
              <w:t>999.375,33</w:t>
            </w:r>
          </w:p>
        </w:tc>
        <w:tc>
          <w:tcPr>
            <w:tcW w:w="1506" w:type="dxa"/>
            <w:tcBorders>
              <w:top w:val="nil"/>
              <w:left w:val="nil"/>
              <w:bottom w:val="single" w:sz="4" w:space="0" w:color="auto"/>
              <w:right w:val="single" w:sz="4" w:space="0" w:color="auto"/>
            </w:tcBorders>
            <w:shd w:val="clear" w:color="000000" w:fill="D9D9D9"/>
            <w:vAlign w:val="bottom"/>
            <w:hideMark/>
          </w:tcPr>
          <w:p w14:paraId="715549DE" w14:textId="77777777" w:rsidR="005369B3" w:rsidRDefault="005369B3">
            <w:pPr>
              <w:jc w:val="right"/>
              <w:rPr>
                <w:rFonts w:ascii="Calibri" w:hAnsi="Calibri" w:cs="Calibri"/>
                <w:b/>
                <w:bCs/>
                <w:sz w:val="22"/>
                <w:szCs w:val="22"/>
              </w:rPr>
            </w:pPr>
            <w:r>
              <w:rPr>
                <w:rFonts w:ascii="Calibri" w:hAnsi="Calibri" w:cs="Calibri"/>
                <w:b/>
                <w:bCs/>
                <w:sz w:val="22"/>
                <w:szCs w:val="22"/>
              </w:rPr>
              <w:t>1.205.000,00</w:t>
            </w:r>
          </w:p>
        </w:tc>
        <w:tc>
          <w:tcPr>
            <w:tcW w:w="1506" w:type="dxa"/>
            <w:tcBorders>
              <w:top w:val="nil"/>
              <w:left w:val="nil"/>
              <w:bottom w:val="single" w:sz="4" w:space="0" w:color="auto"/>
              <w:right w:val="single" w:sz="4" w:space="0" w:color="auto"/>
            </w:tcBorders>
            <w:shd w:val="clear" w:color="000000" w:fill="D9D9D9"/>
            <w:vAlign w:val="bottom"/>
            <w:hideMark/>
          </w:tcPr>
          <w:p w14:paraId="6FFFADE6" w14:textId="77777777" w:rsidR="005369B3" w:rsidRDefault="005369B3">
            <w:pPr>
              <w:jc w:val="right"/>
              <w:rPr>
                <w:rFonts w:ascii="Calibri" w:hAnsi="Calibri" w:cs="Calibri"/>
                <w:b/>
                <w:bCs/>
                <w:sz w:val="22"/>
                <w:szCs w:val="22"/>
              </w:rPr>
            </w:pPr>
            <w:r>
              <w:rPr>
                <w:rFonts w:ascii="Calibri" w:hAnsi="Calibri" w:cs="Calibri"/>
                <w:b/>
                <w:bCs/>
                <w:sz w:val="22"/>
                <w:szCs w:val="22"/>
              </w:rPr>
              <w:t>1.251.319,56</w:t>
            </w:r>
          </w:p>
        </w:tc>
        <w:tc>
          <w:tcPr>
            <w:tcW w:w="877" w:type="dxa"/>
            <w:tcBorders>
              <w:top w:val="nil"/>
              <w:left w:val="nil"/>
              <w:bottom w:val="single" w:sz="4" w:space="0" w:color="auto"/>
              <w:right w:val="single" w:sz="4" w:space="0" w:color="auto"/>
            </w:tcBorders>
            <w:shd w:val="clear" w:color="000000" w:fill="D9D9D9"/>
            <w:vAlign w:val="bottom"/>
            <w:hideMark/>
          </w:tcPr>
          <w:p w14:paraId="3EBF5242" w14:textId="77777777" w:rsidR="005369B3" w:rsidRDefault="005369B3">
            <w:pPr>
              <w:jc w:val="center"/>
              <w:rPr>
                <w:rFonts w:ascii="Calibri" w:hAnsi="Calibri" w:cs="Calibri"/>
                <w:b/>
                <w:bCs/>
                <w:sz w:val="22"/>
                <w:szCs w:val="22"/>
              </w:rPr>
            </w:pPr>
            <w:r>
              <w:rPr>
                <w:rFonts w:ascii="Calibri" w:hAnsi="Calibri" w:cs="Calibri"/>
                <w:b/>
                <w:bCs/>
                <w:sz w:val="22"/>
                <w:szCs w:val="22"/>
              </w:rPr>
              <w:t>125%</w:t>
            </w:r>
          </w:p>
        </w:tc>
        <w:tc>
          <w:tcPr>
            <w:tcW w:w="607" w:type="dxa"/>
            <w:tcBorders>
              <w:top w:val="nil"/>
              <w:left w:val="nil"/>
              <w:bottom w:val="single" w:sz="4" w:space="0" w:color="auto"/>
              <w:right w:val="single" w:sz="4" w:space="0" w:color="auto"/>
            </w:tcBorders>
            <w:shd w:val="clear" w:color="000000" w:fill="D9D9D9"/>
            <w:vAlign w:val="bottom"/>
            <w:hideMark/>
          </w:tcPr>
          <w:p w14:paraId="4CC371A3" w14:textId="77777777" w:rsidR="005369B3" w:rsidRDefault="005369B3">
            <w:pPr>
              <w:jc w:val="center"/>
              <w:rPr>
                <w:rFonts w:ascii="Calibri" w:hAnsi="Calibri" w:cs="Calibri"/>
                <w:b/>
                <w:bCs/>
                <w:sz w:val="22"/>
                <w:szCs w:val="22"/>
              </w:rPr>
            </w:pPr>
            <w:r>
              <w:rPr>
                <w:rFonts w:ascii="Calibri" w:hAnsi="Calibri" w:cs="Calibri"/>
                <w:b/>
                <w:bCs/>
                <w:sz w:val="22"/>
                <w:szCs w:val="22"/>
              </w:rPr>
              <w:t>104%</w:t>
            </w:r>
          </w:p>
        </w:tc>
        <w:tc>
          <w:tcPr>
            <w:tcW w:w="222" w:type="dxa"/>
            <w:vAlign w:val="center"/>
            <w:hideMark/>
          </w:tcPr>
          <w:p w14:paraId="00EB54E2" w14:textId="77777777" w:rsidR="005369B3" w:rsidRDefault="005369B3">
            <w:pPr>
              <w:rPr>
                <w:sz w:val="20"/>
                <w:szCs w:val="20"/>
              </w:rPr>
            </w:pPr>
          </w:p>
        </w:tc>
      </w:tr>
      <w:tr w:rsidR="005369B3" w14:paraId="13D54659" w14:textId="77777777" w:rsidTr="005369B3">
        <w:trPr>
          <w:trHeight w:val="360"/>
          <w:jc w:val="center"/>
        </w:trPr>
        <w:tc>
          <w:tcPr>
            <w:tcW w:w="665" w:type="dxa"/>
            <w:tcBorders>
              <w:top w:val="nil"/>
              <w:left w:val="single" w:sz="4" w:space="0" w:color="auto"/>
              <w:bottom w:val="single" w:sz="4" w:space="0" w:color="auto"/>
              <w:right w:val="single" w:sz="4" w:space="0" w:color="auto"/>
            </w:tcBorders>
            <w:shd w:val="clear" w:color="000000" w:fill="FFFFFF"/>
            <w:noWrap/>
            <w:vAlign w:val="bottom"/>
            <w:hideMark/>
          </w:tcPr>
          <w:p w14:paraId="05206EAB" w14:textId="77777777" w:rsidR="005369B3" w:rsidRDefault="005369B3">
            <w:pPr>
              <w:jc w:val="center"/>
              <w:rPr>
                <w:rFonts w:ascii="Calibri" w:hAnsi="Calibri" w:cs="Calibri"/>
                <w:b/>
                <w:bCs/>
                <w:sz w:val="22"/>
                <w:szCs w:val="22"/>
              </w:rPr>
            </w:pPr>
            <w:r>
              <w:rPr>
                <w:rFonts w:ascii="Calibri" w:hAnsi="Calibri" w:cs="Calibri"/>
                <w:b/>
                <w:bCs/>
                <w:sz w:val="22"/>
                <w:szCs w:val="22"/>
              </w:rPr>
              <w:t>652</w:t>
            </w:r>
          </w:p>
        </w:tc>
        <w:tc>
          <w:tcPr>
            <w:tcW w:w="4101" w:type="dxa"/>
            <w:tcBorders>
              <w:top w:val="nil"/>
              <w:left w:val="nil"/>
              <w:bottom w:val="single" w:sz="4" w:space="0" w:color="auto"/>
              <w:right w:val="single" w:sz="4" w:space="0" w:color="auto"/>
            </w:tcBorders>
            <w:shd w:val="clear" w:color="000000" w:fill="FFFFFF"/>
            <w:vAlign w:val="bottom"/>
            <w:hideMark/>
          </w:tcPr>
          <w:p w14:paraId="48424D91" w14:textId="77777777" w:rsidR="005369B3" w:rsidRDefault="005369B3">
            <w:pPr>
              <w:rPr>
                <w:rFonts w:ascii="Calibri" w:hAnsi="Calibri" w:cs="Calibri"/>
                <w:b/>
                <w:bCs/>
                <w:sz w:val="22"/>
                <w:szCs w:val="22"/>
              </w:rPr>
            </w:pPr>
            <w:r>
              <w:rPr>
                <w:rFonts w:ascii="Calibri" w:hAnsi="Calibri" w:cs="Calibri"/>
                <w:b/>
                <w:bCs/>
                <w:sz w:val="22"/>
                <w:szCs w:val="22"/>
              </w:rPr>
              <w:t>Prihodi po posebnim propisima</w:t>
            </w:r>
          </w:p>
        </w:tc>
        <w:tc>
          <w:tcPr>
            <w:tcW w:w="1506" w:type="dxa"/>
            <w:tcBorders>
              <w:top w:val="nil"/>
              <w:left w:val="nil"/>
              <w:bottom w:val="single" w:sz="4" w:space="0" w:color="auto"/>
              <w:right w:val="single" w:sz="4" w:space="0" w:color="auto"/>
            </w:tcBorders>
            <w:shd w:val="clear" w:color="000000" w:fill="FFFFFF"/>
            <w:vAlign w:val="bottom"/>
            <w:hideMark/>
          </w:tcPr>
          <w:p w14:paraId="32A69D67" w14:textId="77777777" w:rsidR="005369B3" w:rsidRDefault="005369B3">
            <w:pPr>
              <w:jc w:val="right"/>
              <w:rPr>
                <w:rFonts w:ascii="Calibri" w:hAnsi="Calibri" w:cs="Calibri"/>
                <w:b/>
                <w:bCs/>
                <w:sz w:val="22"/>
                <w:szCs w:val="22"/>
              </w:rPr>
            </w:pPr>
            <w:r>
              <w:rPr>
                <w:rFonts w:ascii="Calibri" w:hAnsi="Calibri" w:cs="Calibri"/>
                <w:b/>
                <w:bCs/>
                <w:sz w:val="22"/>
                <w:szCs w:val="22"/>
              </w:rPr>
              <w:t>999.375,33</w:t>
            </w:r>
          </w:p>
        </w:tc>
        <w:tc>
          <w:tcPr>
            <w:tcW w:w="1506" w:type="dxa"/>
            <w:tcBorders>
              <w:top w:val="nil"/>
              <w:left w:val="nil"/>
              <w:bottom w:val="single" w:sz="4" w:space="0" w:color="auto"/>
              <w:right w:val="single" w:sz="4" w:space="0" w:color="auto"/>
            </w:tcBorders>
            <w:shd w:val="clear" w:color="000000" w:fill="FFFFFF"/>
            <w:vAlign w:val="bottom"/>
            <w:hideMark/>
          </w:tcPr>
          <w:p w14:paraId="3CF13735" w14:textId="77777777" w:rsidR="005369B3" w:rsidRDefault="005369B3">
            <w:pPr>
              <w:jc w:val="right"/>
              <w:rPr>
                <w:rFonts w:ascii="Calibri" w:hAnsi="Calibri" w:cs="Calibri"/>
                <w:b/>
                <w:bCs/>
                <w:sz w:val="22"/>
                <w:szCs w:val="22"/>
              </w:rPr>
            </w:pPr>
            <w:r>
              <w:rPr>
                <w:rFonts w:ascii="Calibri" w:hAnsi="Calibri" w:cs="Calibri"/>
                <w:b/>
                <w:bCs/>
                <w:sz w:val="22"/>
                <w:szCs w:val="22"/>
              </w:rPr>
              <w:t> </w:t>
            </w:r>
          </w:p>
        </w:tc>
        <w:tc>
          <w:tcPr>
            <w:tcW w:w="1506" w:type="dxa"/>
            <w:tcBorders>
              <w:top w:val="nil"/>
              <w:left w:val="nil"/>
              <w:bottom w:val="single" w:sz="4" w:space="0" w:color="auto"/>
              <w:right w:val="single" w:sz="4" w:space="0" w:color="auto"/>
            </w:tcBorders>
            <w:shd w:val="clear" w:color="000000" w:fill="FFFFFF"/>
            <w:vAlign w:val="bottom"/>
            <w:hideMark/>
          </w:tcPr>
          <w:p w14:paraId="0CDFCE57" w14:textId="77777777" w:rsidR="005369B3" w:rsidRDefault="005369B3">
            <w:pPr>
              <w:jc w:val="right"/>
              <w:rPr>
                <w:rFonts w:ascii="Calibri" w:hAnsi="Calibri" w:cs="Calibri"/>
                <w:b/>
                <w:bCs/>
                <w:sz w:val="22"/>
                <w:szCs w:val="22"/>
              </w:rPr>
            </w:pPr>
            <w:r>
              <w:rPr>
                <w:rFonts w:ascii="Calibri" w:hAnsi="Calibri" w:cs="Calibri"/>
                <w:b/>
                <w:bCs/>
                <w:sz w:val="22"/>
                <w:szCs w:val="22"/>
              </w:rPr>
              <w:t>1.251.319,56</w:t>
            </w:r>
          </w:p>
        </w:tc>
        <w:tc>
          <w:tcPr>
            <w:tcW w:w="877" w:type="dxa"/>
            <w:tcBorders>
              <w:top w:val="nil"/>
              <w:left w:val="nil"/>
              <w:bottom w:val="single" w:sz="4" w:space="0" w:color="auto"/>
              <w:right w:val="single" w:sz="4" w:space="0" w:color="auto"/>
            </w:tcBorders>
            <w:noWrap/>
            <w:vAlign w:val="bottom"/>
            <w:hideMark/>
          </w:tcPr>
          <w:p w14:paraId="00FB8A2B" w14:textId="77777777" w:rsidR="005369B3" w:rsidRDefault="005369B3">
            <w:pPr>
              <w:jc w:val="center"/>
              <w:rPr>
                <w:rFonts w:ascii="Calibri" w:hAnsi="Calibri" w:cs="Calibri"/>
                <w:b/>
                <w:bCs/>
                <w:color w:val="000000"/>
                <w:sz w:val="22"/>
                <w:szCs w:val="22"/>
              </w:rPr>
            </w:pPr>
            <w:r>
              <w:rPr>
                <w:rFonts w:ascii="Calibri" w:hAnsi="Calibri" w:cs="Calibri"/>
                <w:b/>
                <w:bCs/>
                <w:color w:val="000000"/>
                <w:sz w:val="22"/>
                <w:szCs w:val="22"/>
              </w:rPr>
              <w:t>125%</w:t>
            </w:r>
          </w:p>
        </w:tc>
        <w:tc>
          <w:tcPr>
            <w:tcW w:w="607" w:type="dxa"/>
            <w:tcBorders>
              <w:top w:val="nil"/>
              <w:left w:val="nil"/>
              <w:bottom w:val="single" w:sz="4" w:space="0" w:color="auto"/>
              <w:right w:val="single" w:sz="4" w:space="0" w:color="auto"/>
            </w:tcBorders>
            <w:shd w:val="clear" w:color="000000" w:fill="FFFFFF"/>
            <w:vAlign w:val="bottom"/>
            <w:hideMark/>
          </w:tcPr>
          <w:p w14:paraId="4CF04DB1" w14:textId="77777777" w:rsidR="005369B3" w:rsidRDefault="005369B3">
            <w:pPr>
              <w:jc w:val="center"/>
              <w:rPr>
                <w:rFonts w:ascii="Calibri" w:hAnsi="Calibri" w:cs="Calibri"/>
                <w:b/>
                <w:bCs/>
                <w:sz w:val="22"/>
                <w:szCs w:val="22"/>
              </w:rPr>
            </w:pPr>
            <w:r>
              <w:rPr>
                <w:rFonts w:ascii="Calibri" w:hAnsi="Calibri" w:cs="Calibri"/>
                <w:b/>
                <w:bCs/>
                <w:sz w:val="22"/>
                <w:szCs w:val="22"/>
              </w:rPr>
              <w:t> </w:t>
            </w:r>
          </w:p>
        </w:tc>
        <w:tc>
          <w:tcPr>
            <w:tcW w:w="222" w:type="dxa"/>
            <w:vAlign w:val="center"/>
            <w:hideMark/>
          </w:tcPr>
          <w:p w14:paraId="39E15060" w14:textId="77777777" w:rsidR="005369B3" w:rsidRDefault="005369B3">
            <w:pPr>
              <w:rPr>
                <w:sz w:val="20"/>
                <w:szCs w:val="20"/>
              </w:rPr>
            </w:pPr>
          </w:p>
        </w:tc>
      </w:tr>
      <w:tr w:rsidR="005369B3" w14:paraId="2EF38D9F" w14:textId="77777777" w:rsidTr="005369B3">
        <w:trPr>
          <w:trHeight w:val="550"/>
          <w:jc w:val="center"/>
        </w:trPr>
        <w:tc>
          <w:tcPr>
            <w:tcW w:w="665" w:type="dxa"/>
            <w:vMerge w:val="restart"/>
            <w:tcBorders>
              <w:top w:val="nil"/>
              <w:left w:val="single" w:sz="4" w:space="0" w:color="auto"/>
              <w:bottom w:val="single" w:sz="4" w:space="0" w:color="auto"/>
              <w:right w:val="single" w:sz="4" w:space="0" w:color="auto"/>
            </w:tcBorders>
            <w:vAlign w:val="center"/>
            <w:hideMark/>
          </w:tcPr>
          <w:p w14:paraId="77F88524" w14:textId="77777777" w:rsidR="005369B3" w:rsidRDefault="005369B3">
            <w:pPr>
              <w:jc w:val="center"/>
              <w:rPr>
                <w:rFonts w:ascii="Calibri" w:hAnsi="Calibri" w:cs="Calibri"/>
                <w:color w:val="000000"/>
                <w:sz w:val="22"/>
                <w:szCs w:val="22"/>
              </w:rPr>
            </w:pPr>
            <w:r>
              <w:rPr>
                <w:rFonts w:ascii="Calibri" w:hAnsi="Calibri" w:cs="Calibri"/>
                <w:color w:val="000000"/>
                <w:sz w:val="22"/>
                <w:szCs w:val="22"/>
              </w:rPr>
              <w:t>6526</w:t>
            </w:r>
          </w:p>
        </w:tc>
        <w:tc>
          <w:tcPr>
            <w:tcW w:w="4101" w:type="dxa"/>
            <w:tcBorders>
              <w:top w:val="nil"/>
              <w:left w:val="nil"/>
              <w:bottom w:val="single" w:sz="4" w:space="0" w:color="auto"/>
              <w:right w:val="single" w:sz="4" w:space="0" w:color="auto"/>
            </w:tcBorders>
            <w:vAlign w:val="bottom"/>
            <w:hideMark/>
          </w:tcPr>
          <w:p w14:paraId="1418BADB" w14:textId="77777777" w:rsidR="005369B3" w:rsidRDefault="005369B3">
            <w:pPr>
              <w:rPr>
                <w:rFonts w:ascii="Calibri" w:hAnsi="Calibri" w:cs="Calibri"/>
                <w:sz w:val="22"/>
                <w:szCs w:val="22"/>
              </w:rPr>
            </w:pPr>
            <w:r>
              <w:rPr>
                <w:rFonts w:ascii="Calibri" w:hAnsi="Calibri" w:cs="Calibri"/>
                <w:sz w:val="22"/>
                <w:szCs w:val="22"/>
              </w:rPr>
              <w:t>Ostali nespomenuti prihodi (</w:t>
            </w:r>
            <w:proofErr w:type="spellStart"/>
            <w:r>
              <w:rPr>
                <w:rFonts w:ascii="Calibri" w:hAnsi="Calibri" w:cs="Calibri"/>
                <w:sz w:val="22"/>
                <w:szCs w:val="22"/>
              </w:rPr>
              <w:t>sufinanc</w:t>
            </w:r>
            <w:proofErr w:type="spellEnd"/>
            <w:r>
              <w:rPr>
                <w:rFonts w:ascii="Calibri" w:hAnsi="Calibri" w:cs="Calibri"/>
                <w:sz w:val="22"/>
                <w:szCs w:val="22"/>
              </w:rPr>
              <w:t xml:space="preserve">. cijene usluge, particip.) </w:t>
            </w:r>
            <w:r>
              <w:rPr>
                <w:rFonts w:ascii="Calibri" w:hAnsi="Calibri" w:cs="Calibri"/>
                <w:sz w:val="20"/>
                <w:szCs w:val="20"/>
              </w:rPr>
              <w:t>-</w:t>
            </w:r>
            <w:r>
              <w:rPr>
                <w:rFonts w:ascii="Calibri" w:hAnsi="Calibri" w:cs="Calibri"/>
                <w:color w:val="0000FF"/>
                <w:sz w:val="20"/>
                <w:szCs w:val="20"/>
              </w:rPr>
              <w:t xml:space="preserve"> </w:t>
            </w:r>
            <w:r>
              <w:rPr>
                <w:rFonts w:ascii="Calibri" w:hAnsi="Calibri" w:cs="Calibri"/>
                <w:color w:val="0066CC"/>
                <w:sz w:val="20"/>
                <w:szCs w:val="20"/>
              </w:rPr>
              <w:t>prihodi po posebnim propis.</w:t>
            </w:r>
          </w:p>
        </w:tc>
        <w:tc>
          <w:tcPr>
            <w:tcW w:w="1506" w:type="dxa"/>
            <w:tcBorders>
              <w:top w:val="nil"/>
              <w:left w:val="nil"/>
              <w:bottom w:val="single" w:sz="4" w:space="0" w:color="auto"/>
              <w:right w:val="single" w:sz="4" w:space="0" w:color="auto"/>
            </w:tcBorders>
            <w:vAlign w:val="bottom"/>
            <w:hideMark/>
          </w:tcPr>
          <w:p w14:paraId="13C511F1" w14:textId="77777777" w:rsidR="005369B3" w:rsidRDefault="005369B3">
            <w:pPr>
              <w:jc w:val="right"/>
              <w:rPr>
                <w:rFonts w:ascii="Calibri" w:hAnsi="Calibri" w:cs="Calibri"/>
                <w:sz w:val="22"/>
                <w:szCs w:val="22"/>
              </w:rPr>
            </w:pPr>
            <w:r>
              <w:rPr>
                <w:rFonts w:ascii="Calibri" w:hAnsi="Calibri" w:cs="Calibri"/>
                <w:sz w:val="22"/>
                <w:szCs w:val="22"/>
              </w:rPr>
              <w:t>35.455,22</w:t>
            </w:r>
          </w:p>
        </w:tc>
        <w:tc>
          <w:tcPr>
            <w:tcW w:w="1506" w:type="dxa"/>
            <w:tcBorders>
              <w:top w:val="nil"/>
              <w:left w:val="nil"/>
              <w:bottom w:val="single" w:sz="4" w:space="0" w:color="auto"/>
              <w:right w:val="single" w:sz="4" w:space="0" w:color="auto"/>
            </w:tcBorders>
            <w:vAlign w:val="bottom"/>
            <w:hideMark/>
          </w:tcPr>
          <w:p w14:paraId="0A4E0EBD" w14:textId="77777777" w:rsidR="005369B3" w:rsidRDefault="005369B3">
            <w:pPr>
              <w:jc w:val="right"/>
              <w:rPr>
                <w:rFonts w:ascii="Calibri" w:hAnsi="Calibri" w:cs="Calibri"/>
                <w:sz w:val="22"/>
                <w:szCs w:val="22"/>
              </w:rPr>
            </w:pPr>
            <w:r>
              <w:rPr>
                <w:rFonts w:ascii="Calibri" w:hAnsi="Calibri" w:cs="Calibri"/>
                <w:sz w:val="22"/>
                <w:szCs w:val="22"/>
              </w:rPr>
              <w:t> </w:t>
            </w:r>
          </w:p>
        </w:tc>
        <w:tc>
          <w:tcPr>
            <w:tcW w:w="1506" w:type="dxa"/>
            <w:tcBorders>
              <w:top w:val="nil"/>
              <w:left w:val="nil"/>
              <w:bottom w:val="single" w:sz="4" w:space="0" w:color="auto"/>
              <w:right w:val="single" w:sz="4" w:space="0" w:color="auto"/>
            </w:tcBorders>
            <w:noWrap/>
            <w:vAlign w:val="bottom"/>
            <w:hideMark/>
          </w:tcPr>
          <w:p w14:paraId="6F98275F" w14:textId="77777777" w:rsidR="005369B3" w:rsidRDefault="005369B3">
            <w:pPr>
              <w:jc w:val="right"/>
              <w:rPr>
                <w:rFonts w:ascii="Calibri" w:hAnsi="Calibri" w:cs="Calibri"/>
                <w:color w:val="000000"/>
                <w:sz w:val="22"/>
                <w:szCs w:val="22"/>
              </w:rPr>
            </w:pPr>
            <w:r>
              <w:rPr>
                <w:rFonts w:ascii="Calibri" w:hAnsi="Calibri" w:cs="Calibri"/>
                <w:color w:val="000000"/>
                <w:sz w:val="22"/>
                <w:szCs w:val="22"/>
              </w:rPr>
              <w:t>27.379,30</w:t>
            </w:r>
          </w:p>
        </w:tc>
        <w:tc>
          <w:tcPr>
            <w:tcW w:w="877" w:type="dxa"/>
            <w:tcBorders>
              <w:top w:val="nil"/>
              <w:left w:val="nil"/>
              <w:bottom w:val="single" w:sz="4" w:space="0" w:color="auto"/>
              <w:right w:val="single" w:sz="4" w:space="0" w:color="auto"/>
            </w:tcBorders>
            <w:noWrap/>
            <w:vAlign w:val="bottom"/>
            <w:hideMark/>
          </w:tcPr>
          <w:p w14:paraId="3B2B68FD" w14:textId="77777777" w:rsidR="005369B3" w:rsidRDefault="005369B3">
            <w:pPr>
              <w:jc w:val="center"/>
              <w:rPr>
                <w:rFonts w:ascii="Calibri" w:hAnsi="Calibri" w:cs="Calibri"/>
                <w:color w:val="000000"/>
                <w:sz w:val="22"/>
                <w:szCs w:val="22"/>
              </w:rPr>
            </w:pPr>
            <w:r>
              <w:rPr>
                <w:rFonts w:ascii="Calibri" w:hAnsi="Calibri" w:cs="Calibri"/>
                <w:color w:val="000000"/>
                <w:sz w:val="22"/>
                <w:szCs w:val="22"/>
              </w:rPr>
              <w:t>77%</w:t>
            </w:r>
          </w:p>
        </w:tc>
        <w:tc>
          <w:tcPr>
            <w:tcW w:w="607" w:type="dxa"/>
            <w:tcBorders>
              <w:top w:val="nil"/>
              <w:left w:val="nil"/>
              <w:bottom w:val="single" w:sz="4" w:space="0" w:color="auto"/>
              <w:right w:val="single" w:sz="4" w:space="0" w:color="auto"/>
            </w:tcBorders>
            <w:noWrap/>
            <w:vAlign w:val="bottom"/>
            <w:hideMark/>
          </w:tcPr>
          <w:p w14:paraId="0B6786F5" w14:textId="77777777" w:rsidR="005369B3" w:rsidRDefault="005369B3">
            <w:pPr>
              <w:jc w:val="center"/>
              <w:rPr>
                <w:rFonts w:ascii="Calibri" w:hAnsi="Calibri" w:cs="Calibri"/>
                <w:color w:val="000000"/>
                <w:sz w:val="22"/>
                <w:szCs w:val="22"/>
              </w:rPr>
            </w:pPr>
            <w:r>
              <w:rPr>
                <w:rFonts w:ascii="Calibri" w:hAnsi="Calibri" w:cs="Calibri"/>
                <w:color w:val="000000"/>
                <w:sz w:val="22"/>
                <w:szCs w:val="22"/>
              </w:rPr>
              <w:t> </w:t>
            </w:r>
          </w:p>
        </w:tc>
        <w:tc>
          <w:tcPr>
            <w:tcW w:w="222" w:type="dxa"/>
            <w:vAlign w:val="center"/>
            <w:hideMark/>
          </w:tcPr>
          <w:p w14:paraId="1DB11EB3" w14:textId="77777777" w:rsidR="005369B3" w:rsidRDefault="005369B3">
            <w:pPr>
              <w:rPr>
                <w:sz w:val="20"/>
                <w:szCs w:val="20"/>
              </w:rPr>
            </w:pPr>
          </w:p>
        </w:tc>
      </w:tr>
      <w:tr w:rsidR="005369B3" w14:paraId="5030F1CB" w14:textId="77777777" w:rsidTr="005369B3">
        <w:trPr>
          <w:trHeight w:val="530"/>
          <w:jc w:val="center"/>
        </w:trPr>
        <w:tc>
          <w:tcPr>
            <w:tcW w:w="665" w:type="dxa"/>
            <w:vMerge/>
            <w:tcBorders>
              <w:top w:val="nil"/>
              <w:left w:val="single" w:sz="4" w:space="0" w:color="auto"/>
              <w:bottom w:val="single" w:sz="4" w:space="0" w:color="auto"/>
              <w:right w:val="single" w:sz="4" w:space="0" w:color="auto"/>
            </w:tcBorders>
            <w:vAlign w:val="center"/>
            <w:hideMark/>
          </w:tcPr>
          <w:p w14:paraId="508CE95F" w14:textId="77777777" w:rsidR="005369B3" w:rsidRDefault="005369B3">
            <w:pPr>
              <w:rPr>
                <w:rFonts w:ascii="Calibri" w:hAnsi="Calibri" w:cs="Calibri"/>
                <w:color w:val="000000"/>
                <w:sz w:val="22"/>
                <w:szCs w:val="22"/>
              </w:rPr>
            </w:pPr>
          </w:p>
        </w:tc>
        <w:tc>
          <w:tcPr>
            <w:tcW w:w="4101" w:type="dxa"/>
            <w:tcBorders>
              <w:top w:val="nil"/>
              <w:left w:val="nil"/>
              <w:bottom w:val="single" w:sz="4" w:space="0" w:color="auto"/>
              <w:right w:val="single" w:sz="4" w:space="0" w:color="auto"/>
            </w:tcBorders>
            <w:vAlign w:val="bottom"/>
            <w:hideMark/>
          </w:tcPr>
          <w:p w14:paraId="48E1CED5" w14:textId="096A7682" w:rsidR="005369B3" w:rsidRDefault="005369B3">
            <w:pPr>
              <w:rPr>
                <w:rFonts w:ascii="Calibri" w:hAnsi="Calibri" w:cs="Calibri"/>
                <w:sz w:val="22"/>
                <w:szCs w:val="22"/>
              </w:rPr>
            </w:pPr>
            <w:r>
              <w:rPr>
                <w:rFonts w:ascii="Calibri" w:hAnsi="Calibri" w:cs="Calibri"/>
                <w:sz w:val="22"/>
                <w:szCs w:val="22"/>
              </w:rPr>
              <w:t xml:space="preserve">Ostali nespomenuti prihodi (dopunsko </w:t>
            </w:r>
            <w:proofErr w:type="spellStart"/>
            <w:r>
              <w:rPr>
                <w:rFonts w:ascii="Calibri" w:hAnsi="Calibri" w:cs="Calibri"/>
                <w:sz w:val="22"/>
                <w:szCs w:val="22"/>
              </w:rPr>
              <w:t>zdravst</w:t>
            </w:r>
            <w:proofErr w:type="spellEnd"/>
            <w:r>
              <w:rPr>
                <w:rFonts w:ascii="Calibri" w:hAnsi="Calibri" w:cs="Calibri"/>
                <w:sz w:val="22"/>
                <w:szCs w:val="22"/>
              </w:rPr>
              <w:t xml:space="preserve">. </w:t>
            </w:r>
            <w:proofErr w:type="spellStart"/>
            <w:r w:rsidR="00184F72">
              <w:rPr>
                <w:rFonts w:ascii="Calibri" w:hAnsi="Calibri" w:cs="Calibri"/>
                <w:sz w:val="22"/>
                <w:szCs w:val="22"/>
              </w:rPr>
              <w:t>o</w:t>
            </w:r>
            <w:r>
              <w:rPr>
                <w:rFonts w:ascii="Calibri" w:hAnsi="Calibri" w:cs="Calibri"/>
                <w:sz w:val="22"/>
                <w:szCs w:val="22"/>
              </w:rPr>
              <w:t>sig</w:t>
            </w:r>
            <w:proofErr w:type="spellEnd"/>
            <w:r>
              <w:rPr>
                <w:rFonts w:ascii="Calibri" w:hAnsi="Calibri" w:cs="Calibri"/>
                <w:sz w:val="22"/>
                <w:szCs w:val="22"/>
              </w:rPr>
              <w:t>.) -</w:t>
            </w:r>
            <w:r>
              <w:rPr>
                <w:rFonts w:ascii="Calibri" w:hAnsi="Calibri" w:cs="Calibri"/>
                <w:color w:val="0000FF"/>
                <w:sz w:val="22"/>
                <w:szCs w:val="22"/>
              </w:rPr>
              <w:t xml:space="preserve"> </w:t>
            </w:r>
            <w:r>
              <w:rPr>
                <w:rFonts w:ascii="Calibri" w:hAnsi="Calibri" w:cs="Calibri"/>
                <w:color w:val="0066CC"/>
                <w:sz w:val="20"/>
                <w:szCs w:val="20"/>
              </w:rPr>
              <w:t>prihodi po posebnim propis.</w:t>
            </w:r>
          </w:p>
        </w:tc>
        <w:tc>
          <w:tcPr>
            <w:tcW w:w="1506" w:type="dxa"/>
            <w:tcBorders>
              <w:top w:val="nil"/>
              <w:left w:val="nil"/>
              <w:bottom w:val="single" w:sz="4" w:space="0" w:color="auto"/>
              <w:right w:val="single" w:sz="4" w:space="0" w:color="auto"/>
            </w:tcBorders>
            <w:vAlign w:val="bottom"/>
            <w:hideMark/>
          </w:tcPr>
          <w:p w14:paraId="19C89BBF" w14:textId="77777777" w:rsidR="005369B3" w:rsidRDefault="005369B3">
            <w:pPr>
              <w:jc w:val="right"/>
              <w:rPr>
                <w:rFonts w:ascii="Calibri" w:hAnsi="Calibri" w:cs="Calibri"/>
                <w:sz w:val="22"/>
                <w:szCs w:val="22"/>
              </w:rPr>
            </w:pPr>
            <w:r>
              <w:rPr>
                <w:rFonts w:ascii="Calibri" w:hAnsi="Calibri" w:cs="Calibri"/>
                <w:sz w:val="22"/>
                <w:szCs w:val="22"/>
              </w:rPr>
              <w:t>916.753,68</w:t>
            </w:r>
          </w:p>
        </w:tc>
        <w:tc>
          <w:tcPr>
            <w:tcW w:w="1506" w:type="dxa"/>
            <w:tcBorders>
              <w:top w:val="nil"/>
              <w:left w:val="nil"/>
              <w:bottom w:val="single" w:sz="4" w:space="0" w:color="auto"/>
              <w:right w:val="single" w:sz="4" w:space="0" w:color="auto"/>
            </w:tcBorders>
            <w:vAlign w:val="bottom"/>
            <w:hideMark/>
          </w:tcPr>
          <w:p w14:paraId="400BA41C" w14:textId="77777777" w:rsidR="005369B3" w:rsidRDefault="005369B3">
            <w:pPr>
              <w:jc w:val="right"/>
              <w:rPr>
                <w:rFonts w:ascii="Calibri" w:hAnsi="Calibri" w:cs="Calibri"/>
                <w:sz w:val="22"/>
                <w:szCs w:val="22"/>
              </w:rPr>
            </w:pPr>
            <w:r>
              <w:rPr>
                <w:rFonts w:ascii="Calibri" w:hAnsi="Calibri" w:cs="Calibri"/>
                <w:sz w:val="22"/>
                <w:szCs w:val="22"/>
              </w:rPr>
              <w:t> </w:t>
            </w:r>
          </w:p>
        </w:tc>
        <w:tc>
          <w:tcPr>
            <w:tcW w:w="1506" w:type="dxa"/>
            <w:tcBorders>
              <w:top w:val="nil"/>
              <w:left w:val="nil"/>
              <w:bottom w:val="single" w:sz="4" w:space="0" w:color="auto"/>
              <w:right w:val="single" w:sz="4" w:space="0" w:color="auto"/>
            </w:tcBorders>
            <w:noWrap/>
            <w:vAlign w:val="bottom"/>
            <w:hideMark/>
          </w:tcPr>
          <w:p w14:paraId="19A3A914" w14:textId="77777777" w:rsidR="005369B3" w:rsidRDefault="005369B3">
            <w:pPr>
              <w:jc w:val="right"/>
              <w:rPr>
                <w:rFonts w:ascii="Calibri" w:hAnsi="Calibri" w:cs="Calibri"/>
                <w:color w:val="000000"/>
                <w:sz w:val="22"/>
                <w:szCs w:val="22"/>
              </w:rPr>
            </w:pPr>
            <w:r>
              <w:rPr>
                <w:rFonts w:ascii="Calibri" w:hAnsi="Calibri" w:cs="Calibri"/>
                <w:color w:val="000000"/>
                <w:sz w:val="22"/>
                <w:szCs w:val="22"/>
              </w:rPr>
              <w:t>1.140.737,55</w:t>
            </w:r>
          </w:p>
        </w:tc>
        <w:tc>
          <w:tcPr>
            <w:tcW w:w="877" w:type="dxa"/>
            <w:tcBorders>
              <w:top w:val="nil"/>
              <w:left w:val="nil"/>
              <w:bottom w:val="single" w:sz="4" w:space="0" w:color="auto"/>
              <w:right w:val="single" w:sz="4" w:space="0" w:color="auto"/>
            </w:tcBorders>
            <w:noWrap/>
            <w:vAlign w:val="bottom"/>
            <w:hideMark/>
          </w:tcPr>
          <w:p w14:paraId="369A351D" w14:textId="77777777" w:rsidR="005369B3" w:rsidRDefault="005369B3">
            <w:pPr>
              <w:jc w:val="center"/>
              <w:rPr>
                <w:rFonts w:ascii="Calibri" w:hAnsi="Calibri" w:cs="Calibri"/>
                <w:color w:val="000000"/>
                <w:sz w:val="22"/>
                <w:szCs w:val="22"/>
              </w:rPr>
            </w:pPr>
            <w:r>
              <w:rPr>
                <w:rFonts w:ascii="Calibri" w:hAnsi="Calibri" w:cs="Calibri"/>
                <w:color w:val="000000"/>
                <w:sz w:val="22"/>
                <w:szCs w:val="22"/>
              </w:rPr>
              <w:t>124%</w:t>
            </w:r>
          </w:p>
        </w:tc>
        <w:tc>
          <w:tcPr>
            <w:tcW w:w="607" w:type="dxa"/>
            <w:tcBorders>
              <w:top w:val="nil"/>
              <w:left w:val="nil"/>
              <w:bottom w:val="single" w:sz="4" w:space="0" w:color="auto"/>
              <w:right w:val="single" w:sz="4" w:space="0" w:color="auto"/>
            </w:tcBorders>
            <w:noWrap/>
            <w:vAlign w:val="bottom"/>
            <w:hideMark/>
          </w:tcPr>
          <w:p w14:paraId="54F47300" w14:textId="77777777" w:rsidR="005369B3" w:rsidRDefault="005369B3">
            <w:pPr>
              <w:jc w:val="center"/>
              <w:rPr>
                <w:rFonts w:ascii="Calibri" w:hAnsi="Calibri" w:cs="Calibri"/>
                <w:color w:val="000000"/>
                <w:sz w:val="22"/>
                <w:szCs w:val="22"/>
              </w:rPr>
            </w:pPr>
            <w:r>
              <w:rPr>
                <w:rFonts w:ascii="Calibri" w:hAnsi="Calibri" w:cs="Calibri"/>
                <w:color w:val="000000"/>
                <w:sz w:val="22"/>
                <w:szCs w:val="22"/>
              </w:rPr>
              <w:t> </w:t>
            </w:r>
          </w:p>
        </w:tc>
        <w:tc>
          <w:tcPr>
            <w:tcW w:w="222" w:type="dxa"/>
            <w:vAlign w:val="center"/>
            <w:hideMark/>
          </w:tcPr>
          <w:p w14:paraId="40EC9C32" w14:textId="77777777" w:rsidR="005369B3" w:rsidRDefault="005369B3">
            <w:pPr>
              <w:rPr>
                <w:sz w:val="20"/>
                <w:szCs w:val="20"/>
              </w:rPr>
            </w:pPr>
          </w:p>
        </w:tc>
      </w:tr>
      <w:tr w:rsidR="005369B3" w14:paraId="11B3C667" w14:textId="77777777" w:rsidTr="005369B3">
        <w:trPr>
          <w:trHeight w:val="790"/>
          <w:jc w:val="center"/>
        </w:trPr>
        <w:tc>
          <w:tcPr>
            <w:tcW w:w="665" w:type="dxa"/>
            <w:vMerge/>
            <w:tcBorders>
              <w:top w:val="nil"/>
              <w:left w:val="single" w:sz="4" w:space="0" w:color="auto"/>
              <w:bottom w:val="single" w:sz="4" w:space="0" w:color="auto"/>
              <w:right w:val="single" w:sz="4" w:space="0" w:color="auto"/>
            </w:tcBorders>
            <w:vAlign w:val="center"/>
            <w:hideMark/>
          </w:tcPr>
          <w:p w14:paraId="00B8EB77" w14:textId="77777777" w:rsidR="005369B3" w:rsidRDefault="005369B3">
            <w:pPr>
              <w:rPr>
                <w:rFonts w:ascii="Calibri" w:hAnsi="Calibri" w:cs="Calibri"/>
                <w:color w:val="000000"/>
                <w:sz w:val="22"/>
                <w:szCs w:val="22"/>
              </w:rPr>
            </w:pPr>
          </w:p>
        </w:tc>
        <w:tc>
          <w:tcPr>
            <w:tcW w:w="4101" w:type="dxa"/>
            <w:tcBorders>
              <w:top w:val="nil"/>
              <w:left w:val="nil"/>
              <w:bottom w:val="single" w:sz="4" w:space="0" w:color="auto"/>
              <w:right w:val="single" w:sz="4" w:space="0" w:color="auto"/>
            </w:tcBorders>
            <w:vAlign w:val="center"/>
            <w:hideMark/>
          </w:tcPr>
          <w:p w14:paraId="512DEB3A" w14:textId="77777777" w:rsidR="005369B3" w:rsidRDefault="005369B3">
            <w:pPr>
              <w:rPr>
                <w:rFonts w:ascii="Calibri" w:hAnsi="Calibri" w:cs="Calibri"/>
                <w:sz w:val="22"/>
                <w:szCs w:val="22"/>
              </w:rPr>
            </w:pPr>
            <w:r>
              <w:rPr>
                <w:rFonts w:ascii="Calibri" w:hAnsi="Calibri" w:cs="Calibri"/>
                <w:sz w:val="22"/>
                <w:szCs w:val="22"/>
              </w:rPr>
              <w:t xml:space="preserve">Ostali nespomenuti prihodi </w:t>
            </w:r>
            <w:r>
              <w:rPr>
                <w:rFonts w:ascii="Calibri" w:hAnsi="Calibri" w:cs="Calibri"/>
                <w:sz w:val="20"/>
                <w:szCs w:val="20"/>
              </w:rPr>
              <w:t>(</w:t>
            </w:r>
            <w:proofErr w:type="spellStart"/>
            <w:r>
              <w:rPr>
                <w:rFonts w:ascii="Calibri" w:hAnsi="Calibri" w:cs="Calibri"/>
                <w:sz w:val="20"/>
                <w:szCs w:val="20"/>
              </w:rPr>
              <w:t>prih</w:t>
            </w:r>
            <w:proofErr w:type="spellEnd"/>
            <w:r>
              <w:rPr>
                <w:rFonts w:ascii="Calibri" w:hAnsi="Calibri" w:cs="Calibri"/>
                <w:sz w:val="20"/>
                <w:szCs w:val="20"/>
              </w:rPr>
              <w:t xml:space="preserve">. na temelju refundacija rashoda iz prethodnih godina, refundacija šteta) - </w:t>
            </w:r>
            <w:r>
              <w:rPr>
                <w:rFonts w:ascii="Calibri" w:hAnsi="Calibri" w:cs="Calibri"/>
                <w:color w:val="0066CC"/>
                <w:sz w:val="20"/>
                <w:szCs w:val="20"/>
              </w:rPr>
              <w:t xml:space="preserve">prihodi po </w:t>
            </w:r>
            <w:proofErr w:type="spellStart"/>
            <w:r>
              <w:rPr>
                <w:rFonts w:ascii="Calibri" w:hAnsi="Calibri" w:cs="Calibri"/>
                <w:color w:val="0066CC"/>
                <w:sz w:val="20"/>
                <w:szCs w:val="20"/>
              </w:rPr>
              <w:t>poseb</w:t>
            </w:r>
            <w:proofErr w:type="spellEnd"/>
            <w:r>
              <w:rPr>
                <w:rFonts w:ascii="Calibri" w:hAnsi="Calibri" w:cs="Calibri"/>
                <w:color w:val="0066CC"/>
                <w:sz w:val="20"/>
                <w:szCs w:val="20"/>
              </w:rPr>
              <w:t>. propisima</w:t>
            </w:r>
          </w:p>
        </w:tc>
        <w:tc>
          <w:tcPr>
            <w:tcW w:w="1506" w:type="dxa"/>
            <w:tcBorders>
              <w:top w:val="nil"/>
              <w:left w:val="nil"/>
              <w:bottom w:val="single" w:sz="4" w:space="0" w:color="auto"/>
              <w:right w:val="single" w:sz="4" w:space="0" w:color="auto"/>
            </w:tcBorders>
            <w:vAlign w:val="bottom"/>
            <w:hideMark/>
          </w:tcPr>
          <w:p w14:paraId="69A5F659" w14:textId="77777777" w:rsidR="005369B3" w:rsidRDefault="005369B3">
            <w:pPr>
              <w:jc w:val="right"/>
              <w:rPr>
                <w:rFonts w:ascii="Calibri" w:hAnsi="Calibri" w:cs="Calibri"/>
                <w:sz w:val="22"/>
                <w:szCs w:val="22"/>
              </w:rPr>
            </w:pPr>
            <w:r>
              <w:rPr>
                <w:rFonts w:ascii="Calibri" w:hAnsi="Calibri" w:cs="Calibri"/>
                <w:sz w:val="22"/>
                <w:szCs w:val="22"/>
              </w:rPr>
              <w:t>47.166,43</w:t>
            </w:r>
          </w:p>
        </w:tc>
        <w:tc>
          <w:tcPr>
            <w:tcW w:w="1506" w:type="dxa"/>
            <w:tcBorders>
              <w:top w:val="nil"/>
              <w:left w:val="nil"/>
              <w:bottom w:val="single" w:sz="4" w:space="0" w:color="auto"/>
              <w:right w:val="single" w:sz="4" w:space="0" w:color="auto"/>
            </w:tcBorders>
            <w:vAlign w:val="bottom"/>
            <w:hideMark/>
          </w:tcPr>
          <w:p w14:paraId="1EE89751" w14:textId="77777777" w:rsidR="005369B3" w:rsidRDefault="005369B3">
            <w:pPr>
              <w:jc w:val="right"/>
              <w:rPr>
                <w:rFonts w:ascii="Calibri" w:hAnsi="Calibri" w:cs="Calibri"/>
                <w:sz w:val="22"/>
                <w:szCs w:val="22"/>
              </w:rPr>
            </w:pPr>
            <w:r>
              <w:rPr>
                <w:rFonts w:ascii="Calibri" w:hAnsi="Calibri" w:cs="Calibri"/>
                <w:sz w:val="22"/>
                <w:szCs w:val="22"/>
              </w:rPr>
              <w:t> </w:t>
            </w:r>
          </w:p>
        </w:tc>
        <w:tc>
          <w:tcPr>
            <w:tcW w:w="1506" w:type="dxa"/>
            <w:tcBorders>
              <w:top w:val="nil"/>
              <w:left w:val="nil"/>
              <w:bottom w:val="single" w:sz="4" w:space="0" w:color="auto"/>
              <w:right w:val="single" w:sz="4" w:space="0" w:color="auto"/>
            </w:tcBorders>
            <w:noWrap/>
            <w:vAlign w:val="bottom"/>
            <w:hideMark/>
          </w:tcPr>
          <w:p w14:paraId="5C01AFE1" w14:textId="77777777" w:rsidR="005369B3" w:rsidRDefault="005369B3">
            <w:pPr>
              <w:jc w:val="right"/>
              <w:rPr>
                <w:rFonts w:ascii="Calibri" w:hAnsi="Calibri" w:cs="Calibri"/>
                <w:color w:val="000000"/>
                <w:sz w:val="22"/>
                <w:szCs w:val="22"/>
              </w:rPr>
            </w:pPr>
            <w:r>
              <w:rPr>
                <w:rFonts w:ascii="Calibri" w:hAnsi="Calibri" w:cs="Calibri"/>
                <w:color w:val="000000"/>
                <w:sz w:val="22"/>
                <w:szCs w:val="22"/>
              </w:rPr>
              <w:t>83.202,71</w:t>
            </w:r>
          </w:p>
        </w:tc>
        <w:tc>
          <w:tcPr>
            <w:tcW w:w="877" w:type="dxa"/>
            <w:tcBorders>
              <w:top w:val="nil"/>
              <w:left w:val="nil"/>
              <w:bottom w:val="single" w:sz="4" w:space="0" w:color="auto"/>
              <w:right w:val="single" w:sz="4" w:space="0" w:color="auto"/>
            </w:tcBorders>
            <w:noWrap/>
            <w:vAlign w:val="bottom"/>
            <w:hideMark/>
          </w:tcPr>
          <w:p w14:paraId="47C52015" w14:textId="77777777" w:rsidR="005369B3" w:rsidRDefault="005369B3">
            <w:pPr>
              <w:jc w:val="center"/>
              <w:rPr>
                <w:rFonts w:ascii="Calibri" w:hAnsi="Calibri" w:cs="Calibri"/>
                <w:color w:val="000000"/>
                <w:sz w:val="22"/>
                <w:szCs w:val="22"/>
              </w:rPr>
            </w:pPr>
            <w:r>
              <w:rPr>
                <w:rFonts w:ascii="Calibri" w:hAnsi="Calibri" w:cs="Calibri"/>
                <w:color w:val="000000"/>
                <w:sz w:val="22"/>
                <w:szCs w:val="22"/>
              </w:rPr>
              <w:t>176%</w:t>
            </w:r>
          </w:p>
        </w:tc>
        <w:tc>
          <w:tcPr>
            <w:tcW w:w="607" w:type="dxa"/>
            <w:tcBorders>
              <w:top w:val="nil"/>
              <w:left w:val="nil"/>
              <w:bottom w:val="single" w:sz="4" w:space="0" w:color="auto"/>
              <w:right w:val="single" w:sz="4" w:space="0" w:color="auto"/>
            </w:tcBorders>
            <w:noWrap/>
            <w:vAlign w:val="bottom"/>
            <w:hideMark/>
          </w:tcPr>
          <w:p w14:paraId="706C9B32" w14:textId="77777777" w:rsidR="005369B3" w:rsidRDefault="005369B3">
            <w:pPr>
              <w:jc w:val="center"/>
              <w:rPr>
                <w:rFonts w:ascii="Calibri" w:hAnsi="Calibri" w:cs="Calibri"/>
                <w:color w:val="000000"/>
                <w:sz w:val="22"/>
                <w:szCs w:val="22"/>
              </w:rPr>
            </w:pPr>
            <w:r>
              <w:rPr>
                <w:rFonts w:ascii="Calibri" w:hAnsi="Calibri" w:cs="Calibri"/>
                <w:color w:val="000000"/>
                <w:sz w:val="22"/>
                <w:szCs w:val="22"/>
              </w:rPr>
              <w:t> </w:t>
            </w:r>
          </w:p>
        </w:tc>
        <w:tc>
          <w:tcPr>
            <w:tcW w:w="222" w:type="dxa"/>
            <w:vAlign w:val="center"/>
            <w:hideMark/>
          </w:tcPr>
          <w:p w14:paraId="118AB7A4" w14:textId="77777777" w:rsidR="005369B3" w:rsidRDefault="005369B3">
            <w:pPr>
              <w:rPr>
                <w:sz w:val="20"/>
                <w:szCs w:val="20"/>
              </w:rPr>
            </w:pPr>
          </w:p>
        </w:tc>
      </w:tr>
      <w:tr w:rsidR="005369B3" w14:paraId="793F8146" w14:textId="77777777" w:rsidTr="005369B3">
        <w:trPr>
          <w:trHeight w:val="570"/>
          <w:jc w:val="center"/>
        </w:trPr>
        <w:tc>
          <w:tcPr>
            <w:tcW w:w="665" w:type="dxa"/>
            <w:tcBorders>
              <w:top w:val="nil"/>
              <w:left w:val="single" w:sz="4" w:space="0" w:color="auto"/>
              <w:bottom w:val="single" w:sz="4" w:space="0" w:color="auto"/>
              <w:right w:val="single" w:sz="4" w:space="0" w:color="auto"/>
            </w:tcBorders>
            <w:shd w:val="clear" w:color="000000" w:fill="D9D9D9"/>
            <w:noWrap/>
            <w:vAlign w:val="bottom"/>
            <w:hideMark/>
          </w:tcPr>
          <w:p w14:paraId="38CF1D42" w14:textId="77777777" w:rsidR="005369B3" w:rsidRDefault="005369B3">
            <w:pPr>
              <w:jc w:val="center"/>
              <w:rPr>
                <w:rFonts w:ascii="Calibri" w:hAnsi="Calibri" w:cs="Calibri"/>
                <w:b/>
                <w:bCs/>
                <w:sz w:val="22"/>
                <w:szCs w:val="22"/>
              </w:rPr>
            </w:pPr>
            <w:r>
              <w:rPr>
                <w:rFonts w:ascii="Calibri" w:hAnsi="Calibri" w:cs="Calibri"/>
                <w:b/>
                <w:bCs/>
                <w:sz w:val="22"/>
                <w:szCs w:val="22"/>
              </w:rPr>
              <w:t>66</w:t>
            </w:r>
          </w:p>
        </w:tc>
        <w:tc>
          <w:tcPr>
            <w:tcW w:w="4101" w:type="dxa"/>
            <w:tcBorders>
              <w:top w:val="nil"/>
              <w:left w:val="nil"/>
              <w:bottom w:val="single" w:sz="4" w:space="0" w:color="auto"/>
              <w:right w:val="single" w:sz="4" w:space="0" w:color="auto"/>
            </w:tcBorders>
            <w:shd w:val="clear" w:color="000000" w:fill="D9D9D9"/>
            <w:vAlign w:val="center"/>
            <w:hideMark/>
          </w:tcPr>
          <w:p w14:paraId="7CA23D85" w14:textId="77777777" w:rsidR="005369B3" w:rsidRDefault="005369B3">
            <w:pPr>
              <w:rPr>
                <w:rFonts w:ascii="Calibri" w:hAnsi="Calibri" w:cs="Calibri"/>
                <w:b/>
                <w:bCs/>
                <w:sz w:val="22"/>
                <w:szCs w:val="22"/>
              </w:rPr>
            </w:pPr>
            <w:r>
              <w:rPr>
                <w:rFonts w:ascii="Calibri" w:hAnsi="Calibri" w:cs="Calibri"/>
                <w:b/>
                <w:bCs/>
                <w:sz w:val="22"/>
                <w:szCs w:val="22"/>
              </w:rPr>
              <w:t>PRIHODI OD PRODAJE PROIZVODA I ROBE TE PRUŽENIH USLUGA I PRIHODI OD DONACIJA</w:t>
            </w:r>
          </w:p>
        </w:tc>
        <w:tc>
          <w:tcPr>
            <w:tcW w:w="1506" w:type="dxa"/>
            <w:tcBorders>
              <w:top w:val="nil"/>
              <w:left w:val="nil"/>
              <w:bottom w:val="single" w:sz="4" w:space="0" w:color="auto"/>
              <w:right w:val="single" w:sz="4" w:space="0" w:color="auto"/>
            </w:tcBorders>
            <w:shd w:val="clear" w:color="000000" w:fill="D9D9D9"/>
            <w:vAlign w:val="bottom"/>
            <w:hideMark/>
          </w:tcPr>
          <w:p w14:paraId="771F21A2" w14:textId="77777777" w:rsidR="005369B3" w:rsidRDefault="005369B3">
            <w:pPr>
              <w:jc w:val="right"/>
              <w:rPr>
                <w:rFonts w:ascii="Calibri" w:hAnsi="Calibri" w:cs="Calibri"/>
                <w:b/>
                <w:bCs/>
                <w:sz w:val="22"/>
                <w:szCs w:val="22"/>
              </w:rPr>
            </w:pPr>
            <w:r>
              <w:rPr>
                <w:rFonts w:ascii="Calibri" w:hAnsi="Calibri" w:cs="Calibri"/>
                <w:b/>
                <w:bCs/>
                <w:sz w:val="22"/>
                <w:szCs w:val="22"/>
              </w:rPr>
              <w:t>4.826.324,97</w:t>
            </w:r>
          </w:p>
        </w:tc>
        <w:tc>
          <w:tcPr>
            <w:tcW w:w="1506" w:type="dxa"/>
            <w:tcBorders>
              <w:top w:val="nil"/>
              <w:left w:val="nil"/>
              <w:bottom w:val="single" w:sz="4" w:space="0" w:color="auto"/>
              <w:right w:val="single" w:sz="4" w:space="0" w:color="auto"/>
            </w:tcBorders>
            <w:shd w:val="clear" w:color="000000" w:fill="D9D9D9"/>
            <w:vAlign w:val="bottom"/>
            <w:hideMark/>
          </w:tcPr>
          <w:p w14:paraId="005A29AF" w14:textId="77777777" w:rsidR="005369B3" w:rsidRDefault="005369B3">
            <w:pPr>
              <w:jc w:val="right"/>
              <w:rPr>
                <w:rFonts w:ascii="Calibri" w:hAnsi="Calibri" w:cs="Calibri"/>
                <w:b/>
                <w:bCs/>
                <w:sz w:val="22"/>
                <w:szCs w:val="22"/>
              </w:rPr>
            </w:pPr>
            <w:r>
              <w:rPr>
                <w:rFonts w:ascii="Calibri" w:hAnsi="Calibri" w:cs="Calibri"/>
                <w:b/>
                <w:bCs/>
                <w:sz w:val="22"/>
                <w:szCs w:val="22"/>
              </w:rPr>
              <w:t>5.156.900,00</w:t>
            </w:r>
          </w:p>
        </w:tc>
        <w:tc>
          <w:tcPr>
            <w:tcW w:w="1506" w:type="dxa"/>
            <w:tcBorders>
              <w:top w:val="nil"/>
              <w:left w:val="nil"/>
              <w:bottom w:val="single" w:sz="4" w:space="0" w:color="auto"/>
              <w:right w:val="single" w:sz="4" w:space="0" w:color="auto"/>
            </w:tcBorders>
            <w:shd w:val="clear" w:color="000000" w:fill="D9D9D9"/>
            <w:vAlign w:val="bottom"/>
            <w:hideMark/>
          </w:tcPr>
          <w:p w14:paraId="1DFDCC5C" w14:textId="77777777" w:rsidR="005369B3" w:rsidRDefault="005369B3">
            <w:pPr>
              <w:jc w:val="right"/>
              <w:rPr>
                <w:rFonts w:ascii="Calibri" w:hAnsi="Calibri" w:cs="Calibri"/>
                <w:b/>
                <w:bCs/>
                <w:sz w:val="22"/>
                <w:szCs w:val="22"/>
              </w:rPr>
            </w:pPr>
            <w:r>
              <w:rPr>
                <w:rFonts w:ascii="Calibri" w:hAnsi="Calibri" w:cs="Calibri"/>
                <w:b/>
                <w:bCs/>
                <w:sz w:val="22"/>
                <w:szCs w:val="22"/>
              </w:rPr>
              <w:t>5.173.665,42</w:t>
            </w:r>
          </w:p>
        </w:tc>
        <w:tc>
          <w:tcPr>
            <w:tcW w:w="877" w:type="dxa"/>
            <w:tcBorders>
              <w:top w:val="nil"/>
              <w:left w:val="nil"/>
              <w:bottom w:val="single" w:sz="4" w:space="0" w:color="auto"/>
              <w:right w:val="single" w:sz="4" w:space="0" w:color="auto"/>
            </w:tcBorders>
            <w:shd w:val="clear" w:color="000000" w:fill="D9D9D9"/>
            <w:vAlign w:val="bottom"/>
            <w:hideMark/>
          </w:tcPr>
          <w:p w14:paraId="2C95983A" w14:textId="77777777" w:rsidR="005369B3" w:rsidRDefault="005369B3">
            <w:pPr>
              <w:jc w:val="center"/>
              <w:rPr>
                <w:rFonts w:ascii="Calibri" w:hAnsi="Calibri" w:cs="Calibri"/>
                <w:b/>
                <w:bCs/>
                <w:sz w:val="22"/>
                <w:szCs w:val="22"/>
              </w:rPr>
            </w:pPr>
            <w:r>
              <w:rPr>
                <w:rFonts w:ascii="Calibri" w:hAnsi="Calibri" w:cs="Calibri"/>
                <w:b/>
                <w:bCs/>
                <w:sz w:val="22"/>
                <w:szCs w:val="22"/>
              </w:rPr>
              <w:t>107%</w:t>
            </w:r>
          </w:p>
        </w:tc>
        <w:tc>
          <w:tcPr>
            <w:tcW w:w="607" w:type="dxa"/>
            <w:tcBorders>
              <w:top w:val="nil"/>
              <w:left w:val="nil"/>
              <w:bottom w:val="single" w:sz="4" w:space="0" w:color="auto"/>
              <w:right w:val="single" w:sz="4" w:space="0" w:color="auto"/>
            </w:tcBorders>
            <w:shd w:val="clear" w:color="000000" w:fill="D9D9D9"/>
            <w:vAlign w:val="bottom"/>
            <w:hideMark/>
          </w:tcPr>
          <w:p w14:paraId="01FDB0C8" w14:textId="77777777" w:rsidR="005369B3" w:rsidRDefault="005369B3">
            <w:pPr>
              <w:jc w:val="center"/>
              <w:rPr>
                <w:rFonts w:ascii="Calibri" w:hAnsi="Calibri" w:cs="Calibri"/>
                <w:b/>
                <w:bCs/>
                <w:sz w:val="22"/>
                <w:szCs w:val="22"/>
              </w:rPr>
            </w:pPr>
            <w:r>
              <w:rPr>
                <w:rFonts w:ascii="Calibri" w:hAnsi="Calibri" w:cs="Calibri"/>
                <w:b/>
                <w:bCs/>
                <w:sz w:val="22"/>
                <w:szCs w:val="22"/>
              </w:rPr>
              <w:t>100%</w:t>
            </w:r>
          </w:p>
        </w:tc>
        <w:tc>
          <w:tcPr>
            <w:tcW w:w="222" w:type="dxa"/>
            <w:vAlign w:val="center"/>
            <w:hideMark/>
          </w:tcPr>
          <w:p w14:paraId="7C73959C" w14:textId="77777777" w:rsidR="005369B3" w:rsidRDefault="005369B3">
            <w:pPr>
              <w:rPr>
                <w:sz w:val="20"/>
                <w:szCs w:val="20"/>
              </w:rPr>
            </w:pPr>
          </w:p>
        </w:tc>
      </w:tr>
      <w:tr w:rsidR="005369B3" w14:paraId="306854DB" w14:textId="77777777" w:rsidTr="005369B3">
        <w:trPr>
          <w:trHeight w:val="580"/>
          <w:jc w:val="center"/>
        </w:trPr>
        <w:tc>
          <w:tcPr>
            <w:tcW w:w="665" w:type="dxa"/>
            <w:tcBorders>
              <w:top w:val="nil"/>
              <w:left w:val="single" w:sz="4" w:space="0" w:color="auto"/>
              <w:bottom w:val="single" w:sz="4" w:space="0" w:color="auto"/>
              <w:right w:val="single" w:sz="4" w:space="0" w:color="auto"/>
            </w:tcBorders>
            <w:noWrap/>
            <w:vAlign w:val="bottom"/>
            <w:hideMark/>
          </w:tcPr>
          <w:p w14:paraId="144F5816" w14:textId="77777777" w:rsidR="005369B3" w:rsidRDefault="005369B3">
            <w:pPr>
              <w:jc w:val="center"/>
              <w:rPr>
                <w:rFonts w:ascii="Calibri" w:hAnsi="Calibri" w:cs="Calibri"/>
                <w:b/>
                <w:bCs/>
                <w:sz w:val="22"/>
                <w:szCs w:val="22"/>
              </w:rPr>
            </w:pPr>
            <w:r>
              <w:rPr>
                <w:rFonts w:ascii="Calibri" w:hAnsi="Calibri" w:cs="Calibri"/>
                <w:b/>
                <w:bCs/>
                <w:sz w:val="22"/>
                <w:szCs w:val="22"/>
              </w:rPr>
              <w:lastRenderedPageBreak/>
              <w:t>661</w:t>
            </w:r>
          </w:p>
        </w:tc>
        <w:tc>
          <w:tcPr>
            <w:tcW w:w="4101" w:type="dxa"/>
            <w:tcBorders>
              <w:top w:val="nil"/>
              <w:left w:val="nil"/>
              <w:bottom w:val="single" w:sz="4" w:space="0" w:color="auto"/>
              <w:right w:val="single" w:sz="4" w:space="0" w:color="auto"/>
            </w:tcBorders>
            <w:vAlign w:val="bottom"/>
            <w:hideMark/>
          </w:tcPr>
          <w:p w14:paraId="42F30EFF" w14:textId="77777777" w:rsidR="005369B3" w:rsidRDefault="005369B3">
            <w:pPr>
              <w:rPr>
                <w:rFonts w:ascii="Calibri" w:hAnsi="Calibri" w:cs="Calibri"/>
                <w:b/>
                <w:bCs/>
                <w:sz w:val="22"/>
                <w:szCs w:val="22"/>
              </w:rPr>
            </w:pPr>
            <w:r>
              <w:rPr>
                <w:rFonts w:ascii="Calibri" w:hAnsi="Calibri" w:cs="Calibri"/>
                <w:b/>
                <w:bCs/>
                <w:sz w:val="22"/>
                <w:szCs w:val="22"/>
              </w:rPr>
              <w:t xml:space="preserve">Prihodi od prodaje proizvoda i robe te pruženih usluga </w:t>
            </w:r>
          </w:p>
        </w:tc>
        <w:tc>
          <w:tcPr>
            <w:tcW w:w="1506" w:type="dxa"/>
            <w:tcBorders>
              <w:top w:val="nil"/>
              <w:left w:val="nil"/>
              <w:bottom w:val="single" w:sz="4" w:space="0" w:color="auto"/>
              <w:right w:val="single" w:sz="4" w:space="0" w:color="auto"/>
            </w:tcBorders>
            <w:vAlign w:val="bottom"/>
            <w:hideMark/>
          </w:tcPr>
          <w:p w14:paraId="01931FA9" w14:textId="77777777" w:rsidR="005369B3" w:rsidRDefault="005369B3">
            <w:pPr>
              <w:jc w:val="right"/>
              <w:rPr>
                <w:rFonts w:ascii="Calibri" w:hAnsi="Calibri" w:cs="Calibri"/>
                <w:b/>
                <w:bCs/>
                <w:sz w:val="22"/>
                <w:szCs w:val="22"/>
              </w:rPr>
            </w:pPr>
            <w:r>
              <w:rPr>
                <w:rFonts w:ascii="Calibri" w:hAnsi="Calibri" w:cs="Calibri"/>
                <w:b/>
                <w:bCs/>
                <w:sz w:val="22"/>
                <w:szCs w:val="22"/>
              </w:rPr>
              <w:t>4.770.398,86</w:t>
            </w:r>
          </w:p>
        </w:tc>
        <w:tc>
          <w:tcPr>
            <w:tcW w:w="1506" w:type="dxa"/>
            <w:tcBorders>
              <w:top w:val="nil"/>
              <w:left w:val="nil"/>
              <w:bottom w:val="single" w:sz="4" w:space="0" w:color="auto"/>
              <w:right w:val="single" w:sz="4" w:space="0" w:color="auto"/>
            </w:tcBorders>
            <w:vAlign w:val="bottom"/>
            <w:hideMark/>
          </w:tcPr>
          <w:p w14:paraId="043253C4" w14:textId="77777777" w:rsidR="005369B3" w:rsidRDefault="005369B3">
            <w:pPr>
              <w:jc w:val="right"/>
              <w:rPr>
                <w:rFonts w:ascii="Calibri" w:hAnsi="Calibri" w:cs="Calibri"/>
                <w:b/>
                <w:bCs/>
                <w:sz w:val="22"/>
                <w:szCs w:val="22"/>
              </w:rPr>
            </w:pPr>
            <w:r>
              <w:rPr>
                <w:rFonts w:ascii="Calibri" w:hAnsi="Calibri" w:cs="Calibri"/>
                <w:b/>
                <w:bCs/>
                <w:sz w:val="22"/>
                <w:szCs w:val="22"/>
              </w:rPr>
              <w:t> </w:t>
            </w:r>
          </w:p>
        </w:tc>
        <w:tc>
          <w:tcPr>
            <w:tcW w:w="1506" w:type="dxa"/>
            <w:tcBorders>
              <w:top w:val="nil"/>
              <w:left w:val="nil"/>
              <w:bottom w:val="single" w:sz="4" w:space="0" w:color="auto"/>
              <w:right w:val="single" w:sz="4" w:space="0" w:color="auto"/>
            </w:tcBorders>
            <w:vAlign w:val="bottom"/>
            <w:hideMark/>
          </w:tcPr>
          <w:p w14:paraId="19C4309E" w14:textId="77777777" w:rsidR="005369B3" w:rsidRDefault="005369B3">
            <w:pPr>
              <w:jc w:val="right"/>
              <w:rPr>
                <w:rFonts w:ascii="Calibri" w:hAnsi="Calibri" w:cs="Calibri"/>
                <w:b/>
                <w:bCs/>
                <w:sz w:val="22"/>
                <w:szCs w:val="22"/>
              </w:rPr>
            </w:pPr>
            <w:r>
              <w:rPr>
                <w:rFonts w:ascii="Calibri" w:hAnsi="Calibri" w:cs="Calibri"/>
                <w:b/>
                <w:bCs/>
                <w:sz w:val="22"/>
                <w:szCs w:val="22"/>
              </w:rPr>
              <w:t>5.116.474,44</w:t>
            </w:r>
          </w:p>
        </w:tc>
        <w:tc>
          <w:tcPr>
            <w:tcW w:w="877" w:type="dxa"/>
            <w:tcBorders>
              <w:top w:val="nil"/>
              <w:left w:val="nil"/>
              <w:bottom w:val="single" w:sz="4" w:space="0" w:color="auto"/>
              <w:right w:val="single" w:sz="4" w:space="0" w:color="auto"/>
            </w:tcBorders>
            <w:noWrap/>
            <w:vAlign w:val="bottom"/>
            <w:hideMark/>
          </w:tcPr>
          <w:p w14:paraId="1689D508" w14:textId="77777777" w:rsidR="005369B3" w:rsidRDefault="005369B3">
            <w:pPr>
              <w:jc w:val="center"/>
              <w:rPr>
                <w:rFonts w:ascii="Calibri" w:hAnsi="Calibri" w:cs="Calibri"/>
                <w:b/>
                <w:bCs/>
                <w:color w:val="000000"/>
                <w:sz w:val="22"/>
                <w:szCs w:val="22"/>
              </w:rPr>
            </w:pPr>
            <w:r>
              <w:rPr>
                <w:rFonts w:ascii="Calibri" w:hAnsi="Calibri" w:cs="Calibri"/>
                <w:b/>
                <w:bCs/>
                <w:color w:val="000000"/>
                <w:sz w:val="22"/>
                <w:szCs w:val="22"/>
              </w:rPr>
              <w:t>107%</w:t>
            </w:r>
          </w:p>
        </w:tc>
        <w:tc>
          <w:tcPr>
            <w:tcW w:w="607" w:type="dxa"/>
            <w:tcBorders>
              <w:top w:val="nil"/>
              <w:left w:val="nil"/>
              <w:bottom w:val="single" w:sz="4" w:space="0" w:color="auto"/>
              <w:right w:val="single" w:sz="4" w:space="0" w:color="auto"/>
            </w:tcBorders>
            <w:noWrap/>
            <w:vAlign w:val="bottom"/>
            <w:hideMark/>
          </w:tcPr>
          <w:p w14:paraId="40BE4DE2" w14:textId="77777777" w:rsidR="005369B3" w:rsidRDefault="005369B3">
            <w:pPr>
              <w:jc w:val="center"/>
              <w:rPr>
                <w:rFonts w:ascii="Calibri" w:hAnsi="Calibri" w:cs="Calibri"/>
                <w:b/>
                <w:bCs/>
                <w:color w:val="000000"/>
                <w:sz w:val="22"/>
                <w:szCs w:val="22"/>
              </w:rPr>
            </w:pPr>
            <w:r>
              <w:rPr>
                <w:rFonts w:ascii="Calibri" w:hAnsi="Calibri" w:cs="Calibri"/>
                <w:b/>
                <w:bCs/>
                <w:color w:val="000000"/>
                <w:sz w:val="22"/>
                <w:szCs w:val="22"/>
              </w:rPr>
              <w:t> </w:t>
            </w:r>
          </w:p>
        </w:tc>
        <w:tc>
          <w:tcPr>
            <w:tcW w:w="222" w:type="dxa"/>
            <w:vAlign w:val="center"/>
            <w:hideMark/>
          </w:tcPr>
          <w:p w14:paraId="5FBEA90E" w14:textId="77777777" w:rsidR="005369B3" w:rsidRDefault="005369B3">
            <w:pPr>
              <w:rPr>
                <w:sz w:val="20"/>
                <w:szCs w:val="20"/>
              </w:rPr>
            </w:pPr>
          </w:p>
        </w:tc>
      </w:tr>
      <w:tr w:rsidR="005369B3" w14:paraId="4D677EE3" w14:textId="77777777" w:rsidTr="005369B3">
        <w:trPr>
          <w:trHeight w:val="580"/>
          <w:jc w:val="center"/>
        </w:trPr>
        <w:tc>
          <w:tcPr>
            <w:tcW w:w="665" w:type="dxa"/>
            <w:tcBorders>
              <w:top w:val="nil"/>
              <w:left w:val="single" w:sz="4" w:space="0" w:color="auto"/>
              <w:bottom w:val="single" w:sz="4" w:space="0" w:color="auto"/>
              <w:right w:val="single" w:sz="4" w:space="0" w:color="auto"/>
            </w:tcBorders>
            <w:noWrap/>
            <w:vAlign w:val="bottom"/>
            <w:hideMark/>
          </w:tcPr>
          <w:p w14:paraId="2D8C1613" w14:textId="77777777" w:rsidR="005369B3" w:rsidRDefault="005369B3">
            <w:pPr>
              <w:jc w:val="center"/>
              <w:rPr>
                <w:rFonts w:ascii="Calibri" w:hAnsi="Calibri" w:cs="Calibri"/>
                <w:sz w:val="22"/>
                <w:szCs w:val="22"/>
              </w:rPr>
            </w:pPr>
            <w:r>
              <w:rPr>
                <w:rFonts w:ascii="Calibri" w:hAnsi="Calibri" w:cs="Calibri"/>
                <w:sz w:val="22"/>
                <w:szCs w:val="22"/>
              </w:rPr>
              <w:t>6614</w:t>
            </w:r>
          </w:p>
        </w:tc>
        <w:tc>
          <w:tcPr>
            <w:tcW w:w="4101" w:type="dxa"/>
            <w:tcBorders>
              <w:top w:val="nil"/>
              <w:left w:val="nil"/>
              <w:bottom w:val="single" w:sz="4" w:space="0" w:color="auto"/>
              <w:right w:val="single" w:sz="4" w:space="0" w:color="auto"/>
            </w:tcBorders>
            <w:vAlign w:val="bottom"/>
            <w:hideMark/>
          </w:tcPr>
          <w:p w14:paraId="72379970" w14:textId="77777777" w:rsidR="005369B3" w:rsidRDefault="005369B3">
            <w:pPr>
              <w:rPr>
                <w:rFonts w:ascii="Calibri" w:hAnsi="Calibri" w:cs="Calibri"/>
                <w:sz w:val="22"/>
                <w:szCs w:val="22"/>
              </w:rPr>
            </w:pPr>
            <w:r>
              <w:rPr>
                <w:rFonts w:ascii="Calibri" w:hAnsi="Calibri" w:cs="Calibri"/>
                <w:sz w:val="22"/>
                <w:szCs w:val="22"/>
              </w:rPr>
              <w:t>Prihodi od prodaje proizvoda i robe</w:t>
            </w:r>
            <w:r>
              <w:rPr>
                <w:rFonts w:ascii="Calibri" w:hAnsi="Calibri" w:cs="Calibri"/>
                <w:color w:val="0000FF"/>
                <w:sz w:val="22"/>
                <w:szCs w:val="22"/>
              </w:rPr>
              <w:t xml:space="preserve"> -</w:t>
            </w:r>
            <w:r>
              <w:rPr>
                <w:rFonts w:ascii="Calibri" w:hAnsi="Calibri" w:cs="Calibri"/>
                <w:sz w:val="22"/>
                <w:szCs w:val="22"/>
              </w:rPr>
              <w:t xml:space="preserve"> prodaje robe ljekarne </w:t>
            </w:r>
            <w:r>
              <w:rPr>
                <w:rFonts w:ascii="Calibri" w:hAnsi="Calibri" w:cs="Calibri"/>
                <w:color w:val="0066CC"/>
                <w:sz w:val="22"/>
                <w:szCs w:val="22"/>
              </w:rPr>
              <w:t>- vlastiti prihodi</w:t>
            </w:r>
          </w:p>
        </w:tc>
        <w:tc>
          <w:tcPr>
            <w:tcW w:w="1506" w:type="dxa"/>
            <w:tcBorders>
              <w:top w:val="nil"/>
              <w:left w:val="nil"/>
              <w:bottom w:val="single" w:sz="4" w:space="0" w:color="auto"/>
              <w:right w:val="single" w:sz="4" w:space="0" w:color="auto"/>
            </w:tcBorders>
            <w:vAlign w:val="bottom"/>
            <w:hideMark/>
          </w:tcPr>
          <w:p w14:paraId="5A0642EA" w14:textId="77777777" w:rsidR="005369B3" w:rsidRDefault="005369B3">
            <w:pPr>
              <w:jc w:val="right"/>
              <w:rPr>
                <w:rFonts w:ascii="Calibri" w:hAnsi="Calibri" w:cs="Calibri"/>
                <w:sz w:val="22"/>
                <w:szCs w:val="22"/>
              </w:rPr>
            </w:pPr>
            <w:r>
              <w:rPr>
                <w:rFonts w:ascii="Calibri" w:hAnsi="Calibri" w:cs="Calibri"/>
                <w:sz w:val="22"/>
                <w:szCs w:val="22"/>
              </w:rPr>
              <w:t>3.029.180,52</w:t>
            </w:r>
          </w:p>
        </w:tc>
        <w:tc>
          <w:tcPr>
            <w:tcW w:w="1506" w:type="dxa"/>
            <w:tcBorders>
              <w:top w:val="nil"/>
              <w:left w:val="nil"/>
              <w:bottom w:val="single" w:sz="4" w:space="0" w:color="auto"/>
              <w:right w:val="single" w:sz="4" w:space="0" w:color="auto"/>
            </w:tcBorders>
            <w:shd w:val="clear" w:color="000000" w:fill="FFFFFF"/>
            <w:vAlign w:val="bottom"/>
            <w:hideMark/>
          </w:tcPr>
          <w:p w14:paraId="3D41F422" w14:textId="77777777" w:rsidR="005369B3" w:rsidRDefault="005369B3">
            <w:pPr>
              <w:jc w:val="right"/>
              <w:rPr>
                <w:rFonts w:ascii="Calibri" w:hAnsi="Calibri" w:cs="Calibri"/>
                <w:sz w:val="22"/>
                <w:szCs w:val="22"/>
              </w:rPr>
            </w:pPr>
            <w:r>
              <w:rPr>
                <w:rFonts w:ascii="Calibri" w:hAnsi="Calibri" w:cs="Calibri"/>
                <w:sz w:val="22"/>
                <w:szCs w:val="22"/>
              </w:rPr>
              <w:t> </w:t>
            </w:r>
          </w:p>
        </w:tc>
        <w:tc>
          <w:tcPr>
            <w:tcW w:w="1506" w:type="dxa"/>
            <w:tcBorders>
              <w:top w:val="nil"/>
              <w:left w:val="nil"/>
              <w:bottom w:val="single" w:sz="4" w:space="0" w:color="auto"/>
              <w:right w:val="single" w:sz="4" w:space="0" w:color="auto"/>
            </w:tcBorders>
            <w:noWrap/>
            <w:vAlign w:val="bottom"/>
            <w:hideMark/>
          </w:tcPr>
          <w:p w14:paraId="263F9020" w14:textId="77777777" w:rsidR="005369B3" w:rsidRDefault="005369B3">
            <w:pPr>
              <w:jc w:val="right"/>
              <w:rPr>
                <w:rFonts w:ascii="Calibri" w:hAnsi="Calibri" w:cs="Calibri"/>
                <w:color w:val="000000"/>
                <w:sz w:val="22"/>
                <w:szCs w:val="22"/>
              </w:rPr>
            </w:pPr>
            <w:r>
              <w:rPr>
                <w:rFonts w:ascii="Calibri" w:hAnsi="Calibri" w:cs="Calibri"/>
                <w:color w:val="000000"/>
                <w:sz w:val="22"/>
                <w:szCs w:val="22"/>
              </w:rPr>
              <w:t>3.249.918,77</w:t>
            </w:r>
          </w:p>
        </w:tc>
        <w:tc>
          <w:tcPr>
            <w:tcW w:w="877" w:type="dxa"/>
            <w:tcBorders>
              <w:top w:val="nil"/>
              <w:left w:val="nil"/>
              <w:bottom w:val="single" w:sz="4" w:space="0" w:color="auto"/>
              <w:right w:val="single" w:sz="4" w:space="0" w:color="auto"/>
            </w:tcBorders>
            <w:noWrap/>
            <w:vAlign w:val="bottom"/>
            <w:hideMark/>
          </w:tcPr>
          <w:p w14:paraId="6F88D1F2" w14:textId="77777777" w:rsidR="005369B3" w:rsidRDefault="005369B3">
            <w:pPr>
              <w:jc w:val="center"/>
              <w:rPr>
                <w:rFonts w:ascii="Calibri" w:hAnsi="Calibri" w:cs="Calibri"/>
                <w:color w:val="000000"/>
                <w:sz w:val="22"/>
                <w:szCs w:val="22"/>
              </w:rPr>
            </w:pPr>
            <w:r>
              <w:rPr>
                <w:rFonts w:ascii="Calibri" w:hAnsi="Calibri" w:cs="Calibri"/>
                <w:color w:val="000000"/>
                <w:sz w:val="22"/>
                <w:szCs w:val="22"/>
              </w:rPr>
              <w:t>107%</w:t>
            </w:r>
          </w:p>
        </w:tc>
        <w:tc>
          <w:tcPr>
            <w:tcW w:w="607" w:type="dxa"/>
            <w:tcBorders>
              <w:top w:val="nil"/>
              <w:left w:val="nil"/>
              <w:bottom w:val="single" w:sz="4" w:space="0" w:color="auto"/>
              <w:right w:val="single" w:sz="4" w:space="0" w:color="auto"/>
            </w:tcBorders>
            <w:noWrap/>
            <w:vAlign w:val="bottom"/>
            <w:hideMark/>
          </w:tcPr>
          <w:p w14:paraId="6EEB2533" w14:textId="77777777" w:rsidR="005369B3" w:rsidRDefault="005369B3">
            <w:pPr>
              <w:jc w:val="center"/>
              <w:rPr>
                <w:rFonts w:ascii="Calibri" w:hAnsi="Calibri" w:cs="Calibri"/>
                <w:color w:val="000000"/>
                <w:sz w:val="22"/>
                <w:szCs w:val="22"/>
              </w:rPr>
            </w:pPr>
            <w:r>
              <w:rPr>
                <w:rFonts w:ascii="Calibri" w:hAnsi="Calibri" w:cs="Calibri"/>
                <w:color w:val="000000"/>
                <w:sz w:val="22"/>
                <w:szCs w:val="22"/>
              </w:rPr>
              <w:t> </w:t>
            </w:r>
          </w:p>
        </w:tc>
        <w:tc>
          <w:tcPr>
            <w:tcW w:w="222" w:type="dxa"/>
            <w:vAlign w:val="center"/>
            <w:hideMark/>
          </w:tcPr>
          <w:p w14:paraId="4DFF1222" w14:textId="77777777" w:rsidR="005369B3" w:rsidRDefault="005369B3">
            <w:pPr>
              <w:rPr>
                <w:sz w:val="20"/>
                <w:szCs w:val="20"/>
              </w:rPr>
            </w:pPr>
          </w:p>
        </w:tc>
      </w:tr>
      <w:tr w:rsidR="005369B3" w14:paraId="5A26D1B7" w14:textId="77777777" w:rsidTr="005369B3">
        <w:trPr>
          <w:trHeight w:val="840"/>
          <w:jc w:val="center"/>
        </w:trPr>
        <w:tc>
          <w:tcPr>
            <w:tcW w:w="665" w:type="dxa"/>
            <w:tcBorders>
              <w:top w:val="nil"/>
              <w:left w:val="single" w:sz="4" w:space="0" w:color="auto"/>
              <w:bottom w:val="single" w:sz="4" w:space="0" w:color="auto"/>
              <w:right w:val="single" w:sz="4" w:space="0" w:color="auto"/>
            </w:tcBorders>
            <w:noWrap/>
            <w:vAlign w:val="bottom"/>
            <w:hideMark/>
          </w:tcPr>
          <w:p w14:paraId="167BB0D2" w14:textId="77777777" w:rsidR="005369B3" w:rsidRDefault="005369B3">
            <w:pPr>
              <w:jc w:val="center"/>
              <w:rPr>
                <w:rFonts w:ascii="Calibri" w:hAnsi="Calibri" w:cs="Calibri"/>
                <w:color w:val="000000"/>
                <w:sz w:val="22"/>
                <w:szCs w:val="22"/>
              </w:rPr>
            </w:pPr>
            <w:r>
              <w:rPr>
                <w:rFonts w:ascii="Calibri" w:hAnsi="Calibri" w:cs="Calibri"/>
                <w:color w:val="000000"/>
                <w:sz w:val="22"/>
                <w:szCs w:val="22"/>
              </w:rPr>
              <w:t>6615</w:t>
            </w:r>
          </w:p>
        </w:tc>
        <w:tc>
          <w:tcPr>
            <w:tcW w:w="4101" w:type="dxa"/>
            <w:tcBorders>
              <w:top w:val="nil"/>
              <w:left w:val="nil"/>
              <w:bottom w:val="single" w:sz="4" w:space="0" w:color="auto"/>
              <w:right w:val="single" w:sz="4" w:space="0" w:color="auto"/>
            </w:tcBorders>
            <w:vAlign w:val="bottom"/>
            <w:hideMark/>
          </w:tcPr>
          <w:p w14:paraId="223B206A" w14:textId="7208F6AC" w:rsidR="005369B3" w:rsidRDefault="005369B3">
            <w:pPr>
              <w:rPr>
                <w:rFonts w:ascii="Calibri" w:hAnsi="Calibri" w:cs="Calibri"/>
                <w:sz w:val="22"/>
                <w:szCs w:val="22"/>
              </w:rPr>
            </w:pPr>
            <w:r>
              <w:rPr>
                <w:rFonts w:ascii="Calibri" w:hAnsi="Calibri" w:cs="Calibri"/>
                <w:sz w:val="22"/>
                <w:szCs w:val="22"/>
              </w:rPr>
              <w:t>Prih</w:t>
            </w:r>
            <w:r w:rsidR="00184F72">
              <w:rPr>
                <w:rFonts w:ascii="Calibri" w:hAnsi="Calibri" w:cs="Calibri"/>
                <w:sz w:val="22"/>
                <w:szCs w:val="22"/>
              </w:rPr>
              <w:t>odi</w:t>
            </w:r>
            <w:r>
              <w:rPr>
                <w:rFonts w:ascii="Calibri" w:hAnsi="Calibri" w:cs="Calibri"/>
                <w:sz w:val="22"/>
                <w:szCs w:val="22"/>
              </w:rPr>
              <w:t xml:space="preserve"> od pruženih usluga (usluge izvan ugovora HZZO, zakup) - Prihodi izvan proračuna -</w:t>
            </w:r>
            <w:r>
              <w:rPr>
                <w:rFonts w:ascii="Calibri" w:hAnsi="Calibri" w:cs="Calibri"/>
                <w:color w:val="0066CC"/>
                <w:sz w:val="22"/>
                <w:szCs w:val="22"/>
              </w:rPr>
              <w:t xml:space="preserve"> vlastiti prihodi</w:t>
            </w:r>
          </w:p>
        </w:tc>
        <w:tc>
          <w:tcPr>
            <w:tcW w:w="1506" w:type="dxa"/>
            <w:tcBorders>
              <w:top w:val="nil"/>
              <w:left w:val="nil"/>
              <w:bottom w:val="single" w:sz="4" w:space="0" w:color="auto"/>
              <w:right w:val="single" w:sz="4" w:space="0" w:color="auto"/>
            </w:tcBorders>
            <w:vAlign w:val="bottom"/>
            <w:hideMark/>
          </w:tcPr>
          <w:p w14:paraId="515737DB" w14:textId="77777777" w:rsidR="005369B3" w:rsidRDefault="005369B3">
            <w:pPr>
              <w:jc w:val="right"/>
              <w:rPr>
                <w:rFonts w:ascii="Calibri" w:hAnsi="Calibri" w:cs="Calibri"/>
                <w:sz w:val="22"/>
                <w:szCs w:val="22"/>
              </w:rPr>
            </w:pPr>
            <w:r>
              <w:rPr>
                <w:rFonts w:ascii="Calibri" w:hAnsi="Calibri" w:cs="Calibri"/>
                <w:sz w:val="22"/>
                <w:szCs w:val="22"/>
              </w:rPr>
              <w:t>1.741.218,34</w:t>
            </w:r>
          </w:p>
        </w:tc>
        <w:tc>
          <w:tcPr>
            <w:tcW w:w="1506" w:type="dxa"/>
            <w:tcBorders>
              <w:top w:val="nil"/>
              <w:left w:val="nil"/>
              <w:bottom w:val="single" w:sz="4" w:space="0" w:color="auto"/>
              <w:right w:val="single" w:sz="4" w:space="0" w:color="auto"/>
            </w:tcBorders>
            <w:vAlign w:val="bottom"/>
            <w:hideMark/>
          </w:tcPr>
          <w:p w14:paraId="1A06B2FD" w14:textId="77777777" w:rsidR="005369B3" w:rsidRDefault="005369B3">
            <w:pPr>
              <w:jc w:val="right"/>
              <w:rPr>
                <w:rFonts w:ascii="Calibri" w:hAnsi="Calibri" w:cs="Calibri"/>
                <w:sz w:val="22"/>
                <w:szCs w:val="22"/>
              </w:rPr>
            </w:pPr>
            <w:r>
              <w:rPr>
                <w:rFonts w:ascii="Calibri" w:hAnsi="Calibri" w:cs="Calibri"/>
                <w:sz w:val="22"/>
                <w:szCs w:val="22"/>
              </w:rPr>
              <w:t> </w:t>
            </w:r>
          </w:p>
        </w:tc>
        <w:tc>
          <w:tcPr>
            <w:tcW w:w="1506" w:type="dxa"/>
            <w:tcBorders>
              <w:top w:val="nil"/>
              <w:left w:val="nil"/>
              <w:bottom w:val="single" w:sz="4" w:space="0" w:color="auto"/>
              <w:right w:val="single" w:sz="4" w:space="0" w:color="auto"/>
            </w:tcBorders>
            <w:vAlign w:val="bottom"/>
            <w:hideMark/>
          </w:tcPr>
          <w:p w14:paraId="0E0D5301" w14:textId="77777777" w:rsidR="005369B3" w:rsidRDefault="005369B3">
            <w:pPr>
              <w:jc w:val="right"/>
              <w:rPr>
                <w:rFonts w:ascii="Calibri" w:hAnsi="Calibri" w:cs="Calibri"/>
                <w:sz w:val="22"/>
                <w:szCs w:val="22"/>
              </w:rPr>
            </w:pPr>
            <w:r>
              <w:rPr>
                <w:rFonts w:ascii="Calibri" w:hAnsi="Calibri" w:cs="Calibri"/>
                <w:sz w:val="22"/>
                <w:szCs w:val="22"/>
              </w:rPr>
              <w:t>1.866.555,67</w:t>
            </w:r>
          </w:p>
        </w:tc>
        <w:tc>
          <w:tcPr>
            <w:tcW w:w="877" w:type="dxa"/>
            <w:tcBorders>
              <w:top w:val="nil"/>
              <w:left w:val="nil"/>
              <w:bottom w:val="single" w:sz="4" w:space="0" w:color="auto"/>
              <w:right w:val="single" w:sz="4" w:space="0" w:color="auto"/>
            </w:tcBorders>
            <w:noWrap/>
            <w:vAlign w:val="bottom"/>
            <w:hideMark/>
          </w:tcPr>
          <w:p w14:paraId="3035FE98" w14:textId="77777777" w:rsidR="005369B3" w:rsidRDefault="005369B3">
            <w:pPr>
              <w:jc w:val="center"/>
              <w:rPr>
                <w:rFonts w:ascii="Calibri" w:hAnsi="Calibri" w:cs="Calibri"/>
                <w:color w:val="000000"/>
                <w:sz w:val="22"/>
                <w:szCs w:val="22"/>
              </w:rPr>
            </w:pPr>
            <w:r>
              <w:rPr>
                <w:rFonts w:ascii="Calibri" w:hAnsi="Calibri" w:cs="Calibri"/>
                <w:color w:val="000000"/>
                <w:sz w:val="22"/>
                <w:szCs w:val="22"/>
              </w:rPr>
              <w:t>107%</w:t>
            </w:r>
          </w:p>
        </w:tc>
        <w:tc>
          <w:tcPr>
            <w:tcW w:w="607" w:type="dxa"/>
            <w:tcBorders>
              <w:top w:val="nil"/>
              <w:left w:val="nil"/>
              <w:bottom w:val="single" w:sz="4" w:space="0" w:color="auto"/>
              <w:right w:val="single" w:sz="4" w:space="0" w:color="auto"/>
            </w:tcBorders>
            <w:noWrap/>
            <w:vAlign w:val="bottom"/>
            <w:hideMark/>
          </w:tcPr>
          <w:p w14:paraId="2274CDA9" w14:textId="77777777" w:rsidR="005369B3" w:rsidRDefault="005369B3">
            <w:pPr>
              <w:jc w:val="center"/>
              <w:rPr>
                <w:rFonts w:ascii="Calibri" w:hAnsi="Calibri" w:cs="Calibri"/>
                <w:color w:val="000000"/>
                <w:sz w:val="22"/>
                <w:szCs w:val="22"/>
              </w:rPr>
            </w:pPr>
            <w:r>
              <w:rPr>
                <w:rFonts w:ascii="Calibri" w:hAnsi="Calibri" w:cs="Calibri"/>
                <w:color w:val="000000"/>
                <w:sz w:val="22"/>
                <w:szCs w:val="22"/>
              </w:rPr>
              <w:t> </w:t>
            </w:r>
          </w:p>
        </w:tc>
        <w:tc>
          <w:tcPr>
            <w:tcW w:w="222" w:type="dxa"/>
            <w:vAlign w:val="center"/>
            <w:hideMark/>
          </w:tcPr>
          <w:p w14:paraId="760287F6" w14:textId="77777777" w:rsidR="005369B3" w:rsidRDefault="005369B3">
            <w:pPr>
              <w:rPr>
                <w:sz w:val="20"/>
                <w:szCs w:val="20"/>
              </w:rPr>
            </w:pPr>
          </w:p>
        </w:tc>
      </w:tr>
      <w:tr w:rsidR="005369B3" w14:paraId="32D5C290" w14:textId="77777777" w:rsidTr="005369B3">
        <w:trPr>
          <w:trHeight w:val="290"/>
          <w:jc w:val="center"/>
        </w:trPr>
        <w:tc>
          <w:tcPr>
            <w:tcW w:w="665" w:type="dxa"/>
            <w:tcBorders>
              <w:top w:val="nil"/>
              <w:left w:val="single" w:sz="4" w:space="0" w:color="auto"/>
              <w:bottom w:val="single" w:sz="4" w:space="0" w:color="auto"/>
              <w:right w:val="single" w:sz="4" w:space="0" w:color="auto"/>
            </w:tcBorders>
            <w:noWrap/>
            <w:vAlign w:val="bottom"/>
            <w:hideMark/>
          </w:tcPr>
          <w:p w14:paraId="1E48424F" w14:textId="77777777" w:rsidR="005369B3" w:rsidRDefault="005369B3">
            <w:pPr>
              <w:jc w:val="center"/>
              <w:rPr>
                <w:rFonts w:ascii="Calibri" w:hAnsi="Calibri" w:cs="Calibri"/>
                <w:color w:val="000000"/>
                <w:sz w:val="22"/>
                <w:szCs w:val="22"/>
              </w:rPr>
            </w:pPr>
            <w:r>
              <w:rPr>
                <w:rFonts w:ascii="Calibri" w:hAnsi="Calibri" w:cs="Calibri"/>
                <w:color w:val="000000"/>
                <w:sz w:val="22"/>
                <w:szCs w:val="22"/>
              </w:rPr>
              <w:t> </w:t>
            </w:r>
          </w:p>
        </w:tc>
        <w:tc>
          <w:tcPr>
            <w:tcW w:w="4101" w:type="dxa"/>
            <w:tcBorders>
              <w:top w:val="nil"/>
              <w:left w:val="nil"/>
              <w:bottom w:val="single" w:sz="4" w:space="0" w:color="auto"/>
              <w:right w:val="single" w:sz="4" w:space="0" w:color="auto"/>
            </w:tcBorders>
            <w:shd w:val="clear" w:color="000000" w:fill="FFFFFF"/>
            <w:vAlign w:val="bottom"/>
            <w:hideMark/>
          </w:tcPr>
          <w:p w14:paraId="55248898" w14:textId="77777777" w:rsidR="005369B3" w:rsidRDefault="005369B3">
            <w:pPr>
              <w:rPr>
                <w:rFonts w:ascii="Calibri" w:hAnsi="Calibri" w:cs="Calibri"/>
                <w:sz w:val="22"/>
                <w:szCs w:val="22"/>
              </w:rPr>
            </w:pPr>
            <w:r>
              <w:rPr>
                <w:rFonts w:ascii="Calibri" w:hAnsi="Calibri" w:cs="Calibri"/>
                <w:sz w:val="22"/>
                <w:szCs w:val="22"/>
              </w:rPr>
              <w:t xml:space="preserve">Prihodi od pruženih usluga izvan HZZO </w:t>
            </w:r>
          </w:p>
        </w:tc>
        <w:tc>
          <w:tcPr>
            <w:tcW w:w="1506" w:type="dxa"/>
            <w:tcBorders>
              <w:top w:val="nil"/>
              <w:left w:val="nil"/>
              <w:bottom w:val="single" w:sz="4" w:space="0" w:color="auto"/>
              <w:right w:val="single" w:sz="4" w:space="0" w:color="auto"/>
            </w:tcBorders>
            <w:shd w:val="clear" w:color="000000" w:fill="FFFFFF"/>
            <w:vAlign w:val="bottom"/>
            <w:hideMark/>
          </w:tcPr>
          <w:p w14:paraId="75991C63" w14:textId="77777777" w:rsidR="005369B3" w:rsidRDefault="005369B3">
            <w:pPr>
              <w:jc w:val="right"/>
              <w:rPr>
                <w:rFonts w:ascii="Calibri" w:hAnsi="Calibri" w:cs="Calibri"/>
                <w:sz w:val="22"/>
                <w:szCs w:val="22"/>
              </w:rPr>
            </w:pPr>
            <w:r>
              <w:rPr>
                <w:rFonts w:ascii="Calibri" w:hAnsi="Calibri" w:cs="Calibri"/>
                <w:sz w:val="22"/>
                <w:szCs w:val="22"/>
              </w:rPr>
              <w:t>847.580,44</w:t>
            </w:r>
          </w:p>
        </w:tc>
        <w:tc>
          <w:tcPr>
            <w:tcW w:w="1506" w:type="dxa"/>
            <w:tcBorders>
              <w:top w:val="nil"/>
              <w:left w:val="nil"/>
              <w:bottom w:val="single" w:sz="4" w:space="0" w:color="auto"/>
              <w:right w:val="single" w:sz="4" w:space="0" w:color="auto"/>
            </w:tcBorders>
            <w:vAlign w:val="bottom"/>
            <w:hideMark/>
          </w:tcPr>
          <w:p w14:paraId="0DE2F4C2" w14:textId="77777777" w:rsidR="005369B3" w:rsidRDefault="005369B3">
            <w:pPr>
              <w:jc w:val="right"/>
              <w:rPr>
                <w:rFonts w:ascii="Calibri" w:hAnsi="Calibri" w:cs="Calibri"/>
                <w:sz w:val="22"/>
                <w:szCs w:val="22"/>
              </w:rPr>
            </w:pPr>
            <w:r>
              <w:rPr>
                <w:rFonts w:ascii="Calibri" w:hAnsi="Calibri" w:cs="Calibri"/>
                <w:sz w:val="22"/>
                <w:szCs w:val="22"/>
              </w:rPr>
              <w:t> </w:t>
            </w:r>
          </w:p>
        </w:tc>
        <w:tc>
          <w:tcPr>
            <w:tcW w:w="1506" w:type="dxa"/>
            <w:tcBorders>
              <w:top w:val="nil"/>
              <w:left w:val="nil"/>
              <w:bottom w:val="single" w:sz="4" w:space="0" w:color="auto"/>
              <w:right w:val="single" w:sz="4" w:space="0" w:color="auto"/>
            </w:tcBorders>
            <w:noWrap/>
            <w:vAlign w:val="bottom"/>
            <w:hideMark/>
          </w:tcPr>
          <w:p w14:paraId="56D47471" w14:textId="77777777" w:rsidR="005369B3" w:rsidRDefault="005369B3">
            <w:pPr>
              <w:jc w:val="right"/>
              <w:rPr>
                <w:rFonts w:ascii="Calibri" w:hAnsi="Calibri" w:cs="Calibri"/>
                <w:color w:val="000000"/>
                <w:sz w:val="22"/>
                <w:szCs w:val="22"/>
              </w:rPr>
            </w:pPr>
            <w:r>
              <w:rPr>
                <w:rFonts w:ascii="Calibri" w:hAnsi="Calibri" w:cs="Calibri"/>
                <w:color w:val="000000"/>
                <w:sz w:val="22"/>
                <w:szCs w:val="22"/>
              </w:rPr>
              <w:t>930.874,98</w:t>
            </w:r>
          </w:p>
        </w:tc>
        <w:tc>
          <w:tcPr>
            <w:tcW w:w="877" w:type="dxa"/>
            <w:tcBorders>
              <w:top w:val="nil"/>
              <w:left w:val="nil"/>
              <w:bottom w:val="single" w:sz="4" w:space="0" w:color="auto"/>
              <w:right w:val="single" w:sz="4" w:space="0" w:color="auto"/>
            </w:tcBorders>
            <w:noWrap/>
            <w:vAlign w:val="bottom"/>
            <w:hideMark/>
          </w:tcPr>
          <w:p w14:paraId="2F83F535" w14:textId="77777777" w:rsidR="005369B3" w:rsidRDefault="005369B3">
            <w:pPr>
              <w:jc w:val="center"/>
              <w:rPr>
                <w:rFonts w:ascii="Calibri" w:hAnsi="Calibri" w:cs="Calibri"/>
                <w:color w:val="000000"/>
                <w:sz w:val="22"/>
                <w:szCs w:val="22"/>
              </w:rPr>
            </w:pPr>
            <w:r>
              <w:rPr>
                <w:rFonts w:ascii="Calibri" w:hAnsi="Calibri" w:cs="Calibri"/>
                <w:color w:val="000000"/>
                <w:sz w:val="22"/>
                <w:szCs w:val="22"/>
              </w:rPr>
              <w:t>110%</w:t>
            </w:r>
          </w:p>
        </w:tc>
        <w:tc>
          <w:tcPr>
            <w:tcW w:w="607" w:type="dxa"/>
            <w:tcBorders>
              <w:top w:val="nil"/>
              <w:left w:val="nil"/>
              <w:bottom w:val="single" w:sz="4" w:space="0" w:color="auto"/>
              <w:right w:val="single" w:sz="4" w:space="0" w:color="auto"/>
            </w:tcBorders>
            <w:noWrap/>
            <w:vAlign w:val="bottom"/>
            <w:hideMark/>
          </w:tcPr>
          <w:p w14:paraId="7462CA24" w14:textId="77777777" w:rsidR="005369B3" w:rsidRDefault="005369B3">
            <w:pPr>
              <w:jc w:val="center"/>
              <w:rPr>
                <w:rFonts w:ascii="Calibri" w:hAnsi="Calibri" w:cs="Calibri"/>
                <w:color w:val="000000"/>
                <w:sz w:val="22"/>
                <w:szCs w:val="22"/>
              </w:rPr>
            </w:pPr>
            <w:r>
              <w:rPr>
                <w:rFonts w:ascii="Calibri" w:hAnsi="Calibri" w:cs="Calibri"/>
                <w:color w:val="000000"/>
                <w:sz w:val="22"/>
                <w:szCs w:val="22"/>
              </w:rPr>
              <w:t> </w:t>
            </w:r>
          </w:p>
        </w:tc>
        <w:tc>
          <w:tcPr>
            <w:tcW w:w="222" w:type="dxa"/>
            <w:vAlign w:val="center"/>
            <w:hideMark/>
          </w:tcPr>
          <w:p w14:paraId="0CF1C9C2" w14:textId="77777777" w:rsidR="005369B3" w:rsidRDefault="005369B3">
            <w:pPr>
              <w:rPr>
                <w:sz w:val="20"/>
                <w:szCs w:val="20"/>
              </w:rPr>
            </w:pPr>
          </w:p>
        </w:tc>
      </w:tr>
      <w:tr w:rsidR="005369B3" w14:paraId="0AEE78FB" w14:textId="77777777" w:rsidTr="005369B3">
        <w:trPr>
          <w:trHeight w:val="580"/>
          <w:jc w:val="center"/>
        </w:trPr>
        <w:tc>
          <w:tcPr>
            <w:tcW w:w="665" w:type="dxa"/>
            <w:tcBorders>
              <w:top w:val="nil"/>
              <w:left w:val="single" w:sz="4" w:space="0" w:color="auto"/>
              <w:bottom w:val="single" w:sz="4" w:space="0" w:color="auto"/>
              <w:right w:val="single" w:sz="4" w:space="0" w:color="auto"/>
            </w:tcBorders>
            <w:noWrap/>
            <w:vAlign w:val="bottom"/>
            <w:hideMark/>
          </w:tcPr>
          <w:p w14:paraId="4D95D2CC" w14:textId="77777777" w:rsidR="005369B3" w:rsidRDefault="005369B3">
            <w:pPr>
              <w:jc w:val="center"/>
              <w:rPr>
                <w:rFonts w:ascii="Calibri" w:hAnsi="Calibri" w:cs="Calibri"/>
                <w:color w:val="000000"/>
                <w:sz w:val="22"/>
                <w:szCs w:val="22"/>
              </w:rPr>
            </w:pPr>
            <w:r>
              <w:rPr>
                <w:rFonts w:ascii="Calibri" w:hAnsi="Calibri" w:cs="Calibri"/>
                <w:color w:val="000000"/>
                <w:sz w:val="22"/>
                <w:szCs w:val="22"/>
              </w:rPr>
              <w:t> </w:t>
            </w:r>
          </w:p>
        </w:tc>
        <w:tc>
          <w:tcPr>
            <w:tcW w:w="4101" w:type="dxa"/>
            <w:tcBorders>
              <w:top w:val="nil"/>
              <w:left w:val="nil"/>
              <w:bottom w:val="single" w:sz="4" w:space="0" w:color="auto"/>
              <w:right w:val="single" w:sz="4" w:space="0" w:color="auto"/>
            </w:tcBorders>
            <w:vAlign w:val="bottom"/>
            <w:hideMark/>
          </w:tcPr>
          <w:p w14:paraId="07C4B6B4" w14:textId="77777777" w:rsidR="005369B3" w:rsidRDefault="005369B3">
            <w:pPr>
              <w:rPr>
                <w:rFonts w:ascii="Calibri" w:hAnsi="Calibri" w:cs="Calibri"/>
                <w:sz w:val="22"/>
                <w:szCs w:val="22"/>
              </w:rPr>
            </w:pPr>
            <w:r>
              <w:rPr>
                <w:rFonts w:ascii="Calibri" w:hAnsi="Calibri" w:cs="Calibri"/>
                <w:sz w:val="22"/>
                <w:szCs w:val="22"/>
              </w:rPr>
              <w:t xml:space="preserve">Prihodi od pruženih usluga - iznajmljivanje poslovnog prostora </w:t>
            </w:r>
          </w:p>
        </w:tc>
        <w:tc>
          <w:tcPr>
            <w:tcW w:w="1506" w:type="dxa"/>
            <w:tcBorders>
              <w:top w:val="nil"/>
              <w:left w:val="nil"/>
              <w:bottom w:val="single" w:sz="4" w:space="0" w:color="auto"/>
              <w:right w:val="single" w:sz="4" w:space="0" w:color="auto"/>
            </w:tcBorders>
            <w:vAlign w:val="bottom"/>
            <w:hideMark/>
          </w:tcPr>
          <w:p w14:paraId="20A1BBA8" w14:textId="77777777" w:rsidR="005369B3" w:rsidRDefault="005369B3">
            <w:pPr>
              <w:jc w:val="right"/>
              <w:rPr>
                <w:rFonts w:ascii="Calibri" w:hAnsi="Calibri" w:cs="Calibri"/>
                <w:sz w:val="22"/>
                <w:szCs w:val="22"/>
              </w:rPr>
            </w:pPr>
            <w:r>
              <w:rPr>
                <w:rFonts w:ascii="Calibri" w:hAnsi="Calibri" w:cs="Calibri"/>
                <w:sz w:val="22"/>
                <w:szCs w:val="22"/>
              </w:rPr>
              <w:t>893.637,90</w:t>
            </w:r>
          </w:p>
        </w:tc>
        <w:tc>
          <w:tcPr>
            <w:tcW w:w="1506" w:type="dxa"/>
            <w:tcBorders>
              <w:top w:val="nil"/>
              <w:left w:val="nil"/>
              <w:bottom w:val="single" w:sz="4" w:space="0" w:color="auto"/>
              <w:right w:val="single" w:sz="4" w:space="0" w:color="auto"/>
            </w:tcBorders>
            <w:vAlign w:val="bottom"/>
            <w:hideMark/>
          </w:tcPr>
          <w:p w14:paraId="77A8F292" w14:textId="77777777" w:rsidR="005369B3" w:rsidRDefault="005369B3">
            <w:pPr>
              <w:jc w:val="right"/>
              <w:rPr>
                <w:rFonts w:ascii="Calibri" w:hAnsi="Calibri" w:cs="Calibri"/>
                <w:sz w:val="22"/>
                <w:szCs w:val="22"/>
              </w:rPr>
            </w:pPr>
            <w:r>
              <w:rPr>
                <w:rFonts w:ascii="Calibri" w:hAnsi="Calibri" w:cs="Calibri"/>
                <w:sz w:val="22"/>
                <w:szCs w:val="22"/>
              </w:rPr>
              <w:t> </w:t>
            </w:r>
          </w:p>
        </w:tc>
        <w:tc>
          <w:tcPr>
            <w:tcW w:w="1506" w:type="dxa"/>
            <w:tcBorders>
              <w:top w:val="nil"/>
              <w:left w:val="nil"/>
              <w:bottom w:val="single" w:sz="4" w:space="0" w:color="auto"/>
              <w:right w:val="single" w:sz="4" w:space="0" w:color="auto"/>
            </w:tcBorders>
            <w:noWrap/>
            <w:vAlign w:val="bottom"/>
            <w:hideMark/>
          </w:tcPr>
          <w:p w14:paraId="276EC360" w14:textId="77777777" w:rsidR="005369B3" w:rsidRDefault="005369B3">
            <w:pPr>
              <w:jc w:val="right"/>
              <w:rPr>
                <w:rFonts w:ascii="Calibri" w:hAnsi="Calibri" w:cs="Calibri"/>
                <w:color w:val="000000"/>
                <w:sz w:val="22"/>
                <w:szCs w:val="22"/>
              </w:rPr>
            </w:pPr>
            <w:r>
              <w:rPr>
                <w:rFonts w:ascii="Calibri" w:hAnsi="Calibri" w:cs="Calibri"/>
                <w:color w:val="000000"/>
                <w:sz w:val="22"/>
                <w:szCs w:val="22"/>
              </w:rPr>
              <w:t>935.680,69</w:t>
            </w:r>
          </w:p>
        </w:tc>
        <w:tc>
          <w:tcPr>
            <w:tcW w:w="877" w:type="dxa"/>
            <w:tcBorders>
              <w:top w:val="nil"/>
              <w:left w:val="nil"/>
              <w:bottom w:val="single" w:sz="4" w:space="0" w:color="auto"/>
              <w:right w:val="single" w:sz="4" w:space="0" w:color="auto"/>
            </w:tcBorders>
            <w:noWrap/>
            <w:vAlign w:val="bottom"/>
            <w:hideMark/>
          </w:tcPr>
          <w:p w14:paraId="5F4A08EC" w14:textId="77777777" w:rsidR="005369B3" w:rsidRDefault="005369B3">
            <w:pPr>
              <w:jc w:val="center"/>
              <w:rPr>
                <w:rFonts w:ascii="Calibri" w:hAnsi="Calibri" w:cs="Calibri"/>
                <w:color w:val="000000"/>
                <w:sz w:val="22"/>
                <w:szCs w:val="22"/>
              </w:rPr>
            </w:pPr>
            <w:r>
              <w:rPr>
                <w:rFonts w:ascii="Calibri" w:hAnsi="Calibri" w:cs="Calibri"/>
                <w:color w:val="000000"/>
                <w:sz w:val="22"/>
                <w:szCs w:val="22"/>
              </w:rPr>
              <w:t>105%</w:t>
            </w:r>
          </w:p>
        </w:tc>
        <w:tc>
          <w:tcPr>
            <w:tcW w:w="607" w:type="dxa"/>
            <w:tcBorders>
              <w:top w:val="nil"/>
              <w:left w:val="nil"/>
              <w:bottom w:val="single" w:sz="4" w:space="0" w:color="auto"/>
              <w:right w:val="single" w:sz="4" w:space="0" w:color="auto"/>
            </w:tcBorders>
            <w:noWrap/>
            <w:vAlign w:val="bottom"/>
            <w:hideMark/>
          </w:tcPr>
          <w:p w14:paraId="364537C7" w14:textId="77777777" w:rsidR="005369B3" w:rsidRDefault="005369B3">
            <w:pPr>
              <w:jc w:val="center"/>
              <w:rPr>
                <w:rFonts w:ascii="Calibri" w:hAnsi="Calibri" w:cs="Calibri"/>
                <w:color w:val="000000"/>
                <w:sz w:val="22"/>
                <w:szCs w:val="22"/>
              </w:rPr>
            </w:pPr>
            <w:r>
              <w:rPr>
                <w:rFonts w:ascii="Calibri" w:hAnsi="Calibri" w:cs="Calibri"/>
                <w:color w:val="000000"/>
                <w:sz w:val="22"/>
                <w:szCs w:val="22"/>
              </w:rPr>
              <w:t> </w:t>
            </w:r>
          </w:p>
        </w:tc>
        <w:tc>
          <w:tcPr>
            <w:tcW w:w="222" w:type="dxa"/>
            <w:vAlign w:val="center"/>
            <w:hideMark/>
          </w:tcPr>
          <w:p w14:paraId="1879924E" w14:textId="77777777" w:rsidR="005369B3" w:rsidRDefault="005369B3">
            <w:pPr>
              <w:rPr>
                <w:sz w:val="20"/>
                <w:szCs w:val="20"/>
              </w:rPr>
            </w:pPr>
          </w:p>
        </w:tc>
      </w:tr>
      <w:tr w:rsidR="005369B3" w14:paraId="4DFF458E" w14:textId="77777777" w:rsidTr="005369B3">
        <w:trPr>
          <w:trHeight w:val="580"/>
          <w:jc w:val="center"/>
        </w:trPr>
        <w:tc>
          <w:tcPr>
            <w:tcW w:w="665" w:type="dxa"/>
            <w:tcBorders>
              <w:top w:val="nil"/>
              <w:left w:val="single" w:sz="4" w:space="0" w:color="auto"/>
              <w:bottom w:val="single" w:sz="4" w:space="0" w:color="auto"/>
              <w:right w:val="single" w:sz="4" w:space="0" w:color="auto"/>
            </w:tcBorders>
            <w:noWrap/>
            <w:vAlign w:val="bottom"/>
            <w:hideMark/>
          </w:tcPr>
          <w:p w14:paraId="79A3E2F6" w14:textId="77777777" w:rsidR="005369B3" w:rsidRDefault="005369B3">
            <w:pPr>
              <w:jc w:val="center"/>
              <w:rPr>
                <w:rFonts w:ascii="Calibri" w:hAnsi="Calibri" w:cs="Calibri"/>
                <w:b/>
                <w:bCs/>
                <w:sz w:val="22"/>
                <w:szCs w:val="22"/>
              </w:rPr>
            </w:pPr>
            <w:r>
              <w:rPr>
                <w:rFonts w:ascii="Calibri" w:hAnsi="Calibri" w:cs="Calibri"/>
                <w:b/>
                <w:bCs/>
                <w:sz w:val="22"/>
                <w:szCs w:val="22"/>
              </w:rPr>
              <w:t>663</w:t>
            </w:r>
          </w:p>
        </w:tc>
        <w:tc>
          <w:tcPr>
            <w:tcW w:w="4101" w:type="dxa"/>
            <w:tcBorders>
              <w:top w:val="nil"/>
              <w:left w:val="nil"/>
              <w:bottom w:val="single" w:sz="4" w:space="0" w:color="auto"/>
              <w:right w:val="single" w:sz="4" w:space="0" w:color="auto"/>
            </w:tcBorders>
            <w:vAlign w:val="bottom"/>
            <w:hideMark/>
          </w:tcPr>
          <w:p w14:paraId="1F46F6E6" w14:textId="77777777" w:rsidR="005369B3" w:rsidRDefault="005369B3">
            <w:pPr>
              <w:rPr>
                <w:rFonts w:ascii="Calibri" w:hAnsi="Calibri" w:cs="Calibri"/>
                <w:b/>
                <w:bCs/>
                <w:sz w:val="22"/>
                <w:szCs w:val="22"/>
              </w:rPr>
            </w:pPr>
            <w:r>
              <w:rPr>
                <w:rFonts w:ascii="Calibri" w:hAnsi="Calibri" w:cs="Calibri"/>
                <w:b/>
                <w:bCs/>
                <w:sz w:val="22"/>
                <w:szCs w:val="22"/>
              </w:rPr>
              <w:t>Donacije od pravnih i fizičkih osoba izvan općeg proračuna</w:t>
            </w:r>
          </w:p>
        </w:tc>
        <w:tc>
          <w:tcPr>
            <w:tcW w:w="1506" w:type="dxa"/>
            <w:tcBorders>
              <w:top w:val="nil"/>
              <w:left w:val="nil"/>
              <w:bottom w:val="single" w:sz="4" w:space="0" w:color="auto"/>
              <w:right w:val="single" w:sz="4" w:space="0" w:color="auto"/>
            </w:tcBorders>
            <w:vAlign w:val="bottom"/>
            <w:hideMark/>
          </w:tcPr>
          <w:p w14:paraId="007A8F07" w14:textId="77777777" w:rsidR="005369B3" w:rsidRDefault="005369B3">
            <w:pPr>
              <w:jc w:val="right"/>
              <w:rPr>
                <w:rFonts w:ascii="Calibri" w:hAnsi="Calibri" w:cs="Calibri"/>
                <w:b/>
                <w:bCs/>
                <w:sz w:val="22"/>
                <w:szCs w:val="22"/>
              </w:rPr>
            </w:pPr>
            <w:r>
              <w:rPr>
                <w:rFonts w:ascii="Calibri" w:hAnsi="Calibri" w:cs="Calibri"/>
                <w:b/>
                <w:bCs/>
                <w:sz w:val="22"/>
                <w:szCs w:val="22"/>
              </w:rPr>
              <w:t>55.926,11</w:t>
            </w:r>
          </w:p>
        </w:tc>
        <w:tc>
          <w:tcPr>
            <w:tcW w:w="1506" w:type="dxa"/>
            <w:tcBorders>
              <w:top w:val="nil"/>
              <w:left w:val="nil"/>
              <w:bottom w:val="single" w:sz="4" w:space="0" w:color="auto"/>
              <w:right w:val="single" w:sz="4" w:space="0" w:color="auto"/>
            </w:tcBorders>
            <w:vAlign w:val="bottom"/>
            <w:hideMark/>
          </w:tcPr>
          <w:p w14:paraId="78CDBF3B" w14:textId="77777777" w:rsidR="005369B3" w:rsidRDefault="005369B3">
            <w:pPr>
              <w:jc w:val="right"/>
              <w:rPr>
                <w:rFonts w:ascii="Calibri" w:hAnsi="Calibri" w:cs="Calibri"/>
                <w:b/>
                <w:bCs/>
                <w:sz w:val="22"/>
                <w:szCs w:val="22"/>
              </w:rPr>
            </w:pPr>
            <w:r>
              <w:rPr>
                <w:rFonts w:ascii="Calibri" w:hAnsi="Calibri" w:cs="Calibri"/>
                <w:b/>
                <w:bCs/>
                <w:sz w:val="22"/>
                <w:szCs w:val="22"/>
              </w:rPr>
              <w:t> </w:t>
            </w:r>
          </w:p>
        </w:tc>
        <w:tc>
          <w:tcPr>
            <w:tcW w:w="1506" w:type="dxa"/>
            <w:tcBorders>
              <w:top w:val="nil"/>
              <w:left w:val="nil"/>
              <w:bottom w:val="single" w:sz="4" w:space="0" w:color="auto"/>
              <w:right w:val="single" w:sz="4" w:space="0" w:color="auto"/>
            </w:tcBorders>
            <w:vAlign w:val="bottom"/>
            <w:hideMark/>
          </w:tcPr>
          <w:p w14:paraId="082E236A" w14:textId="77777777" w:rsidR="005369B3" w:rsidRDefault="005369B3">
            <w:pPr>
              <w:jc w:val="right"/>
              <w:rPr>
                <w:rFonts w:ascii="Calibri" w:hAnsi="Calibri" w:cs="Calibri"/>
                <w:b/>
                <w:bCs/>
                <w:sz w:val="22"/>
                <w:szCs w:val="22"/>
              </w:rPr>
            </w:pPr>
            <w:r>
              <w:rPr>
                <w:rFonts w:ascii="Calibri" w:hAnsi="Calibri" w:cs="Calibri"/>
                <w:b/>
                <w:bCs/>
                <w:sz w:val="22"/>
                <w:szCs w:val="22"/>
              </w:rPr>
              <w:t>57.190,98</w:t>
            </w:r>
          </w:p>
        </w:tc>
        <w:tc>
          <w:tcPr>
            <w:tcW w:w="877" w:type="dxa"/>
            <w:tcBorders>
              <w:top w:val="nil"/>
              <w:left w:val="nil"/>
              <w:bottom w:val="single" w:sz="4" w:space="0" w:color="auto"/>
              <w:right w:val="single" w:sz="4" w:space="0" w:color="auto"/>
            </w:tcBorders>
            <w:noWrap/>
            <w:vAlign w:val="bottom"/>
            <w:hideMark/>
          </w:tcPr>
          <w:p w14:paraId="6D114497" w14:textId="77777777" w:rsidR="005369B3" w:rsidRDefault="005369B3">
            <w:pPr>
              <w:jc w:val="center"/>
              <w:rPr>
                <w:rFonts w:ascii="Calibri" w:hAnsi="Calibri" w:cs="Calibri"/>
                <w:b/>
                <w:bCs/>
                <w:color w:val="000000"/>
                <w:sz w:val="22"/>
                <w:szCs w:val="22"/>
              </w:rPr>
            </w:pPr>
            <w:r>
              <w:rPr>
                <w:rFonts w:ascii="Calibri" w:hAnsi="Calibri" w:cs="Calibri"/>
                <w:b/>
                <w:bCs/>
                <w:color w:val="000000"/>
                <w:sz w:val="22"/>
                <w:szCs w:val="22"/>
              </w:rPr>
              <w:t>102%</w:t>
            </w:r>
          </w:p>
        </w:tc>
        <w:tc>
          <w:tcPr>
            <w:tcW w:w="607" w:type="dxa"/>
            <w:tcBorders>
              <w:top w:val="nil"/>
              <w:left w:val="nil"/>
              <w:bottom w:val="single" w:sz="4" w:space="0" w:color="auto"/>
              <w:right w:val="single" w:sz="4" w:space="0" w:color="auto"/>
            </w:tcBorders>
            <w:noWrap/>
            <w:vAlign w:val="bottom"/>
            <w:hideMark/>
          </w:tcPr>
          <w:p w14:paraId="4A813FB4" w14:textId="77777777" w:rsidR="005369B3" w:rsidRDefault="005369B3">
            <w:pPr>
              <w:jc w:val="center"/>
              <w:rPr>
                <w:rFonts w:ascii="Calibri" w:hAnsi="Calibri" w:cs="Calibri"/>
                <w:b/>
                <w:bCs/>
                <w:color w:val="000000"/>
                <w:sz w:val="22"/>
                <w:szCs w:val="22"/>
              </w:rPr>
            </w:pPr>
            <w:r>
              <w:rPr>
                <w:rFonts w:ascii="Calibri" w:hAnsi="Calibri" w:cs="Calibri"/>
                <w:b/>
                <w:bCs/>
                <w:color w:val="000000"/>
                <w:sz w:val="22"/>
                <w:szCs w:val="22"/>
              </w:rPr>
              <w:t> </w:t>
            </w:r>
          </w:p>
        </w:tc>
        <w:tc>
          <w:tcPr>
            <w:tcW w:w="222" w:type="dxa"/>
            <w:vAlign w:val="center"/>
            <w:hideMark/>
          </w:tcPr>
          <w:p w14:paraId="5B75B721" w14:textId="77777777" w:rsidR="005369B3" w:rsidRDefault="005369B3">
            <w:pPr>
              <w:rPr>
                <w:sz w:val="20"/>
                <w:szCs w:val="20"/>
              </w:rPr>
            </w:pPr>
          </w:p>
        </w:tc>
      </w:tr>
      <w:tr w:rsidR="005369B3" w14:paraId="5255361C" w14:textId="77777777" w:rsidTr="005369B3">
        <w:trPr>
          <w:trHeight w:val="330"/>
          <w:jc w:val="center"/>
        </w:trPr>
        <w:tc>
          <w:tcPr>
            <w:tcW w:w="665" w:type="dxa"/>
            <w:tcBorders>
              <w:top w:val="nil"/>
              <w:left w:val="single" w:sz="4" w:space="0" w:color="auto"/>
              <w:bottom w:val="single" w:sz="4" w:space="0" w:color="auto"/>
              <w:right w:val="single" w:sz="4" w:space="0" w:color="auto"/>
            </w:tcBorders>
            <w:noWrap/>
            <w:vAlign w:val="bottom"/>
            <w:hideMark/>
          </w:tcPr>
          <w:p w14:paraId="551C26E3" w14:textId="77777777" w:rsidR="005369B3" w:rsidRDefault="005369B3">
            <w:pPr>
              <w:jc w:val="center"/>
              <w:rPr>
                <w:rFonts w:ascii="Calibri" w:hAnsi="Calibri" w:cs="Calibri"/>
                <w:color w:val="000000"/>
                <w:sz w:val="22"/>
                <w:szCs w:val="22"/>
              </w:rPr>
            </w:pPr>
            <w:r>
              <w:rPr>
                <w:rFonts w:ascii="Calibri" w:hAnsi="Calibri" w:cs="Calibri"/>
                <w:color w:val="000000"/>
                <w:sz w:val="22"/>
                <w:szCs w:val="22"/>
              </w:rPr>
              <w:t>6631</w:t>
            </w:r>
          </w:p>
        </w:tc>
        <w:tc>
          <w:tcPr>
            <w:tcW w:w="4101" w:type="dxa"/>
            <w:tcBorders>
              <w:top w:val="nil"/>
              <w:left w:val="nil"/>
              <w:bottom w:val="single" w:sz="4" w:space="0" w:color="auto"/>
              <w:right w:val="single" w:sz="4" w:space="0" w:color="auto"/>
            </w:tcBorders>
            <w:vAlign w:val="bottom"/>
            <w:hideMark/>
          </w:tcPr>
          <w:p w14:paraId="340CA530" w14:textId="77777777" w:rsidR="005369B3" w:rsidRDefault="005369B3">
            <w:pPr>
              <w:rPr>
                <w:rFonts w:ascii="Calibri" w:hAnsi="Calibri" w:cs="Calibri"/>
                <w:sz w:val="22"/>
                <w:szCs w:val="22"/>
              </w:rPr>
            </w:pPr>
            <w:r>
              <w:rPr>
                <w:rFonts w:ascii="Calibri" w:hAnsi="Calibri" w:cs="Calibri"/>
                <w:sz w:val="22"/>
                <w:szCs w:val="22"/>
              </w:rPr>
              <w:t>Tekuće donacije</w:t>
            </w:r>
          </w:p>
        </w:tc>
        <w:tc>
          <w:tcPr>
            <w:tcW w:w="1506" w:type="dxa"/>
            <w:tcBorders>
              <w:top w:val="nil"/>
              <w:left w:val="nil"/>
              <w:bottom w:val="single" w:sz="4" w:space="0" w:color="auto"/>
              <w:right w:val="single" w:sz="4" w:space="0" w:color="auto"/>
            </w:tcBorders>
            <w:vAlign w:val="bottom"/>
            <w:hideMark/>
          </w:tcPr>
          <w:p w14:paraId="6429EA4B" w14:textId="77777777" w:rsidR="005369B3" w:rsidRDefault="005369B3">
            <w:pPr>
              <w:jc w:val="right"/>
              <w:rPr>
                <w:rFonts w:ascii="Calibri" w:hAnsi="Calibri" w:cs="Calibri"/>
                <w:sz w:val="22"/>
                <w:szCs w:val="22"/>
              </w:rPr>
            </w:pPr>
            <w:r>
              <w:rPr>
                <w:rFonts w:ascii="Calibri" w:hAnsi="Calibri" w:cs="Calibri"/>
                <w:sz w:val="22"/>
                <w:szCs w:val="22"/>
              </w:rPr>
              <w:t>2.475,20</w:t>
            </w:r>
          </w:p>
        </w:tc>
        <w:tc>
          <w:tcPr>
            <w:tcW w:w="1506" w:type="dxa"/>
            <w:tcBorders>
              <w:top w:val="nil"/>
              <w:left w:val="nil"/>
              <w:bottom w:val="single" w:sz="4" w:space="0" w:color="auto"/>
              <w:right w:val="single" w:sz="4" w:space="0" w:color="auto"/>
            </w:tcBorders>
            <w:shd w:val="clear" w:color="000000" w:fill="FFFFFF"/>
            <w:vAlign w:val="bottom"/>
            <w:hideMark/>
          </w:tcPr>
          <w:p w14:paraId="370E2081" w14:textId="77777777" w:rsidR="005369B3" w:rsidRDefault="005369B3">
            <w:pPr>
              <w:jc w:val="right"/>
              <w:rPr>
                <w:rFonts w:ascii="Calibri" w:hAnsi="Calibri" w:cs="Calibri"/>
                <w:sz w:val="22"/>
                <w:szCs w:val="22"/>
              </w:rPr>
            </w:pPr>
            <w:r>
              <w:rPr>
                <w:rFonts w:ascii="Calibri" w:hAnsi="Calibri" w:cs="Calibri"/>
                <w:sz w:val="22"/>
                <w:szCs w:val="22"/>
              </w:rPr>
              <w:t> </w:t>
            </w:r>
          </w:p>
        </w:tc>
        <w:tc>
          <w:tcPr>
            <w:tcW w:w="1506" w:type="dxa"/>
            <w:tcBorders>
              <w:top w:val="nil"/>
              <w:left w:val="nil"/>
              <w:bottom w:val="single" w:sz="4" w:space="0" w:color="auto"/>
              <w:right w:val="single" w:sz="4" w:space="0" w:color="auto"/>
            </w:tcBorders>
            <w:noWrap/>
            <w:vAlign w:val="bottom"/>
            <w:hideMark/>
          </w:tcPr>
          <w:p w14:paraId="3401C5DD" w14:textId="77777777" w:rsidR="005369B3" w:rsidRDefault="005369B3">
            <w:pPr>
              <w:jc w:val="right"/>
              <w:rPr>
                <w:rFonts w:ascii="Calibri" w:hAnsi="Calibri" w:cs="Calibri"/>
                <w:color w:val="000000"/>
                <w:sz w:val="22"/>
                <w:szCs w:val="22"/>
              </w:rPr>
            </w:pPr>
            <w:r>
              <w:rPr>
                <w:rFonts w:ascii="Calibri" w:hAnsi="Calibri" w:cs="Calibri"/>
                <w:color w:val="000000"/>
                <w:sz w:val="22"/>
                <w:szCs w:val="22"/>
              </w:rPr>
              <w:t>7.935,66</w:t>
            </w:r>
          </w:p>
        </w:tc>
        <w:tc>
          <w:tcPr>
            <w:tcW w:w="877" w:type="dxa"/>
            <w:tcBorders>
              <w:top w:val="nil"/>
              <w:left w:val="nil"/>
              <w:bottom w:val="single" w:sz="4" w:space="0" w:color="auto"/>
              <w:right w:val="single" w:sz="4" w:space="0" w:color="auto"/>
            </w:tcBorders>
            <w:noWrap/>
            <w:vAlign w:val="bottom"/>
            <w:hideMark/>
          </w:tcPr>
          <w:p w14:paraId="43107053" w14:textId="77777777" w:rsidR="005369B3" w:rsidRDefault="005369B3">
            <w:pPr>
              <w:jc w:val="center"/>
              <w:rPr>
                <w:rFonts w:ascii="Calibri" w:hAnsi="Calibri" w:cs="Calibri"/>
                <w:color w:val="000000"/>
                <w:sz w:val="22"/>
                <w:szCs w:val="22"/>
              </w:rPr>
            </w:pPr>
            <w:r>
              <w:rPr>
                <w:rFonts w:ascii="Calibri" w:hAnsi="Calibri" w:cs="Calibri"/>
                <w:color w:val="000000"/>
                <w:sz w:val="22"/>
                <w:szCs w:val="22"/>
              </w:rPr>
              <w:t>321%</w:t>
            </w:r>
          </w:p>
        </w:tc>
        <w:tc>
          <w:tcPr>
            <w:tcW w:w="607" w:type="dxa"/>
            <w:tcBorders>
              <w:top w:val="nil"/>
              <w:left w:val="nil"/>
              <w:bottom w:val="single" w:sz="4" w:space="0" w:color="auto"/>
              <w:right w:val="single" w:sz="4" w:space="0" w:color="auto"/>
            </w:tcBorders>
            <w:noWrap/>
            <w:vAlign w:val="bottom"/>
            <w:hideMark/>
          </w:tcPr>
          <w:p w14:paraId="68B1ED1A" w14:textId="77777777" w:rsidR="005369B3" w:rsidRDefault="005369B3">
            <w:pPr>
              <w:jc w:val="center"/>
              <w:rPr>
                <w:rFonts w:ascii="Calibri" w:hAnsi="Calibri" w:cs="Calibri"/>
                <w:color w:val="000000"/>
                <w:sz w:val="22"/>
                <w:szCs w:val="22"/>
              </w:rPr>
            </w:pPr>
            <w:r>
              <w:rPr>
                <w:rFonts w:ascii="Calibri" w:hAnsi="Calibri" w:cs="Calibri"/>
                <w:color w:val="000000"/>
                <w:sz w:val="22"/>
                <w:szCs w:val="22"/>
              </w:rPr>
              <w:t> </w:t>
            </w:r>
          </w:p>
        </w:tc>
        <w:tc>
          <w:tcPr>
            <w:tcW w:w="222" w:type="dxa"/>
            <w:vAlign w:val="center"/>
            <w:hideMark/>
          </w:tcPr>
          <w:p w14:paraId="0CE1ED31" w14:textId="77777777" w:rsidR="005369B3" w:rsidRDefault="005369B3">
            <w:pPr>
              <w:rPr>
                <w:sz w:val="20"/>
                <w:szCs w:val="20"/>
              </w:rPr>
            </w:pPr>
          </w:p>
        </w:tc>
      </w:tr>
      <w:tr w:rsidR="005369B3" w14:paraId="58E04C7E" w14:textId="77777777" w:rsidTr="005369B3">
        <w:trPr>
          <w:trHeight w:val="380"/>
          <w:jc w:val="center"/>
        </w:trPr>
        <w:tc>
          <w:tcPr>
            <w:tcW w:w="665" w:type="dxa"/>
            <w:tcBorders>
              <w:top w:val="nil"/>
              <w:left w:val="single" w:sz="4" w:space="0" w:color="auto"/>
              <w:bottom w:val="single" w:sz="4" w:space="0" w:color="auto"/>
              <w:right w:val="single" w:sz="4" w:space="0" w:color="auto"/>
            </w:tcBorders>
            <w:noWrap/>
            <w:vAlign w:val="bottom"/>
            <w:hideMark/>
          </w:tcPr>
          <w:p w14:paraId="2A09AAB0" w14:textId="77777777" w:rsidR="005369B3" w:rsidRDefault="005369B3">
            <w:pPr>
              <w:jc w:val="center"/>
              <w:rPr>
                <w:rFonts w:ascii="Calibri" w:hAnsi="Calibri" w:cs="Calibri"/>
                <w:color w:val="000000"/>
                <w:sz w:val="22"/>
                <w:szCs w:val="22"/>
              </w:rPr>
            </w:pPr>
            <w:r>
              <w:rPr>
                <w:rFonts w:ascii="Calibri" w:hAnsi="Calibri" w:cs="Calibri"/>
                <w:color w:val="000000"/>
                <w:sz w:val="22"/>
                <w:szCs w:val="22"/>
              </w:rPr>
              <w:t>6632</w:t>
            </w:r>
          </w:p>
        </w:tc>
        <w:tc>
          <w:tcPr>
            <w:tcW w:w="4101" w:type="dxa"/>
            <w:tcBorders>
              <w:top w:val="nil"/>
              <w:left w:val="nil"/>
              <w:bottom w:val="single" w:sz="4" w:space="0" w:color="auto"/>
              <w:right w:val="single" w:sz="4" w:space="0" w:color="auto"/>
            </w:tcBorders>
            <w:vAlign w:val="bottom"/>
            <w:hideMark/>
          </w:tcPr>
          <w:p w14:paraId="4FE5E599" w14:textId="77777777" w:rsidR="005369B3" w:rsidRDefault="005369B3">
            <w:pPr>
              <w:rPr>
                <w:rFonts w:ascii="Calibri" w:hAnsi="Calibri" w:cs="Calibri"/>
                <w:sz w:val="22"/>
                <w:szCs w:val="22"/>
              </w:rPr>
            </w:pPr>
            <w:r>
              <w:rPr>
                <w:rFonts w:ascii="Calibri" w:hAnsi="Calibri" w:cs="Calibri"/>
                <w:sz w:val="22"/>
                <w:szCs w:val="22"/>
              </w:rPr>
              <w:t xml:space="preserve">Kapitalne donacije </w:t>
            </w:r>
          </w:p>
        </w:tc>
        <w:tc>
          <w:tcPr>
            <w:tcW w:w="1506" w:type="dxa"/>
            <w:tcBorders>
              <w:top w:val="nil"/>
              <w:left w:val="nil"/>
              <w:bottom w:val="single" w:sz="4" w:space="0" w:color="auto"/>
              <w:right w:val="single" w:sz="4" w:space="0" w:color="auto"/>
            </w:tcBorders>
            <w:vAlign w:val="bottom"/>
            <w:hideMark/>
          </w:tcPr>
          <w:p w14:paraId="41A5F93F" w14:textId="77777777" w:rsidR="005369B3" w:rsidRDefault="005369B3">
            <w:pPr>
              <w:jc w:val="right"/>
              <w:rPr>
                <w:rFonts w:ascii="Calibri" w:hAnsi="Calibri" w:cs="Calibri"/>
                <w:sz w:val="22"/>
                <w:szCs w:val="22"/>
              </w:rPr>
            </w:pPr>
            <w:r>
              <w:rPr>
                <w:rFonts w:ascii="Calibri" w:hAnsi="Calibri" w:cs="Calibri"/>
                <w:sz w:val="22"/>
                <w:szCs w:val="22"/>
              </w:rPr>
              <w:t>53.450,91</w:t>
            </w:r>
          </w:p>
        </w:tc>
        <w:tc>
          <w:tcPr>
            <w:tcW w:w="1506" w:type="dxa"/>
            <w:tcBorders>
              <w:top w:val="nil"/>
              <w:left w:val="nil"/>
              <w:bottom w:val="single" w:sz="4" w:space="0" w:color="auto"/>
              <w:right w:val="single" w:sz="4" w:space="0" w:color="auto"/>
            </w:tcBorders>
            <w:shd w:val="clear" w:color="000000" w:fill="FFFFFF"/>
            <w:vAlign w:val="bottom"/>
            <w:hideMark/>
          </w:tcPr>
          <w:p w14:paraId="1757B77D" w14:textId="77777777" w:rsidR="005369B3" w:rsidRDefault="005369B3">
            <w:pPr>
              <w:jc w:val="right"/>
              <w:rPr>
                <w:rFonts w:ascii="Calibri" w:hAnsi="Calibri" w:cs="Calibri"/>
                <w:sz w:val="22"/>
                <w:szCs w:val="22"/>
              </w:rPr>
            </w:pPr>
            <w:r>
              <w:rPr>
                <w:rFonts w:ascii="Calibri" w:hAnsi="Calibri" w:cs="Calibri"/>
                <w:sz w:val="22"/>
                <w:szCs w:val="22"/>
              </w:rPr>
              <w:t> </w:t>
            </w:r>
          </w:p>
        </w:tc>
        <w:tc>
          <w:tcPr>
            <w:tcW w:w="1506" w:type="dxa"/>
            <w:tcBorders>
              <w:top w:val="nil"/>
              <w:left w:val="nil"/>
              <w:bottom w:val="single" w:sz="4" w:space="0" w:color="auto"/>
              <w:right w:val="single" w:sz="4" w:space="0" w:color="auto"/>
            </w:tcBorders>
            <w:noWrap/>
            <w:vAlign w:val="bottom"/>
            <w:hideMark/>
          </w:tcPr>
          <w:p w14:paraId="1B26E278" w14:textId="77777777" w:rsidR="005369B3" w:rsidRDefault="005369B3">
            <w:pPr>
              <w:jc w:val="right"/>
              <w:rPr>
                <w:rFonts w:ascii="Calibri" w:hAnsi="Calibri" w:cs="Calibri"/>
                <w:color w:val="000000"/>
                <w:sz w:val="22"/>
                <w:szCs w:val="22"/>
              </w:rPr>
            </w:pPr>
            <w:r>
              <w:rPr>
                <w:rFonts w:ascii="Calibri" w:hAnsi="Calibri" w:cs="Calibri"/>
                <w:color w:val="000000"/>
                <w:sz w:val="22"/>
                <w:szCs w:val="22"/>
              </w:rPr>
              <w:t>49.255,32</w:t>
            </w:r>
          </w:p>
        </w:tc>
        <w:tc>
          <w:tcPr>
            <w:tcW w:w="877" w:type="dxa"/>
            <w:tcBorders>
              <w:top w:val="nil"/>
              <w:left w:val="nil"/>
              <w:bottom w:val="single" w:sz="4" w:space="0" w:color="auto"/>
              <w:right w:val="single" w:sz="4" w:space="0" w:color="auto"/>
            </w:tcBorders>
            <w:noWrap/>
            <w:vAlign w:val="bottom"/>
            <w:hideMark/>
          </w:tcPr>
          <w:p w14:paraId="3DCAE7F1" w14:textId="77777777" w:rsidR="005369B3" w:rsidRDefault="005369B3">
            <w:pPr>
              <w:jc w:val="center"/>
              <w:rPr>
                <w:rFonts w:ascii="Calibri" w:hAnsi="Calibri" w:cs="Calibri"/>
                <w:color w:val="000000"/>
                <w:sz w:val="22"/>
                <w:szCs w:val="22"/>
              </w:rPr>
            </w:pPr>
            <w:r>
              <w:rPr>
                <w:rFonts w:ascii="Calibri" w:hAnsi="Calibri" w:cs="Calibri"/>
                <w:color w:val="000000"/>
                <w:sz w:val="22"/>
                <w:szCs w:val="22"/>
              </w:rPr>
              <w:t>92%</w:t>
            </w:r>
          </w:p>
        </w:tc>
        <w:tc>
          <w:tcPr>
            <w:tcW w:w="607" w:type="dxa"/>
            <w:tcBorders>
              <w:top w:val="nil"/>
              <w:left w:val="nil"/>
              <w:bottom w:val="single" w:sz="4" w:space="0" w:color="auto"/>
              <w:right w:val="single" w:sz="4" w:space="0" w:color="auto"/>
            </w:tcBorders>
            <w:noWrap/>
            <w:vAlign w:val="bottom"/>
            <w:hideMark/>
          </w:tcPr>
          <w:p w14:paraId="2C30D3EE" w14:textId="77777777" w:rsidR="005369B3" w:rsidRDefault="005369B3">
            <w:pPr>
              <w:jc w:val="center"/>
              <w:rPr>
                <w:rFonts w:ascii="Calibri" w:hAnsi="Calibri" w:cs="Calibri"/>
                <w:color w:val="000000"/>
                <w:sz w:val="22"/>
                <w:szCs w:val="22"/>
              </w:rPr>
            </w:pPr>
            <w:r>
              <w:rPr>
                <w:rFonts w:ascii="Calibri" w:hAnsi="Calibri" w:cs="Calibri"/>
                <w:color w:val="000000"/>
                <w:sz w:val="22"/>
                <w:szCs w:val="22"/>
              </w:rPr>
              <w:t> </w:t>
            </w:r>
          </w:p>
        </w:tc>
        <w:tc>
          <w:tcPr>
            <w:tcW w:w="222" w:type="dxa"/>
            <w:vAlign w:val="center"/>
            <w:hideMark/>
          </w:tcPr>
          <w:p w14:paraId="683F20F5" w14:textId="77777777" w:rsidR="005369B3" w:rsidRDefault="005369B3">
            <w:pPr>
              <w:rPr>
                <w:sz w:val="20"/>
                <w:szCs w:val="20"/>
              </w:rPr>
            </w:pPr>
          </w:p>
        </w:tc>
      </w:tr>
      <w:tr w:rsidR="005369B3" w14:paraId="33B02992" w14:textId="77777777" w:rsidTr="005369B3">
        <w:trPr>
          <w:trHeight w:val="580"/>
          <w:jc w:val="center"/>
        </w:trPr>
        <w:tc>
          <w:tcPr>
            <w:tcW w:w="665" w:type="dxa"/>
            <w:tcBorders>
              <w:top w:val="nil"/>
              <w:left w:val="single" w:sz="4" w:space="0" w:color="auto"/>
              <w:bottom w:val="single" w:sz="4" w:space="0" w:color="auto"/>
              <w:right w:val="single" w:sz="4" w:space="0" w:color="auto"/>
            </w:tcBorders>
            <w:shd w:val="clear" w:color="000000" w:fill="D9D9D9"/>
            <w:noWrap/>
            <w:vAlign w:val="bottom"/>
            <w:hideMark/>
          </w:tcPr>
          <w:p w14:paraId="2FE3506C" w14:textId="77777777" w:rsidR="005369B3" w:rsidRDefault="005369B3">
            <w:pPr>
              <w:jc w:val="center"/>
              <w:rPr>
                <w:rFonts w:ascii="Calibri" w:hAnsi="Calibri" w:cs="Calibri"/>
                <w:b/>
                <w:bCs/>
                <w:sz w:val="22"/>
                <w:szCs w:val="22"/>
              </w:rPr>
            </w:pPr>
            <w:r>
              <w:rPr>
                <w:rFonts w:ascii="Calibri" w:hAnsi="Calibri" w:cs="Calibri"/>
                <w:b/>
                <w:bCs/>
                <w:sz w:val="22"/>
                <w:szCs w:val="22"/>
              </w:rPr>
              <w:t>67</w:t>
            </w:r>
          </w:p>
        </w:tc>
        <w:tc>
          <w:tcPr>
            <w:tcW w:w="4101" w:type="dxa"/>
            <w:tcBorders>
              <w:top w:val="nil"/>
              <w:left w:val="nil"/>
              <w:bottom w:val="single" w:sz="4" w:space="0" w:color="auto"/>
              <w:right w:val="single" w:sz="4" w:space="0" w:color="auto"/>
            </w:tcBorders>
            <w:shd w:val="clear" w:color="000000" w:fill="D9D9D9"/>
            <w:vAlign w:val="bottom"/>
            <w:hideMark/>
          </w:tcPr>
          <w:p w14:paraId="3E91001F" w14:textId="77777777" w:rsidR="005369B3" w:rsidRDefault="005369B3">
            <w:pPr>
              <w:rPr>
                <w:rFonts w:ascii="Calibri" w:hAnsi="Calibri" w:cs="Calibri"/>
                <w:b/>
                <w:bCs/>
                <w:sz w:val="22"/>
                <w:szCs w:val="22"/>
              </w:rPr>
            </w:pPr>
            <w:r>
              <w:rPr>
                <w:rFonts w:ascii="Calibri" w:hAnsi="Calibri" w:cs="Calibri"/>
                <w:b/>
                <w:bCs/>
                <w:sz w:val="22"/>
                <w:szCs w:val="22"/>
              </w:rPr>
              <w:t>PRIHODI IZ NADLEŽNOG PRORAČUNA I OD HZZO-a TEMELJEM UGOV. OBVEZA</w:t>
            </w:r>
          </w:p>
        </w:tc>
        <w:tc>
          <w:tcPr>
            <w:tcW w:w="1506" w:type="dxa"/>
            <w:tcBorders>
              <w:top w:val="nil"/>
              <w:left w:val="nil"/>
              <w:bottom w:val="single" w:sz="4" w:space="0" w:color="auto"/>
              <w:right w:val="single" w:sz="4" w:space="0" w:color="auto"/>
            </w:tcBorders>
            <w:shd w:val="clear" w:color="000000" w:fill="D9D9D9"/>
            <w:vAlign w:val="bottom"/>
            <w:hideMark/>
          </w:tcPr>
          <w:p w14:paraId="5BBE8AA3" w14:textId="77777777" w:rsidR="005369B3" w:rsidRDefault="005369B3">
            <w:pPr>
              <w:jc w:val="right"/>
              <w:rPr>
                <w:rFonts w:ascii="Calibri" w:hAnsi="Calibri" w:cs="Calibri"/>
                <w:b/>
                <w:bCs/>
                <w:sz w:val="22"/>
                <w:szCs w:val="22"/>
              </w:rPr>
            </w:pPr>
            <w:r>
              <w:rPr>
                <w:rFonts w:ascii="Calibri" w:hAnsi="Calibri" w:cs="Calibri"/>
                <w:b/>
                <w:bCs/>
                <w:sz w:val="22"/>
                <w:szCs w:val="22"/>
              </w:rPr>
              <w:t>23.115.676,69</w:t>
            </w:r>
          </w:p>
        </w:tc>
        <w:tc>
          <w:tcPr>
            <w:tcW w:w="1506" w:type="dxa"/>
            <w:tcBorders>
              <w:top w:val="nil"/>
              <w:left w:val="nil"/>
              <w:bottom w:val="single" w:sz="4" w:space="0" w:color="auto"/>
              <w:right w:val="single" w:sz="4" w:space="0" w:color="auto"/>
            </w:tcBorders>
            <w:shd w:val="clear" w:color="000000" w:fill="D9D9D9"/>
            <w:vAlign w:val="bottom"/>
            <w:hideMark/>
          </w:tcPr>
          <w:p w14:paraId="37D98634" w14:textId="77777777" w:rsidR="005369B3" w:rsidRDefault="005369B3">
            <w:pPr>
              <w:jc w:val="right"/>
              <w:rPr>
                <w:rFonts w:ascii="Calibri" w:hAnsi="Calibri" w:cs="Calibri"/>
                <w:b/>
                <w:bCs/>
                <w:sz w:val="22"/>
                <w:szCs w:val="22"/>
              </w:rPr>
            </w:pPr>
            <w:r>
              <w:rPr>
                <w:rFonts w:ascii="Calibri" w:hAnsi="Calibri" w:cs="Calibri"/>
                <w:b/>
                <w:bCs/>
                <w:sz w:val="22"/>
                <w:szCs w:val="22"/>
              </w:rPr>
              <w:t>27.083.228,00</w:t>
            </w:r>
          </w:p>
        </w:tc>
        <w:tc>
          <w:tcPr>
            <w:tcW w:w="1506" w:type="dxa"/>
            <w:tcBorders>
              <w:top w:val="nil"/>
              <w:left w:val="nil"/>
              <w:bottom w:val="single" w:sz="4" w:space="0" w:color="auto"/>
              <w:right w:val="single" w:sz="4" w:space="0" w:color="auto"/>
            </w:tcBorders>
            <w:shd w:val="clear" w:color="000000" w:fill="D9D9D9"/>
            <w:vAlign w:val="bottom"/>
            <w:hideMark/>
          </w:tcPr>
          <w:p w14:paraId="2EFE3D74" w14:textId="77777777" w:rsidR="005369B3" w:rsidRDefault="005369B3">
            <w:pPr>
              <w:jc w:val="right"/>
              <w:rPr>
                <w:rFonts w:ascii="Calibri" w:hAnsi="Calibri" w:cs="Calibri"/>
                <w:b/>
                <w:bCs/>
                <w:sz w:val="22"/>
                <w:szCs w:val="22"/>
              </w:rPr>
            </w:pPr>
            <w:r>
              <w:rPr>
                <w:rFonts w:ascii="Calibri" w:hAnsi="Calibri" w:cs="Calibri"/>
                <w:b/>
                <w:bCs/>
                <w:sz w:val="22"/>
                <w:szCs w:val="22"/>
              </w:rPr>
              <w:t>26.726.530,08</w:t>
            </w:r>
          </w:p>
        </w:tc>
        <w:tc>
          <w:tcPr>
            <w:tcW w:w="877" w:type="dxa"/>
            <w:tcBorders>
              <w:top w:val="nil"/>
              <w:left w:val="nil"/>
              <w:bottom w:val="single" w:sz="4" w:space="0" w:color="auto"/>
              <w:right w:val="single" w:sz="4" w:space="0" w:color="auto"/>
            </w:tcBorders>
            <w:shd w:val="clear" w:color="000000" w:fill="D9D9D9"/>
            <w:vAlign w:val="bottom"/>
            <w:hideMark/>
          </w:tcPr>
          <w:p w14:paraId="6A884655" w14:textId="77777777" w:rsidR="005369B3" w:rsidRDefault="005369B3">
            <w:pPr>
              <w:jc w:val="center"/>
              <w:rPr>
                <w:rFonts w:ascii="Calibri" w:hAnsi="Calibri" w:cs="Calibri"/>
                <w:b/>
                <w:bCs/>
                <w:sz w:val="22"/>
                <w:szCs w:val="22"/>
              </w:rPr>
            </w:pPr>
            <w:r>
              <w:rPr>
                <w:rFonts w:ascii="Calibri" w:hAnsi="Calibri" w:cs="Calibri"/>
                <w:b/>
                <w:bCs/>
                <w:sz w:val="22"/>
                <w:szCs w:val="22"/>
              </w:rPr>
              <w:t>116%</w:t>
            </w:r>
          </w:p>
        </w:tc>
        <w:tc>
          <w:tcPr>
            <w:tcW w:w="607" w:type="dxa"/>
            <w:tcBorders>
              <w:top w:val="nil"/>
              <w:left w:val="nil"/>
              <w:bottom w:val="single" w:sz="4" w:space="0" w:color="auto"/>
              <w:right w:val="single" w:sz="4" w:space="0" w:color="auto"/>
            </w:tcBorders>
            <w:shd w:val="clear" w:color="000000" w:fill="D9D9D9"/>
            <w:vAlign w:val="bottom"/>
            <w:hideMark/>
          </w:tcPr>
          <w:p w14:paraId="08FF17C1" w14:textId="77777777" w:rsidR="005369B3" w:rsidRDefault="005369B3">
            <w:pPr>
              <w:jc w:val="center"/>
              <w:rPr>
                <w:rFonts w:ascii="Calibri" w:hAnsi="Calibri" w:cs="Calibri"/>
                <w:b/>
                <w:bCs/>
                <w:sz w:val="22"/>
                <w:szCs w:val="22"/>
              </w:rPr>
            </w:pPr>
            <w:r>
              <w:rPr>
                <w:rFonts w:ascii="Calibri" w:hAnsi="Calibri" w:cs="Calibri"/>
                <w:b/>
                <w:bCs/>
                <w:sz w:val="22"/>
                <w:szCs w:val="22"/>
              </w:rPr>
              <w:t>99%</w:t>
            </w:r>
          </w:p>
        </w:tc>
        <w:tc>
          <w:tcPr>
            <w:tcW w:w="222" w:type="dxa"/>
            <w:vAlign w:val="center"/>
            <w:hideMark/>
          </w:tcPr>
          <w:p w14:paraId="3D3EF7AB" w14:textId="77777777" w:rsidR="005369B3" w:rsidRDefault="005369B3">
            <w:pPr>
              <w:rPr>
                <w:sz w:val="20"/>
                <w:szCs w:val="20"/>
              </w:rPr>
            </w:pPr>
          </w:p>
        </w:tc>
      </w:tr>
      <w:tr w:rsidR="005369B3" w14:paraId="0BC378F1" w14:textId="77777777" w:rsidTr="005369B3">
        <w:trPr>
          <w:trHeight w:val="870"/>
          <w:jc w:val="center"/>
        </w:trPr>
        <w:tc>
          <w:tcPr>
            <w:tcW w:w="665" w:type="dxa"/>
            <w:tcBorders>
              <w:top w:val="nil"/>
              <w:left w:val="single" w:sz="4" w:space="0" w:color="auto"/>
              <w:bottom w:val="single" w:sz="4" w:space="0" w:color="auto"/>
              <w:right w:val="single" w:sz="4" w:space="0" w:color="auto"/>
            </w:tcBorders>
            <w:noWrap/>
            <w:vAlign w:val="bottom"/>
            <w:hideMark/>
          </w:tcPr>
          <w:p w14:paraId="0837A6B3" w14:textId="77777777" w:rsidR="005369B3" w:rsidRDefault="005369B3">
            <w:pPr>
              <w:jc w:val="center"/>
              <w:rPr>
                <w:rFonts w:ascii="Calibri" w:hAnsi="Calibri" w:cs="Calibri"/>
                <w:b/>
                <w:bCs/>
                <w:sz w:val="22"/>
                <w:szCs w:val="22"/>
              </w:rPr>
            </w:pPr>
            <w:r>
              <w:rPr>
                <w:rFonts w:ascii="Calibri" w:hAnsi="Calibri" w:cs="Calibri"/>
                <w:b/>
                <w:bCs/>
                <w:sz w:val="22"/>
                <w:szCs w:val="22"/>
              </w:rPr>
              <w:t>671</w:t>
            </w:r>
          </w:p>
        </w:tc>
        <w:tc>
          <w:tcPr>
            <w:tcW w:w="4101" w:type="dxa"/>
            <w:tcBorders>
              <w:top w:val="nil"/>
              <w:left w:val="nil"/>
              <w:bottom w:val="single" w:sz="4" w:space="0" w:color="auto"/>
              <w:right w:val="single" w:sz="4" w:space="0" w:color="auto"/>
            </w:tcBorders>
            <w:vAlign w:val="center"/>
            <w:hideMark/>
          </w:tcPr>
          <w:p w14:paraId="5A02E0A4" w14:textId="77777777" w:rsidR="005369B3" w:rsidRDefault="005369B3">
            <w:pPr>
              <w:rPr>
                <w:rFonts w:ascii="Calibri" w:hAnsi="Calibri" w:cs="Calibri"/>
                <w:b/>
                <w:bCs/>
                <w:sz w:val="22"/>
                <w:szCs w:val="22"/>
              </w:rPr>
            </w:pPr>
            <w:r>
              <w:rPr>
                <w:rFonts w:ascii="Calibri" w:hAnsi="Calibri" w:cs="Calibri"/>
                <w:b/>
                <w:bCs/>
                <w:sz w:val="22"/>
                <w:szCs w:val="22"/>
              </w:rPr>
              <w:t>Prihodi iz nadležnog proračuna za financiranje redovne djelatnosti proračunskih korisnika - IŽ</w:t>
            </w:r>
          </w:p>
        </w:tc>
        <w:tc>
          <w:tcPr>
            <w:tcW w:w="1506" w:type="dxa"/>
            <w:tcBorders>
              <w:top w:val="nil"/>
              <w:left w:val="nil"/>
              <w:bottom w:val="single" w:sz="4" w:space="0" w:color="auto"/>
              <w:right w:val="single" w:sz="4" w:space="0" w:color="auto"/>
            </w:tcBorders>
            <w:vAlign w:val="bottom"/>
            <w:hideMark/>
          </w:tcPr>
          <w:p w14:paraId="3B70D596" w14:textId="77777777" w:rsidR="005369B3" w:rsidRDefault="005369B3">
            <w:pPr>
              <w:jc w:val="right"/>
              <w:rPr>
                <w:rFonts w:ascii="Calibri" w:hAnsi="Calibri" w:cs="Calibri"/>
                <w:b/>
                <w:bCs/>
                <w:sz w:val="22"/>
                <w:szCs w:val="22"/>
              </w:rPr>
            </w:pPr>
            <w:r>
              <w:rPr>
                <w:rFonts w:ascii="Calibri" w:hAnsi="Calibri" w:cs="Calibri"/>
                <w:b/>
                <w:bCs/>
                <w:sz w:val="22"/>
                <w:szCs w:val="22"/>
              </w:rPr>
              <w:t>1.479.042,78</w:t>
            </w:r>
          </w:p>
        </w:tc>
        <w:tc>
          <w:tcPr>
            <w:tcW w:w="1506" w:type="dxa"/>
            <w:tcBorders>
              <w:top w:val="nil"/>
              <w:left w:val="nil"/>
              <w:bottom w:val="single" w:sz="4" w:space="0" w:color="auto"/>
              <w:right w:val="single" w:sz="4" w:space="0" w:color="auto"/>
            </w:tcBorders>
            <w:vAlign w:val="bottom"/>
            <w:hideMark/>
          </w:tcPr>
          <w:p w14:paraId="72BEA572" w14:textId="77777777" w:rsidR="005369B3" w:rsidRDefault="005369B3">
            <w:pPr>
              <w:jc w:val="right"/>
              <w:rPr>
                <w:rFonts w:ascii="Calibri" w:hAnsi="Calibri" w:cs="Calibri"/>
                <w:b/>
                <w:bCs/>
                <w:sz w:val="22"/>
                <w:szCs w:val="22"/>
              </w:rPr>
            </w:pPr>
            <w:r>
              <w:rPr>
                <w:rFonts w:ascii="Calibri" w:hAnsi="Calibri" w:cs="Calibri"/>
                <w:b/>
                <w:bCs/>
                <w:sz w:val="22"/>
                <w:szCs w:val="22"/>
              </w:rPr>
              <w:t> </w:t>
            </w:r>
          </w:p>
        </w:tc>
        <w:tc>
          <w:tcPr>
            <w:tcW w:w="1506" w:type="dxa"/>
            <w:tcBorders>
              <w:top w:val="nil"/>
              <w:left w:val="nil"/>
              <w:bottom w:val="single" w:sz="4" w:space="0" w:color="auto"/>
              <w:right w:val="single" w:sz="4" w:space="0" w:color="auto"/>
            </w:tcBorders>
            <w:vAlign w:val="bottom"/>
            <w:hideMark/>
          </w:tcPr>
          <w:p w14:paraId="16DDEAF8" w14:textId="77777777" w:rsidR="005369B3" w:rsidRDefault="005369B3">
            <w:pPr>
              <w:jc w:val="right"/>
              <w:rPr>
                <w:rFonts w:ascii="Calibri" w:hAnsi="Calibri" w:cs="Calibri"/>
                <w:b/>
                <w:bCs/>
                <w:sz w:val="22"/>
                <w:szCs w:val="22"/>
              </w:rPr>
            </w:pPr>
            <w:r>
              <w:rPr>
                <w:rFonts w:ascii="Calibri" w:hAnsi="Calibri" w:cs="Calibri"/>
                <w:b/>
                <w:bCs/>
                <w:sz w:val="22"/>
                <w:szCs w:val="22"/>
              </w:rPr>
              <w:t>1.431.878,30</w:t>
            </w:r>
          </w:p>
        </w:tc>
        <w:tc>
          <w:tcPr>
            <w:tcW w:w="877" w:type="dxa"/>
            <w:tcBorders>
              <w:top w:val="nil"/>
              <w:left w:val="nil"/>
              <w:bottom w:val="single" w:sz="4" w:space="0" w:color="auto"/>
              <w:right w:val="single" w:sz="4" w:space="0" w:color="auto"/>
            </w:tcBorders>
            <w:noWrap/>
            <w:vAlign w:val="bottom"/>
            <w:hideMark/>
          </w:tcPr>
          <w:p w14:paraId="5A8BFCF1" w14:textId="77777777" w:rsidR="005369B3" w:rsidRDefault="005369B3">
            <w:pPr>
              <w:jc w:val="center"/>
              <w:rPr>
                <w:rFonts w:ascii="Calibri" w:hAnsi="Calibri" w:cs="Calibri"/>
                <w:b/>
                <w:bCs/>
                <w:color w:val="000000"/>
                <w:sz w:val="22"/>
                <w:szCs w:val="22"/>
              </w:rPr>
            </w:pPr>
            <w:r>
              <w:rPr>
                <w:rFonts w:ascii="Calibri" w:hAnsi="Calibri" w:cs="Calibri"/>
                <w:b/>
                <w:bCs/>
                <w:color w:val="000000"/>
                <w:sz w:val="22"/>
                <w:szCs w:val="22"/>
              </w:rPr>
              <w:t>97%</w:t>
            </w:r>
          </w:p>
        </w:tc>
        <w:tc>
          <w:tcPr>
            <w:tcW w:w="607" w:type="dxa"/>
            <w:tcBorders>
              <w:top w:val="nil"/>
              <w:left w:val="nil"/>
              <w:bottom w:val="single" w:sz="4" w:space="0" w:color="auto"/>
              <w:right w:val="single" w:sz="4" w:space="0" w:color="auto"/>
            </w:tcBorders>
            <w:noWrap/>
            <w:vAlign w:val="bottom"/>
            <w:hideMark/>
          </w:tcPr>
          <w:p w14:paraId="47738304" w14:textId="77777777" w:rsidR="005369B3" w:rsidRDefault="005369B3">
            <w:pPr>
              <w:jc w:val="center"/>
              <w:rPr>
                <w:rFonts w:ascii="Calibri" w:hAnsi="Calibri" w:cs="Calibri"/>
                <w:b/>
                <w:bCs/>
                <w:color w:val="000000"/>
                <w:sz w:val="22"/>
                <w:szCs w:val="22"/>
              </w:rPr>
            </w:pPr>
            <w:r>
              <w:rPr>
                <w:rFonts w:ascii="Calibri" w:hAnsi="Calibri" w:cs="Calibri"/>
                <w:b/>
                <w:bCs/>
                <w:color w:val="000000"/>
                <w:sz w:val="22"/>
                <w:szCs w:val="22"/>
              </w:rPr>
              <w:t> </w:t>
            </w:r>
          </w:p>
        </w:tc>
        <w:tc>
          <w:tcPr>
            <w:tcW w:w="222" w:type="dxa"/>
            <w:vAlign w:val="center"/>
            <w:hideMark/>
          </w:tcPr>
          <w:p w14:paraId="357605A6" w14:textId="77777777" w:rsidR="005369B3" w:rsidRDefault="005369B3">
            <w:pPr>
              <w:rPr>
                <w:sz w:val="20"/>
                <w:szCs w:val="20"/>
              </w:rPr>
            </w:pPr>
          </w:p>
        </w:tc>
      </w:tr>
      <w:tr w:rsidR="005369B3" w14:paraId="10EB2638" w14:textId="77777777" w:rsidTr="005369B3">
        <w:trPr>
          <w:trHeight w:val="580"/>
          <w:jc w:val="center"/>
        </w:trPr>
        <w:tc>
          <w:tcPr>
            <w:tcW w:w="665" w:type="dxa"/>
            <w:tcBorders>
              <w:top w:val="nil"/>
              <w:left w:val="single" w:sz="4" w:space="0" w:color="auto"/>
              <w:bottom w:val="single" w:sz="4" w:space="0" w:color="auto"/>
              <w:right w:val="single" w:sz="4" w:space="0" w:color="auto"/>
            </w:tcBorders>
            <w:vAlign w:val="center"/>
            <w:hideMark/>
          </w:tcPr>
          <w:p w14:paraId="65035B8A" w14:textId="77777777" w:rsidR="005369B3" w:rsidRDefault="005369B3">
            <w:pPr>
              <w:jc w:val="center"/>
              <w:rPr>
                <w:rFonts w:ascii="Calibri" w:hAnsi="Calibri" w:cs="Calibri"/>
                <w:color w:val="000000"/>
                <w:sz w:val="22"/>
                <w:szCs w:val="22"/>
              </w:rPr>
            </w:pPr>
            <w:r>
              <w:rPr>
                <w:rFonts w:ascii="Calibri" w:hAnsi="Calibri" w:cs="Calibri"/>
                <w:color w:val="000000"/>
                <w:sz w:val="22"/>
                <w:szCs w:val="22"/>
              </w:rPr>
              <w:t>6711</w:t>
            </w:r>
          </w:p>
        </w:tc>
        <w:tc>
          <w:tcPr>
            <w:tcW w:w="4101" w:type="dxa"/>
            <w:tcBorders>
              <w:top w:val="nil"/>
              <w:left w:val="nil"/>
              <w:bottom w:val="single" w:sz="4" w:space="0" w:color="auto"/>
              <w:right w:val="single" w:sz="4" w:space="0" w:color="auto"/>
            </w:tcBorders>
            <w:vAlign w:val="center"/>
            <w:hideMark/>
          </w:tcPr>
          <w:p w14:paraId="4CDB9A7E" w14:textId="77777777" w:rsidR="005369B3" w:rsidRDefault="005369B3">
            <w:pPr>
              <w:rPr>
                <w:rFonts w:ascii="Calibri" w:hAnsi="Calibri" w:cs="Calibri"/>
                <w:sz w:val="22"/>
                <w:szCs w:val="22"/>
              </w:rPr>
            </w:pPr>
            <w:r>
              <w:rPr>
                <w:rFonts w:ascii="Calibri" w:hAnsi="Calibri" w:cs="Calibri"/>
                <w:sz w:val="22"/>
                <w:szCs w:val="22"/>
              </w:rPr>
              <w:t>Prihodi iz nadležnog proračuna za financiranje rashoda poslovanja -</w:t>
            </w:r>
            <w:r>
              <w:rPr>
                <w:rFonts w:ascii="Calibri" w:hAnsi="Calibri" w:cs="Calibri"/>
                <w:color w:val="4472C4"/>
                <w:sz w:val="22"/>
                <w:szCs w:val="22"/>
              </w:rPr>
              <w:t xml:space="preserve"> IŽ</w:t>
            </w:r>
          </w:p>
        </w:tc>
        <w:tc>
          <w:tcPr>
            <w:tcW w:w="1506" w:type="dxa"/>
            <w:tcBorders>
              <w:top w:val="nil"/>
              <w:left w:val="nil"/>
              <w:bottom w:val="single" w:sz="4" w:space="0" w:color="auto"/>
              <w:right w:val="single" w:sz="4" w:space="0" w:color="auto"/>
            </w:tcBorders>
            <w:vAlign w:val="bottom"/>
            <w:hideMark/>
          </w:tcPr>
          <w:p w14:paraId="1FC2BA0E" w14:textId="77777777" w:rsidR="005369B3" w:rsidRDefault="005369B3">
            <w:pPr>
              <w:jc w:val="right"/>
              <w:rPr>
                <w:rFonts w:ascii="Calibri" w:hAnsi="Calibri" w:cs="Calibri"/>
                <w:sz w:val="22"/>
                <w:szCs w:val="22"/>
              </w:rPr>
            </w:pPr>
            <w:r>
              <w:rPr>
                <w:rFonts w:ascii="Calibri" w:hAnsi="Calibri" w:cs="Calibri"/>
                <w:sz w:val="22"/>
                <w:szCs w:val="22"/>
              </w:rPr>
              <w:t>1.033.826,78</w:t>
            </w:r>
          </w:p>
        </w:tc>
        <w:tc>
          <w:tcPr>
            <w:tcW w:w="1506" w:type="dxa"/>
            <w:tcBorders>
              <w:top w:val="nil"/>
              <w:left w:val="nil"/>
              <w:bottom w:val="single" w:sz="4" w:space="0" w:color="auto"/>
              <w:right w:val="single" w:sz="4" w:space="0" w:color="auto"/>
            </w:tcBorders>
            <w:vAlign w:val="bottom"/>
            <w:hideMark/>
          </w:tcPr>
          <w:p w14:paraId="0C685C3E" w14:textId="77777777" w:rsidR="005369B3" w:rsidRDefault="005369B3">
            <w:pPr>
              <w:jc w:val="right"/>
              <w:rPr>
                <w:rFonts w:ascii="Calibri" w:hAnsi="Calibri" w:cs="Calibri"/>
                <w:sz w:val="22"/>
                <w:szCs w:val="22"/>
              </w:rPr>
            </w:pPr>
            <w:r>
              <w:rPr>
                <w:rFonts w:ascii="Calibri" w:hAnsi="Calibri" w:cs="Calibri"/>
                <w:sz w:val="22"/>
                <w:szCs w:val="22"/>
              </w:rPr>
              <w:t> </w:t>
            </w:r>
          </w:p>
        </w:tc>
        <w:tc>
          <w:tcPr>
            <w:tcW w:w="1506" w:type="dxa"/>
            <w:tcBorders>
              <w:top w:val="nil"/>
              <w:left w:val="nil"/>
              <w:bottom w:val="single" w:sz="4" w:space="0" w:color="auto"/>
              <w:right w:val="single" w:sz="4" w:space="0" w:color="auto"/>
            </w:tcBorders>
            <w:noWrap/>
            <w:vAlign w:val="bottom"/>
            <w:hideMark/>
          </w:tcPr>
          <w:p w14:paraId="1AA76FFF" w14:textId="77777777" w:rsidR="005369B3" w:rsidRDefault="005369B3">
            <w:pPr>
              <w:jc w:val="right"/>
              <w:rPr>
                <w:rFonts w:ascii="Calibri" w:hAnsi="Calibri" w:cs="Calibri"/>
                <w:color w:val="000000"/>
                <w:sz w:val="22"/>
                <w:szCs w:val="22"/>
              </w:rPr>
            </w:pPr>
            <w:r>
              <w:rPr>
                <w:rFonts w:ascii="Calibri" w:hAnsi="Calibri" w:cs="Calibri"/>
                <w:color w:val="000000"/>
                <w:sz w:val="22"/>
                <w:szCs w:val="22"/>
              </w:rPr>
              <w:t>881.149,19</w:t>
            </w:r>
          </w:p>
        </w:tc>
        <w:tc>
          <w:tcPr>
            <w:tcW w:w="877" w:type="dxa"/>
            <w:tcBorders>
              <w:top w:val="nil"/>
              <w:left w:val="nil"/>
              <w:bottom w:val="single" w:sz="4" w:space="0" w:color="auto"/>
              <w:right w:val="single" w:sz="4" w:space="0" w:color="auto"/>
            </w:tcBorders>
            <w:noWrap/>
            <w:vAlign w:val="bottom"/>
            <w:hideMark/>
          </w:tcPr>
          <w:p w14:paraId="24804954" w14:textId="77777777" w:rsidR="005369B3" w:rsidRDefault="005369B3">
            <w:pPr>
              <w:jc w:val="center"/>
              <w:rPr>
                <w:rFonts w:ascii="Calibri" w:hAnsi="Calibri" w:cs="Calibri"/>
                <w:color w:val="000000"/>
                <w:sz w:val="22"/>
                <w:szCs w:val="22"/>
              </w:rPr>
            </w:pPr>
            <w:r>
              <w:rPr>
                <w:rFonts w:ascii="Calibri" w:hAnsi="Calibri" w:cs="Calibri"/>
                <w:color w:val="000000"/>
                <w:sz w:val="22"/>
                <w:szCs w:val="22"/>
              </w:rPr>
              <w:t>85%</w:t>
            </w:r>
          </w:p>
        </w:tc>
        <w:tc>
          <w:tcPr>
            <w:tcW w:w="607" w:type="dxa"/>
            <w:tcBorders>
              <w:top w:val="nil"/>
              <w:left w:val="nil"/>
              <w:bottom w:val="single" w:sz="4" w:space="0" w:color="auto"/>
              <w:right w:val="single" w:sz="4" w:space="0" w:color="auto"/>
            </w:tcBorders>
            <w:noWrap/>
            <w:vAlign w:val="bottom"/>
            <w:hideMark/>
          </w:tcPr>
          <w:p w14:paraId="6889DE20" w14:textId="77777777" w:rsidR="005369B3" w:rsidRDefault="005369B3">
            <w:pPr>
              <w:jc w:val="center"/>
              <w:rPr>
                <w:rFonts w:ascii="Calibri" w:hAnsi="Calibri" w:cs="Calibri"/>
                <w:color w:val="000000"/>
                <w:sz w:val="22"/>
                <w:szCs w:val="22"/>
              </w:rPr>
            </w:pPr>
            <w:r>
              <w:rPr>
                <w:rFonts w:ascii="Calibri" w:hAnsi="Calibri" w:cs="Calibri"/>
                <w:color w:val="000000"/>
                <w:sz w:val="22"/>
                <w:szCs w:val="22"/>
              </w:rPr>
              <w:t> </w:t>
            </w:r>
          </w:p>
        </w:tc>
        <w:tc>
          <w:tcPr>
            <w:tcW w:w="222" w:type="dxa"/>
            <w:vAlign w:val="center"/>
            <w:hideMark/>
          </w:tcPr>
          <w:p w14:paraId="0C1B5DD3" w14:textId="77777777" w:rsidR="005369B3" w:rsidRDefault="005369B3">
            <w:pPr>
              <w:rPr>
                <w:sz w:val="20"/>
                <w:szCs w:val="20"/>
              </w:rPr>
            </w:pPr>
          </w:p>
        </w:tc>
      </w:tr>
      <w:tr w:rsidR="005369B3" w14:paraId="20436227" w14:textId="77777777" w:rsidTr="005369B3">
        <w:trPr>
          <w:trHeight w:val="540"/>
          <w:jc w:val="center"/>
        </w:trPr>
        <w:tc>
          <w:tcPr>
            <w:tcW w:w="665" w:type="dxa"/>
            <w:tcBorders>
              <w:top w:val="nil"/>
              <w:left w:val="single" w:sz="4" w:space="0" w:color="auto"/>
              <w:bottom w:val="single" w:sz="4" w:space="0" w:color="auto"/>
              <w:right w:val="single" w:sz="4" w:space="0" w:color="auto"/>
            </w:tcBorders>
            <w:vAlign w:val="center"/>
            <w:hideMark/>
          </w:tcPr>
          <w:p w14:paraId="2825FF86" w14:textId="77777777" w:rsidR="005369B3" w:rsidRDefault="005369B3">
            <w:pPr>
              <w:jc w:val="center"/>
              <w:rPr>
                <w:rFonts w:ascii="Calibri" w:hAnsi="Calibri" w:cs="Calibri"/>
                <w:color w:val="000000"/>
                <w:sz w:val="22"/>
                <w:szCs w:val="22"/>
              </w:rPr>
            </w:pPr>
            <w:r>
              <w:rPr>
                <w:rFonts w:ascii="Calibri" w:hAnsi="Calibri" w:cs="Calibri"/>
                <w:color w:val="000000"/>
                <w:sz w:val="22"/>
                <w:szCs w:val="22"/>
              </w:rPr>
              <w:t>6712</w:t>
            </w:r>
          </w:p>
        </w:tc>
        <w:tc>
          <w:tcPr>
            <w:tcW w:w="4101" w:type="dxa"/>
            <w:tcBorders>
              <w:top w:val="nil"/>
              <w:left w:val="nil"/>
              <w:bottom w:val="single" w:sz="4" w:space="0" w:color="auto"/>
              <w:right w:val="single" w:sz="4" w:space="0" w:color="auto"/>
            </w:tcBorders>
            <w:vAlign w:val="center"/>
            <w:hideMark/>
          </w:tcPr>
          <w:p w14:paraId="54C86E9A" w14:textId="77777777" w:rsidR="005369B3" w:rsidRDefault="005369B3">
            <w:pPr>
              <w:rPr>
                <w:rFonts w:ascii="Calibri" w:hAnsi="Calibri" w:cs="Calibri"/>
                <w:sz w:val="22"/>
                <w:szCs w:val="22"/>
              </w:rPr>
            </w:pPr>
            <w:r>
              <w:rPr>
                <w:rFonts w:ascii="Calibri" w:hAnsi="Calibri" w:cs="Calibri"/>
                <w:sz w:val="22"/>
                <w:szCs w:val="22"/>
              </w:rPr>
              <w:t xml:space="preserve">Prihodi iz nadležnog proračuna za </w:t>
            </w:r>
            <w:proofErr w:type="spellStart"/>
            <w:r>
              <w:rPr>
                <w:rFonts w:ascii="Calibri" w:hAnsi="Calibri" w:cs="Calibri"/>
                <w:sz w:val="22"/>
                <w:szCs w:val="22"/>
              </w:rPr>
              <w:t>financ</w:t>
            </w:r>
            <w:proofErr w:type="spellEnd"/>
            <w:r>
              <w:rPr>
                <w:rFonts w:ascii="Calibri" w:hAnsi="Calibri" w:cs="Calibri"/>
                <w:sz w:val="22"/>
                <w:szCs w:val="22"/>
              </w:rPr>
              <w:t xml:space="preserve">. rashoda za nabavu </w:t>
            </w:r>
            <w:proofErr w:type="spellStart"/>
            <w:r>
              <w:rPr>
                <w:rFonts w:ascii="Calibri" w:hAnsi="Calibri" w:cs="Calibri"/>
                <w:sz w:val="22"/>
                <w:szCs w:val="22"/>
              </w:rPr>
              <w:t>nefinanc</w:t>
            </w:r>
            <w:proofErr w:type="spellEnd"/>
            <w:r>
              <w:rPr>
                <w:rFonts w:ascii="Calibri" w:hAnsi="Calibri" w:cs="Calibri"/>
                <w:sz w:val="22"/>
                <w:szCs w:val="22"/>
              </w:rPr>
              <w:t xml:space="preserve">. imovine - </w:t>
            </w:r>
            <w:r>
              <w:rPr>
                <w:rFonts w:ascii="Calibri" w:hAnsi="Calibri" w:cs="Calibri"/>
                <w:color w:val="0066CC"/>
                <w:sz w:val="22"/>
                <w:szCs w:val="22"/>
              </w:rPr>
              <w:t>IŽ</w:t>
            </w:r>
          </w:p>
        </w:tc>
        <w:tc>
          <w:tcPr>
            <w:tcW w:w="1506" w:type="dxa"/>
            <w:tcBorders>
              <w:top w:val="nil"/>
              <w:left w:val="nil"/>
              <w:bottom w:val="single" w:sz="4" w:space="0" w:color="auto"/>
              <w:right w:val="single" w:sz="4" w:space="0" w:color="auto"/>
            </w:tcBorders>
            <w:vAlign w:val="bottom"/>
            <w:hideMark/>
          </w:tcPr>
          <w:p w14:paraId="2847E942" w14:textId="77777777" w:rsidR="005369B3" w:rsidRDefault="005369B3">
            <w:pPr>
              <w:jc w:val="right"/>
              <w:rPr>
                <w:rFonts w:ascii="Calibri" w:hAnsi="Calibri" w:cs="Calibri"/>
                <w:sz w:val="22"/>
                <w:szCs w:val="22"/>
              </w:rPr>
            </w:pPr>
            <w:r>
              <w:rPr>
                <w:rFonts w:ascii="Calibri" w:hAnsi="Calibri" w:cs="Calibri"/>
                <w:sz w:val="22"/>
                <w:szCs w:val="22"/>
              </w:rPr>
              <w:t>445.216,00</w:t>
            </w:r>
          </w:p>
        </w:tc>
        <w:tc>
          <w:tcPr>
            <w:tcW w:w="1506" w:type="dxa"/>
            <w:tcBorders>
              <w:top w:val="nil"/>
              <w:left w:val="nil"/>
              <w:bottom w:val="single" w:sz="4" w:space="0" w:color="auto"/>
              <w:right w:val="single" w:sz="4" w:space="0" w:color="auto"/>
            </w:tcBorders>
            <w:shd w:val="clear" w:color="000000" w:fill="FFFFFF"/>
            <w:vAlign w:val="bottom"/>
            <w:hideMark/>
          </w:tcPr>
          <w:p w14:paraId="69CC3E40" w14:textId="77777777" w:rsidR="005369B3" w:rsidRDefault="005369B3">
            <w:pPr>
              <w:jc w:val="right"/>
              <w:rPr>
                <w:rFonts w:ascii="Calibri" w:hAnsi="Calibri" w:cs="Calibri"/>
                <w:sz w:val="22"/>
                <w:szCs w:val="22"/>
              </w:rPr>
            </w:pPr>
            <w:r>
              <w:rPr>
                <w:rFonts w:ascii="Calibri" w:hAnsi="Calibri" w:cs="Calibri"/>
                <w:sz w:val="22"/>
                <w:szCs w:val="22"/>
              </w:rPr>
              <w:t> </w:t>
            </w:r>
          </w:p>
        </w:tc>
        <w:tc>
          <w:tcPr>
            <w:tcW w:w="1506" w:type="dxa"/>
            <w:tcBorders>
              <w:top w:val="nil"/>
              <w:left w:val="nil"/>
              <w:bottom w:val="single" w:sz="4" w:space="0" w:color="auto"/>
              <w:right w:val="single" w:sz="4" w:space="0" w:color="auto"/>
            </w:tcBorders>
            <w:noWrap/>
            <w:vAlign w:val="bottom"/>
            <w:hideMark/>
          </w:tcPr>
          <w:p w14:paraId="5B7CFCB5" w14:textId="77777777" w:rsidR="005369B3" w:rsidRDefault="005369B3">
            <w:pPr>
              <w:jc w:val="right"/>
              <w:rPr>
                <w:rFonts w:ascii="Calibri" w:hAnsi="Calibri" w:cs="Calibri"/>
                <w:color w:val="000000"/>
                <w:sz w:val="22"/>
                <w:szCs w:val="22"/>
              </w:rPr>
            </w:pPr>
            <w:r>
              <w:rPr>
                <w:rFonts w:ascii="Calibri" w:hAnsi="Calibri" w:cs="Calibri"/>
                <w:color w:val="000000"/>
                <w:sz w:val="22"/>
                <w:szCs w:val="22"/>
              </w:rPr>
              <w:t>550.729,11</w:t>
            </w:r>
          </w:p>
        </w:tc>
        <w:tc>
          <w:tcPr>
            <w:tcW w:w="877" w:type="dxa"/>
            <w:tcBorders>
              <w:top w:val="nil"/>
              <w:left w:val="nil"/>
              <w:bottom w:val="single" w:sz="4" w:space="0" w:color="auto"/>
              <w:right w:val="single" w:sz="4" w:space="0" w:color="auto"/>
            </w:tcBorders>
            <w:noWrap/>
            <w:vAlign w:val="bottom"/>
            <w:hideMark/>
          </w:tcPr>
          <w:p w14:paraId="64F79553" w14:textId="77777777" w:rsidR="005369B3" w:rsidRDefault="005369B3">
            <w:pPr>
              <w:jc w:val="center"/>
              <w:rPr>
                <w:rFonts w:ascii="Calibri" w:hAnsi="Calibri" w:cs="Calibri"/>
                <w:color w:val="000000"/>
                <w:sz w:val="22"/>
                <w:szCs w:val="22"/>
              </w:rPr>
            </w:pPr>
            <w:r>
              <w:rPr>
                <w:rFonts w:ascii="Calibri" w:hAnsi="Calibri" w:cs="Calibri"/>
                <w:color w:val="000000"/>
                <w:sz w:val="22"/>
                <w:szCs w:val="22"/>
              </w:rPr>
              <w:t>124%</w:t>
            </w:r>
          </w:p>
        </w:tc>
        <w:tc>
          <w:tcPr>
            <w:tcW w:w="607" w:type="dxa"/>
            <w:tcBorders>
              <w:top w:val="nil"/>
              <w:left w:val="nil"/>
              <w:bottom w:val="single" w:sz="4" w:space="0" w:color="auto"/>
              <w:right w:val="single" w:sz="4" w:space="0" w:color="auto"/>
            </w:tcBorders>
            <w:noWrap/>
            <w:vAlign w:val="bottom"/>
            <w:hideMark/>
          </w:tcPr>
          <w:p w14:paraId="09288EBC" w14:textId="77777777" w:rsidR="005369B3" w:rsidRDefault="005369B3">
            <w:pPr>
              <w:jc w:val="center"/>
              <w:rPr>
                <w:rFonts w:ascii="Calibri" w:hAnsi="Calibri" w:cs="Calibri"/>
                <w:color w:val="000000"/>
                <w:sz w:val="22"/>
                <w:szCs w:val="22"/>
              </w:rPr>
            </w:pPr>
            <w:r>
              <w:rPr>
                <w:rFonts w:ascii="Calibri" w:hAnsi="Calibri" w:cs="Calibri"/>
                <w:color w:val="000000"/>
                <w:sz w:val="22"/>
                <w:szCs w:val="22"/>
              </w:rPr>
              <w:t> </w:t>
            </w:r>
          </w:p>
        </w:tc>
        <w:tc>
          <w:tcPr>
            <w:tcW w:w="222" w:type="dxa"/>
            <w:vAlign w:val="center"/>
            <w:hideMark/>
          </w:tcPr>
          <w:p w14:paraId="73F88641" w14:textId="77777777" w:rsidR="005369B3" w:rsidRDefault="005369B3">
            <w:pPr>
              <w:rPr>
                <w:sz w:val="20"/>
                <w:szCs w:val="20"/>
              </w:rPr>
            </w:pPr>
          </w:p>
        </w:tc>
      </w:tr>
      <w:tr w:rsidR="005369B3" w14:paraId="7601D8E5" w14:textId="77777777" w:rsidTr="005369B3">
        <w:trPr>
          <w:trHeight w:val="290"/>
          <w:jc w:val="center"/>
        </w:trPr>
        <w:tc>
          <w:tcPr>
            <w:tcW w:w="665" w:type="dxa"/>
            <w:tcBorders>
              <w:top w:val="nil"/>
              <w:left w:val="single" w:sz="4" w:space="0" w:color="auto"/>
              <w:bottom w:val="single" w:sz="4" w:space="0" w:color="auto"/>
              <w:right w:val="single" w:sz="4" w:space="0" w:color="auto"/>
            </w:tcBorders>
            <w:vAlign w:val="center"/>
            <w:hideMark/>
          </w:tcPr>
          <w:p w14:paraId="5419336E" w14:textId="77777777" w:rsidR="005369B3" w:rsidRDefault="005369B3">
            <w:pPr>
              <w:jc w:val="center"/>
              <w:rPr>
                <w:rFonts w:ascii="Calibri" w:hAnsi="Calibri" w:cs="Calibri"/>
                <w:b/>
                <w:bCs/>
                <w:color w:val="000000"/>
                <w:sz w:val="22"/>
                <w:szCs w:val="22"/>
              </w:rPr>
            </w:pPr>
            <w:r>
              <w:rPr>
                <w:rFonts w:ascii="Calibri" w:hAnsi="Calibri" w:cs="Calibri"/>
                <w:b/>
                <w:bCs/>
                <w:color w:val="000000"/>
                <w:sz w:val="22"/>
                <w:szCs w:val="22"/>
              </w:rPr>
              <w:t>673</w:t>
            </w:r>
          </w:p>
        </w:tc>
        <w:tc>
          <w:tcPr>
            <w:tcW w:w="4101" w:type="dxa"/>
            <w:tcBorders>
              <w:top w:val="nil"/>
              <w:left w:val="nil"/>
              <w:bottom w:val="single" w:sz="4" w:space="0" w:color="auto"/>
              <w:right w:val="single" w:sz="4" w:space="0" w:color="auto"/>
            </w:tcBorders>
            <w:vAlign w:val="center"/>
            <w:hideMark/>
          </w:tcPr>
          <w:p w14:paraId="65D6E4D1" w14:textId="77777777" w:rsidR="005369B3" w:rsidRDefault="005369B3">
            <w:pPr>
              <w:rPr>
                <w:rFonts w:ascii="Calibri" w:hAnsi="Calibri" w:cs="Calibri"/>
                <w:b/>
                <w:bCs/>
                <w:sz w:val="22"/>
                <w:szCs w:val="22"/>
              </w:rPr>
            </w:pPr>
            <w:r>
              <w:rPr>
                <w:rFonts w:ascii="Calibri" w:hAnsi="Calibri" w:cs="Calibri"/>
                <w:b/>
                <w:bCs/>
                <w:sz w:val="22"/>
                <w:szCs w:val="22"/>
              </w:rPr>
              <w:t>Prihodi HZZO na temelju ugovornih obveza</w:t>
            </w:r>
          </w:p>
        </w:tc>
        <w:tc>
          <w:tcPr>
            <w:tcW w:w="1506" w:type="dxa"/>
            <w:tcBorders>
              <w:top w:val="nil"/>
              <w:left w:val="nil"/>
              <w:bottom w:val="single" w:sz="4" w:space="0" w:color="auto"/>
              <w:right w:val="single" w:sz="4" w:space="0" w:color="auto"/>
            </w:tcBorders>
            <w:vAlign w:val="bottom"/>
            <w:hideMark/>
          </w:tcPr>
          <w:p w14:paraId="00150850" w14:textId="77777777" w:rsidR="005369B3" w:rsidRDefault="005369B3">
            <w:pPr>
              <w:jc w:val="right"/>
              <w:rPr>
                <w:rFonts w:ascii="Calibri" w:hAnsi="Calibri" w:cs="Calibri"/>
                <w:b/>
                <w:bCs/>
                <w:sz w:val="22"/>
                <w:szCs w:val="22"/>
              </w:rPr>
            </w:pPr>
            <w:r>
              <w:rPr>
                <w:rFonts w:ascii="Calibri" w:hAnsi="Calibri" w:cs="Calibri"/>
                <w:b/>
                <w:bCs/>
                <w:sz w:val="22"/>
                <w:szCs w:val="22"/>
              </w:rPr>
              <w:t>21.636.633,91</w:t>
            </w:r>
          </w:p>
        </w:tc>
        <w:tc>
          <w:tcPr>
            <w:tcW w:w="1506" w:type="dxa"/>
            <w:tcBorders>
              <w:top w:val="nil"/>
              <w:left w:val="nil"/>
              <w:bottom w:val="single" w:sz="4" w:space="0" w:color="auto"/>
              <w:right w:val="single" w:sz="4" w:space="0" w:color="auto"/>
            </w:tcBorders>
            <w:vAlign w:val="bottom"/>
            <w:hideMark/>
          </w:tcPr>
          <w:p w14:paraId="41EC8522" w14:textId="77777777" w:rsidR="005369B3" w:rsidRDefault="005369B3">
            <w:pPr>
              <w:rPr>
                <w:rFonts w:ascii="Calibri" w:hAnsi="Calibri" w:cs="Calibri"/>
                <w:b/>
                <w:bCs/>
                <w:sz w:val="22"/>
                <w:szCs w:val="22"/>
              </w:rPr>
            </w:pPr>
            <w:r>
              <w:rPr>
                <w:rFonts w:ascii="Calibri" w:hAnsi="Calibri" w:cs="Calibri"/>
                <w:b/>
                <w:bCs/>
                <w:sz w:val="22"/>
                <w:szCs w:val="22"/>
              </w:rPr>
              <w:t> </w:t>
            </w:r>
          </w:p>
        </w:tc>
        <w:tc>
          <w:tcPr>
            <w:tcW w:w="1506" w:type="dxa"/>
            <w:tcBorders>
              <w:top w:val="nil"/>
              <w:left w:val="nil"/>
              <w:bottom w:val="single" w:sz="4" w:space="0" w:color="auto"/>
              <w:right w:val="single" w:sz="4" w:space="0" w:color="auto"/>
            </w:tcBorders>
            <w:vAlign w:val="bottom"/>
            <w:hideMark/>
          </w:tcPr>
          <w:p w14:paraId="29BC394E" w14:textId="77777777" w:rsidR="005369B3" w:rsidRDefault="005369B3">
            <w:pPr>
              <w:jc w:val="right"/>
              <w:rPr>
                <w:rFonts w:ascii="Calibri" w:hAnsi="Calibri" w:cs="Calibri"/>
                <w:b/>
                <w:bCs/>
                <w:sz w:val="22"/>
                <w:szCs w:val="22"/>
              </w:rPr>
            </w:pPr>
            <w:r>
              <w:rPr>
                <w:rFonts w:ascii="Calibri" w:hAnsi="Calibri" w:cs="Calibri"/>
                <w:b/>
                <w:bCs/>
                <w:sz w:val="22"/>
                <w:szCs w:val="22"/>
              </w:rPr>
              <w:t>25.294.651,78</w:t>
            </w:r>
          </w:p>
        </w:tc>
        <w:tc>
          <w:tcPr>
            <w:tcW w:w="877" w:type="dxa"/>
            <w:tcBorders>
              <w:top w:val="nil"/>
              <w:left w:val="nil"/>
              <w:bottom w:val="single" w:sz="4" w:space="0" w:color="auto"/>
              <w:right w:val="single" w:sz="4" w:space="0" w:color="auto"/>
            </w:tcBorders>
            <w:noWrap/>
            <w:vAlign w:val="bottom"/>
            <w:hideMark/>
          </w:tcPr>
          <w:p w14:paraId="34EF1F2E" w14:textId="77777777" w:rsidR="005369B3" w:rsidRDefault="005369B3">
            <w:pPr>
              <w:jc w:val="center"/>
              <w:rPr>
                <w:rFonts w:ascii="Calibri" w:hAnsi="Calibri" w:cs="Calibri"/>
                <w:b/>
                <w:bCs/>
                <w:color w:val="000000"/>
                <w:sz w:val="22"/>
                <w:szCs w:val="22"/>
              </w:rPr>
            </w:pPr>
            <w:r>
              <w:rPr>
                <w:rFonts w:ascii="Calibri" w:hAnsi="Calibri" w:cs="Calibri"/>
                <w:b/>
                <w:bCs/>
                <w:color w:val="000000"/>
                <w:sz w:val="22"/>
                <w:szCs w:val="22"/>
              </w:rPr>
              <w:t>117%</w:t>
            </w:r>
          </w:p>
        </w:tc>
        <w:tc>
          <w:tcPr>
            <w:tcW w:w="607" w:type="dxa"/>
            <w:tcBorders>
              <w:top w:val="nil"/>
              <w:left w:val="nil"/>
              <w:bottom w:val="single" w:sz="4" w:space="0" w:color="auto"/>
              <w:right w:val="single" w:sz="4" w:space="0" w:color="auto"/>
            </w:tcBorders>
            <w:noWrap/>
            <w:vAlign w:val="bottom"/>
            <w:hideMark/>
          </w:tcPr>
          <w:p w14:paraId="548C0A3E" w14:textId="77777777" w:rsidR="005369B3" w:rsidRDefault="005369B3">
            <w:pPr>
              <w:jc w:val="center"/>
              <w:rPr>
                <w:rFonts w:ascii="Calibri" w:hAnsi="Calibri" w:cs="Calibri"/>
                <w:b/>
                <w:bCs/>
                <w:color w:val="000000"/>
                <w:sz w:val="22"/>
                <w:szCs w:val="22"/>
              </w:rPr>
            </w:pPr>
            <w:r>
              <w:rPr>
                <w:rFonts w:ascii="Calibri" w:hAnsi="Calibri" w:cs="Calibri"/>
                <w:b/>
                <w:bCs/>
                <w:color w:val="000000"/>
                <w:sz w:val="22"/>
                <w:szCs w:val="22"/>
              </w:rPr>
              <w:t> </w:t>
            </w:r>
          </w:p>
        </w:tc>
        <w:tc>
          <w:tcPr>
            <w:tcW w:w="222" w:type="dxa"/>
            <w:vAlign w:val="center"/>
            <w:hideMark/>
          </w:tcPr>
          <w:p w14:paraId="1B71C0E5" w14:textId="77777777" w:rsidR="005369B3" w:rsidRDefault="005369B3">
            <w:pPr>
              <w:rPr>
                <w:sz w:val="20"/>
                <w:szCs w:val="20"/>
              </w:rPr>
            </w:pPr>
          </w:p>
        </w:tc>
      </w:tr>
      <w:tr w:rsidR="005369B3" w14:paraId="322B8C9C" w14:textId="77777777" w:rsidTr="005369B3">
        <w:trPr>
          <w:trHeight w:val="580"/>
          <w:jc w:val="center"/>
        </w:trPr>
        <w:tc>
          <w:tcPr>
            <w:tcW w:w="665" w:type="dxa"/>
            <w:tcBorders>
              <w:top w:val="nil"/>
              <w:left w:val="single" w:sz="4" w:space="0" w:color="auto"/>
              <w:bottom w:val="single" w:sz="4" w:space="0" w:color="auto"/>
              <w:right w:val="single" w:sz="4" w:space="0" w:color="auto"/>
            </w:tcBorders>
            <w:shd w:val="clear" w:color="000000" w:fill="FFFFFF"/>
            <w:noWrap/>
            <w:vAlign w:val="bottom"/>
            <w:hideMark/>
          </w:tcPr>
          <w:p w14:paraId="3FEAC2E0" w14:textId="77777777" w:rsidR="005369B3" w:rsidRDefault="005369B3">
            <w:pPr>
              <w:jc w:val="center"/>
              <w:rPr>
                <w:rFonts w:ascii="Calibri" w:hAnsi="Calibri" w:cs="Calibri"/>
                <w:sz w:val="22"/>
                <w:szCs w:val="22"/>
              </w:rPr>
            </w:pPr>
            <w:r>
              <w:rPr>
                <w:rFonts w:ascii="Calibri" w:hAnsi="Calibri" w:cs="Calibri"/>
                <w:sz w:val="22"/>
                <w:szCs w:val="22"/>
              </w:rPr>
              <w:t>6731</w:t>
            </w:r>
          </w:p>
        </w:tc>
        <w:tc>
          <w:tcPr>
            <w:tcW w:w="4101" w:type="dxa"/>
            <w:tcBorders>
              <w:top w:val="nil"/>
              <w:left w:val="nil"/>
              <w:bottom w:val="single" w:sz="4" w:space="0" w:color="auto"/>
              <w:right w:val="single" w:sz="4" w:space="0" w:color="auto"/>
            </w:tcBorders>
            <w:vAlign w:val="bottom"/>
            <w:hideMark/>
          </w:tcPr>
          <w:p w14:paraId="2C42E49E" w14:textId="77777777" w:rsidR="005369B3" w:rsidRDefault="005369B3">
            <w:pPr>
              <w:rPr>
                <w:rFonts w:ascii="Calibri" w:hAnsi="Calibri" w:cs="Calibri"/>
                <w:sz w:val="22"/>
                <w:szCs w:val="22"/>
              </w:rPr>
            </w:pPr>
            <w:r>
              <w:rPr>
                <w:rFonts w:ascii="Calibri" w:hAnsi="Calibri" w:cs="Calibri"/>
                <w:sz w:val="22"/>
                <w:szCs w:val="22"/>
              </w:rPr>
              <w:t xml:space="preserve">Prihodi od HZZO-a na temelju ugovornih obveza </w:t>
            </w:r>
          </w:p>
        </w:tc>
        <w:tc>
          <w:tcPr>
            <w:tcW w:w="1506" w:type="dxa"/>
            <w:tcBorders>
              <w:top w:val="nil"/>
              <w:left w:val="nil"/>
              <w:bottom w:val="single" w:sz="4" w:space="0" w:color="auto"/>
              <w:right w:val="single" w:sz="4" w:space="0" w:color="auto"/>
            </w:tcBorders>
            <w:shd w:val="clear" w:color="000000" w:fill="FFFFFF"/>
            <w:vAlign w:val="bottom"/>
            <w:hideMark/>
          </w:tcPr>
          <w:p w14:paraId="1D4941B0" w14:textId="77777777" w:rsidR="005369B3" w:rsidRDefault="005369B3">
            <w:pPr>
              <w:jc w:val="right"/>
              <w:rPr>
                <w:rFonts w:ascii="Calibri" w:hAnsi="Calibri" w:cs="Calibri"/>
                <w:sz w:val="22"/>
                <w:szCs w:val="22"/>
              </w:rPr>
            </w:pPr>
            <w:r>
              <w:rPr>
                <w:rFonts w:ascii="Calibri" w:hAnsi="Calibri" w:cs="Calibri"/>
                <w:sz w:val="22"/>
                <w:szCs w:val="22"/>
              </w:rPr>
              <w:t>21.636.633,91</w:t>
            </w:r>
          </w:p>
        </w:tc>
        <w:tc>
          <w:tcPr>
            <w:tcW w:w="1506" w:type="dxa"/>
            <w:tcBorders>
              <w:top w:val="nil"/>
              <w:left w:val="nil"/>
              <w:bottom w:val="single" w:sz="4" w:space="0" w:color="auto"/>
              <w:right w:val="single" w:sz="4" w:space="0" w:color="auto"/>
            </w:tcBorders>
            <w:shd w:val="clear" w:color="000000" w:fill="FFFFFF"/>
            <w:vAlign w:val="bottom"/>
            <w:hideMark/>
          </w:tcPr>
          <w:p w14:paraId="1E69D0EF" w14:textId="77777777" w:rsidR="005369B3" w:rsidRDefault="005369B3">
            <w:pPr>
              <w:jc w:val="right"/>
              <w:rPr>
                <w:rFonts w:ascii="Calibri" w:hAnsi="Calibri" w:cs="Calibri"/>
                <w:sz w:val="22"/>
                <w:szCs w:val="22"/>
              </w:rPr>
            </w:pPr>
            <w:r>
              <w:rPr>
                <w:rFonts w:ascii="Calibri" w:hAnsi="Calibri" w:cs="Calibri"/>
                <w:sz w:val="22"/>
                <w:szCs w:val="22"/>
              </w:rPr>
              <w:t> </w:t>
            </w:r>
          </w:p>
        </w:tc>
        <w:tc>
          <w:tcPr>
            <w:tcW w:w="1506" w:type="dxa"/>
            <w:tcBorders>
              <w:top w:val="nil"/>
              <w:left w:val="nil"/>
              <w:bottom w:val="single" w:sz="4" w:space="0" w:color="auto"/>
              <w:right w:val="single" w:sz="4" w:space="0" w:color="auto"/>
            </w:tcBorders>
            <w:vAlign w:val="bottom"/>
            <w:hideMark/>
          </w:tcPr>
          <w:p w14:paraId="5C812C0D" w14:textId="77777777" w:rsidR="005369B3" w:rsidRDefault="005369B3">
            <w:pPr>
              <w:jc w:val="right"/>
              <w:rPr>
                <w:rFonts w:ascii="Calibri" w:hAnsi="Calibri" w:cs="Calibri"/>
                <w:sz w:val="22"/>
                <w:szCs w:val="22"/>
              </w:rPr>
            </w:pPr>
            <w:r>
              <w:rPr>
                <w:rFonts w:ascii="Calibri" w:hAnsi="Calibri" w:cs="Calibri"/>
                <w:sz w:val="22"/>
                <w:szCs w:val="22"/>
              </w:rPr>
              <w:t>25.294.651,78</w:t>
            </w:r>
          </w:p>
        </w:tc>
        <w:tc>
          <w:tcPr>
            <w:tcW w:w="877" w:type="dxa"/>
            <w:tcBorders>
              <w:top w:val="nil"/>
              <w:left w:val="nil"/>
              <w:bottom w:val="single" w:sz="4" w:space="0" w:color="auto"/>
              <w:right w:val="single" w:sz="4" w:space="0" w:color="auto"/>
            </w:tcBorders>
            <w:noWrap/>
            <w:vAlign w:val="bottom"/>
            <w:hideMark/>
          </w:tcPr>
          <w:p w14:paraId="6283D6A5" w14:textId="77777777" w:rsidR="005369B3" w:rsidRDefault="005369B3">
            <w:pPr>
              <w:jc w:val="center"/>
              <w:rPr>
                <w:rFonts w:ascii="Calibri" w:hAnsi="Calibri" w:cs="Calibri"/>
                <w:color w:val="000000"/>
                <w:sz w:val="22"/>
                <w:szCs w:val="22"/>
              </w:rPr>
            </w:pPr>
            <w:r>
              <w:rPr>
                <w:rFonts w:ascii="Calibri" w:hAnsi="Calibri" w:cs="Calibri"/>
                <w:color w:val="000000"/>
                <w:sz w:val="22"/>
                <w:szCs w:val="22"/>
              </w:rPr>
              <w:t>117%</w:t>
            </w:r>
          </w:p>
        </w:tc>
        <w:tc>
          <w:tcPr>
            <w:tcW w:w="607" w:type="dxa"/>
            <w:tcBorders>
              <w:top w:val="nil"/>
              <w:left w:val="nil"/>
              <w:bottom w:val="single" w:sz="4" w:space="0" w:color="auto"/>
              <w:right w:val="single" w:sz="4" w:space="0" w:color="auto"/>
            </w:tcBorders>
            <w:noWrap/>
            <w:vAlign w:val="bottom"/>
            <w:hideMark/>
          </w:tcPr>
          <w:p w14:paraId="76CE75AB" w14:textId="77777777" w:rsidR="005369B3" w:rsidRDefault="005369B3">
            <w:pPr>
              <w:jc w:val="center"/>
              <w:rPr>
                <w:rFonts w:ascii="Calibri" w:hAnsi="Calibri" w:cs="Calibri"/>
                <w:color w:val="000000"/>
                <w:sz w:val="22"/>
                <w:szCs w:val="22"/>
              </w:rPr>
            </w:pPr>
            <w:r>
              <w:rPr>
                <w:rFonts w:ascii="Calibri" w:hAnsi="Calibri" w:cs="Calibri"/>
                <w:color w:val="000000"/>
                <w:sz w:val="22"/>
                <w:szCs w:val="22"/>
              </w:rPr>
              <w:t> </w:t>
            </w:r>
          </w:p>
        </w:tc>
        <w:tc>
          <w:tcPr>
            <w:tcW w:w="222" w:type="dxa"/>
            <w:vAlign w:val="center"/>
            <w:hideMark/>
          </w:tcPr>
          <w:p w14:paraId="69851961" w14:textId="77777777" w:rsidR="005369B3" w:rsidRDefault="005369B3">
            <w:pPr>
              <w:rPr>
                <w:sz w:val="20"/>
                <w:szCs w:val="20"/>
              </w:rPr>
            </w:pPr>
          </w:p>
        </w:tc>
      </w:tr>
      <w:tr w:rsidR="005369B3" w14:paraId="7809FA89" w14:textId="77777777" w:rsidTr="005369B3">
        <w:trPr>
          <w:trHeight w:val="290"/>
          <w:jc w:val="center"/>
        </w:trPr>
        <w:tc>
          <w:tcPr>
            <w:tcW w:w="665" w:type="dxa"/>
            <w:tcBorders>
              <w:top w:val="nil"/>
              <w:left w:val="single" w:sz="4" w:space="0" w:color="auto"/>
              <w:bottom w:val="single" w:sz="4" w:space="0" w:color="auto"/>
              <w:right w:val="single" w:sz="4" w:space="0" w:color="auto"/>
            </w:tcBorders>
            <w:shd w:val="clear" w:color="000000" w:fill="D9D9D9"/>
            <w:noWrap/>
            <w:vAlign w:val="bottom"/>
            <w:hideMark/>
          </w:tcPr>
          <w:p w14:paraId="4BBE0580" w14:textId="77777777" w:rsidR="005369B3" w:rsidRDefault="005369B3">
            <w:pPr>
              <w:jc w:val="center"/>
              <w:rPr>
                <w:rFonts w:ascii="Calibri" w:hAnsi="Calibri" w:cs="Calibri"/>
                <w:b/>
                <w:bCs/>
                <w:sz w:val="22"/>
                <w:szCs w:val="22"/>
              </w:rPr>
            </w:pPr>
            <w:r>
              <w:rPr>
                <w:rFonts w:ascii="Calibri" w:hAnsi="Calibri" w:cs="Calibri"/>
                <w:b/>
                <w:bCs/>
                <w:sz w:val="22"/>
                <w:szCs w:val="22"/>
              </w:rPr>
              <w:t>68</w:t>
            </w:r>
          </w:p>
        </w:tc>
        <w:tc>
          <w:tcPr>
            <w:tcW w:w="4101" w:type="dxa"/>
            <w:tcBorders>
              <w:top w:val="nil"/>
              <w:left w:val="nil"/>
              <w:bottom w:val="single" w:sz="4" w:space="0" w:color="auto"/>
              <w:right w:val="single" w:sz="4" w:space="0" w:color="auto"/>
            </w:tcBorders>
            <w:shd w:val="clear" w:color="000000" w:fill="D9D9D9"/>
            <w:vAlign w:val="bottom"/>
            <w:hideMark/>
          </w:tcPr>
          <w:p w14:paraId="53E5EE9E" w14:textId="77777777" w:rsidR="005369B3" w:rsidRDefault="005369B3">
            <w:pPr>
              <w:rPr>
                <w:rFonts w:ascii="Calibri" w:hAnsi="Calibri" w:cs="Calibri"/>
                <w:b/>
                <w:bCs/>
                <w:sz w:val="22"/>
                <w:szCs w:val="22"/>
              </w:rPr>
            </w:pPr>
            <w:r>
              <w:rPr>
                <w:rFonts w:ascii="Calibri" w:hAnsi="Calibri" w:cs="Calibri"/>
                <w:b/>
                <w:bCs/>
                <w:sz w:val="22"/>
                <w:szCs w:val="22"/>
              </w:rPr>
              <w:t>KAZNE, UPRAVNE MJERE I OSTALI PRIHODI</w:t>
            </w:r>
          </w:p>
        </w:tc>
        <w:tc>
          <w:tcPr>
            <w:tcW w:w="1506" w:type="dxa"/>
            <w:tcBorders>
              <w:top w:val="nil"/>
              <w:left w:val="nil"/>
              <w:bottom w:val="single" w:sz="4" w:space="0" w:color="auto"/>
              <w:right w:val="single" w:sz="4" w:space="0" w:color="auto"/>
            </w:tcBorders>
            <w:shd w:val="clear" w:color="000000" w:fill="D9D9D9"/>
            <w:vAlign w:val="bottom"/>
            <w:hideMark/>
          </w:tcPr>
          <w:p w14:paraId="37000B8D" w14:textId="77777777" w:rsidR="005369B3" w:rsidRDefault="005369B3">
            <w:pPr>
              <w:jc w:val="right"/>
              <w:rPr>
                <w:rFonts w:ascii="Calibri" w:hAnsi="Calibri" w:cs="Calibri"/>
                <w:b/>
                <w:bCs/>
                <w:sz w:val="22"/>
                <w:szCs w:val="22"/>
              </w:rPr>
            </w:pPr>
            <w:r>
              <w:rPr>
                <w:rFonts w:ascii="Calibri" w:hAnsi="Calibri" w:cs="Calibri"/>
                <w:b/>
                <w:bCs/>
                <w:sz w:val="22"/>
                <w:szCs w:val="22"/>
              </w:rPr>
              <w:t>597.131,10</w:t>
            </w:r>
          </w:p>
        </w:tc>
        <w:tc>
          <w:tcPr>
            <w:tcW w:w="1506" w:type="dxa"/>
            <w:tcBorders>
              <w:top w:val="nil"/>
              <w:left w:val="nil"/>
              <w:bottom w:val="single" w:sz="4" w:space="0" w:color="auto"/>
              <w:right w:val="single" w:sz="4" w:space="0" w:color="auto"/>
            </w:tcBorders>
            <w:shd w:val="clear" w:color="000000" w:fill="D9D9D9"/>
            <w:vAlign w:val="bottom"/>
            <w:hideMark/>
          </w:tcPr>
          <w:p w14:paraId="17C7E622" w14:textId="77777777" w:rsidR="005369B3" w:rsidRDefault="005369B3">
            <w:pPr>
              <w:jc w:val="right"/>
              <w:rPr>
                <w:rFonts w:ascii="Calibri" w:hAnsi="Calibri" w:cs="Calibri"/>
                <w:b/>
                <w:bCs/>
                <w:sz w:val="22"/>
                <w:szCs w:val="22"/>
              </w:rPr>
            </w:pPr>
            <w:r>
              <w:rPr>
                <w:rFonts w:ascii="Calibri" w:hAnsi="Calibri" w:cs="Calibri"/>
                <w:b/>
                <w:bCs/>
                <w:sz w:val="22"/>
                <w:szCs w:val="22"/>
              </w:rPr>
              <w:t>604.100,00</w:t>
            </w:r>
          </w:p>
        </w:tc>
        <w:tc>
          <w:tcPr>
            <w:tcW w:w="1506" w:type="dxa"/>
            <w:tcBorders>
              <w:top w:val="nil"/>
              <w:left w:val="nil"/>
              <w:bottom w:val="single" w:sz="4" w:space="0" w:color="auto"/>
              <w:right w:val="single" w:sz="4" w:space="0" w:color="auto"/>
            </w:tcBorders>
            <w:shd w:val="clear" w:color="000000" w:fill="D9D9D9"/>
            <w:vAlign w:val="bottom"/>
            <w:hideMark/>
          </w:tcPr>
          <w:p w14:paraId="6AD46BE2" w14:textId="77777777" w:rsidR="005369B3" w:rsidRDefault="005369B3">
            <w:pPr>
              <w:jc w:val="right"/>
              <w:rPr>
                <w:rFonts w:ascii="Calibri" w:hAnsi="Calibri" w:cs="Calibri"/>
                <w:b/>
                <w:bCs/>
                <w:sz w:val="22"/>
                <w:szCs w:val="22"/>
              </w:rPr>
            </w:pPr>
            <w:r>
              <w:rPr>
                <w:rFonts w:ascii="Calibri" w:hAnsi="Calibri" w:cs="Calibri"/>
                <w:b/>
                <w:bCs/>
                <w:sz w:val="22"/>
                <w:szCs w:val="22"/>
              </w:rPr>
              <w:t>612.219,80</w:t>
            </w:r>
          </w:p>
        </w:tc>
        <w:tc>
          <w:tcPr>
            <w:tcW w:w="877" w:type="dxa"/>
            <w:tcBorders>
              <w:top w:val="nil"/>
              <w:left w:val="nil"/>
              <w:bottom w:val="single" w:sz="4" w:space="0" w:color="auto"/>
              <w:right w:val="single" w:sz="4" w:space="0" w:color="auto"/>
            </w:tcBorders>
            <w:shd w:val="clear" w:color="000000" w:fill="D9D9D9"/>
            <w:vAlign w:val="bottom"/>
            <w:hideMark/>
          </w:tcPr>
          <w:p w14:paraId="723BAC84" w14:textId="77777777" w:rsidR="005369B3" w:rsidRDefault="005369B3">
            <w:pPr>
              <w:jc w:val="center"/>
              <w:rPr>
                <w:rFonts w:ascii="Calibri" w:hAnsi="Calibri" w:cs="Calibri"/>
                <w:b/>
                <w:bCs/>
                <w:sz w:val="22"/>
                <w:szCs w:val="22"/>
              </w:rPr>
            </w:pPr>
            <w:r>
              <w:rPr>
                <w:rFonts w:ascii="Calibri" w:hAnsi="Calibri" w:cs="Calibri"/>
                <w:b/>
                <w:bCs/>
                <w:sz w:val="22"/>
                <w:szCs w:val="22"/>
              </w:rPr>
              <w:t>103%</w:t>
            </w:r>
          </w:p>
        </w:tc>
        <w:tc>
          <w:tcPr>
            <w:tcW w:w="607" w:type="dxa"/>
            <w:tcBorders>
              <w:top w:val="nil"/>
              <w:left w:val="nil"/>
              <w:bottom w:val="single" w:sz="4" w:space="0" w:color="auto"/>
              <w:right w:val="single" w:sz="4" w:space="0" w:color="auto"/>
            </w:tcBorders>
            <w:shd w:val="clear" w:color="000000" w:fill="D9D9D9"/>
            <w:vAlign w:val="bottom"/>
            <w:hideMark/>
          </w:tcPr>
          <w:p w14:paraId="7656480C" w14:textId="77777777" w:rsidR="005369B3" w:rsidRDefault="005369B3">
            <w:pPr>
              <w:jc w:val="center"/>
              <w:rPr>
                <w:rFonts w:ascii="Calibri" w:hAnsi="Calibri" w:cs="Calibri"/>
                <w:b/>
                <w:bCs/>
                <w:sz w:val="22"/>
                <w:szCs w:val="22"/>
              </w:rPr>
            </w:pPr>
            <w:r>
              <w:rPr>
                <w:rFonts w:ascii="Calibri" w:hAnsi="Calibri" w:cs="Calibri"/>
                <w:b/>
                <w:bCs/>
                <w:sz w:val="22"/>
                <w:szCs w:val="22"/>
              </w:rPr>
              <w:t>101%</w:t>
            </w:r>
          </w:p>
        </w:tc>
        <w:tc>
          <w:tcPr>
            <w:tcW w:w="222" w:type="dxa"/>
            <w:vAlign w:val="center"/>
            <w:hideMark/>
          </w:tcPr>
          <w:p w14:paraId="6716FD8D" w14:textId="77777777" w:rsidR="005369B3" w:rsidRDefault="005369B3">
            <w:pPr>
              <w:rPr>
                <w:sz w:val="20"/>
                <w:szCs w:val="20"/>
              </w:rPr>
            </w:pPr>
          </w:p>
        </w:tc>
      </w:tr>
      <w:tr w:rsidR="005369B3" w14:paraId="3562E033" w14:textId="77777777" w:rsidTr="005369B3">
        <w:trPr>
          <w:trHeight w:val="400"/>
          <w:jc w:val="center"/>
        </w:trPr>
        <w:tc>
          <w:tcPr>
            <w:tcW w:w="665" w:type="dxa"/>
            <w:tcBorders>
              <w:top w:val="nil"/>
              <w:left w:val="single" w:sz="4" w:space="0" w:color="auto"/>
              <w:bottom w:val="single" w:sz="4" w:space="0" w:color="auto"/>
              <w:right w:val="single" w:sz="4" w:space="0" w:color="auto"/>
            </w:tcBorders>
            <w:noWrap/>
            <w:vAlign w:val="bottom"/>
            <w:hideMark/>
          </w:tcPr>
          <w:p w14:paraId="31DD64B0" w14:textId="77777777" w:rsidR="005369B3" w:rsidRDefault="005369B3">
            <w:pPr>
              <w:jc w:val="center"/>
              <w:rPr>
                <w:rFonts w:ascii="Calibri" w:hAnsi="Calibri" w:cs="Calibri"/>
                <w:b/>
                <w:bCs/>
                <w:sz w:val="22"/>
                <w:szCs w:val="22"/>
              </w:rPr>
            </w:pPr>
            <w:r>
              <w:rPr>
                <w:rFonts w:ascii="Calibri" w:hAnsi="Calibri" w:cs="Calibri"/>
                <w:b/>
                <w:bCs/>
                <w:sz w:val="22"/>
                <w:szCs w:val="22"/>
              </w:rPr>
              <w:t>683</w:t>
            </w:r>
          </w:p>
        </w:tc>
        <w:tc>
          <w:tcPr>
            <w:tcW w:w="4101" w:type="dxa"/>
            <w:tcBorders>
              <w:top w:val="nil"/>
              <w:left w:val="nil"/>
              <w:bottom w:val="single" w:sz="4" w:space="0" w:color="auto"/>
              <w:right w:val="single" w:sz="4" w:space="0" w:color="auto"/>
            </w:tcBorders>
            <w:vAlign w:val="bottom"/>
            <w:hideMark/>
          </w:tcPr>
          <w:p w14:paraId="156C84CA" w14:textId="77777777" w:rsidR="005369B3" w:rsidRDefault="005369B3">
            <w:pPr>
              <w:rPr>
                <w:rFonts w:ascii="Calibri" w:hAnsi="Calibri" w:cs="Calibri"/>
                <w:b/>
                <w:bCs/>
                <w:sz w:val="22"/>
                <w:szCs w:val="22"/>
              </w:rPr>
            </w:pPr>
            <w:r>
              <w:rPr>
                <w:rFonts w:ascii="Calibri" w:hAnsi="Calibri" w:cs="Calibri"/>
                <w:b/>
                <w:bCs/>
                <w:sz w:val="22"/>
                <w:szCs w:val="22"/>
              </w:rPr>
              <w:t xml:space="preserve">Ostali prihodi  </w:t>
            </w:r>
          </w:p>
        </w:tc>
        <w:tc>
          <w:tcPr>
            <w:tcW w:w="1506" w:type="dxa"/>
            <w:tcBorders>
              <w:top w:val="nil"/>
              <w:left w:val="nil"/>
              <w:bottom w:val="single" w:sz="4" w:space="0" w:color="auto"/>
              <w:right w:val="single" w:sz="4" w:space="0" w:color="auto"/>
            </w:tcBorders>
            <w:vAlign w:val="bottom"/>
            <w:hideMark/>
          </w:tcPr>
          <w:p w14:paraId="7F2EEC7B" w14:textId="77777777" w:rsidR="005369B3" w:rsidRDefault="005369B3">
            <w:pPr>
              <w:jc w:val="right"/>
              <w:rPr>
                <w:rFonts w:ascii="Calibri" w:hAnsi="Calibri" w:cs="Calibri"/>
                <w:b/>
                <w:bCs/>
                <w:sz w:val="22"/>
                <w:szCs w:val="22"/>
              </w:rPr>
            </w:pPr>
            <w:r>
              <w:rPr>
                <w:rFonts w:ascii="Calibri" w:hAnsi="Calibri" w:cs="Calibri"/>
                <w:b/>
                <w:bCs/>
                <w:sz w:val="22"/>
                <w:szCs w:val="22"/>
              </w:rPr>
              <w:t>597.131,10</w:t>
            </w:r>
          </w:p>
        </w:tc>
        <w:tc>
          <w:tcPr>
            <w:tcW w:w="1506" w:type="dxa"/>
            <w:tcBorders>
              <w:top w:val="nil"/>
              <w:left w:val="nil"/>
              <w:bottom w:val="single" w:sz="4" w:space="0" w:color="auto"/>
              <w:right w:val="single" w:sz="4" w:space="0" w:color="auto"/>
            </w:tcBorders>
            <w:vAlign w:val="bottom"/>
            <w:hideMark/>
          </w:tcPr>
          <w:p w14:paraId="4633263E" w14:textId="77777777" w:rsidR="005369B3" w:rsidRDefault="005369B3">
            <w:pPr>
              <w:jc w:val="right"/>
              <w:rPr>
                <w:rFonts w:ascii="Calibri" w:hAnsi="Calibri" w:cs="Calibri"/>
                <w:b/>
                <w:bCs/>
                <w:sz w:val="22"/>
                <w:szCs w:val="22"/>
              </w:rPr>
            </w:pPr>
            <w:r>
              <w:rPr>
                <w:rFonts w:ascii="Calibri" w:hAnsi="Calibri" w:cs="Calibri"/>
                <w:b/>
                <w:bCs/>
                <w:sz w:val="22"/>
                <w:szCs w:val="22"/>
              </w:rPr>
              <w:t> </w:t>
            </w:r>
          </w:p>
        </w:tc>
        <w:tc>
          <w:tcPr>
            <w:tcW w:w="1506" w:type="dxa"/>
            <w:tcBorders>
              <w:top w:val="nil"/>
              <w:left w:val="nil"/>
              <w:bottom w:val="single" w:sz="4" w:space="0" w:color="auto"/>
              <w:right w:val="single" w:sz="4" w:space="0" w:color="auto"/>
            </w:tcBorders>
            <w:vAlign w:val="bottom"/>
            <w:hideMark/>
          </w:tcPr>
          <w:p w14:paraId="334EE03B" w14:textId="77777777" w:rsidR="005369B3" w:rsidRDefault="005369B3">
            <w:pPr>
              <w:jc w:val="right"/>
              <w:rPr>
                <w:rFonts w:ascii="Calibri" w:hAnsi="Calibri" w:cs="Calibri"/>
                <w:b/>
                <w:bCs/>
                <w:sz w:val="22"/>
                <w:szCs w:val="22"/>
              </w:rPr>
            </w:pPr>
            <w:r>
              <w:rPr>
                <w:rFonts w:ascii="Calibri" w:hAnsi="Calibri" w:cs="Calibri"/>
                <w:b/>
                <w:bCs/>
                <w:sz w:val="22"/>
                <w:szCs w:val="22"/>
              </w:rPr>
              <w:t>612.219,80</w:t>
            </w:r>
          </w:p>
        </w:tc>
        <w:tc>
          <w:tcPr>
            <w:tcW w:w="877" w:type="dxa"/>
            <w:tcBorders>
              <w:top w:val="nil"/>
              <w:left w:val="nil"/>
              <w:bottom w:val="single" w:sz="4" w:space="0" w:color="auto"/>
              <w:right w:val="single" w:sz="4" w:space="0" w:color="auto"/>
            </w:tcBorders>
            <w:noWrap/>
            <w:vAlign w:val="bottom"/>
            <w:hideMark/>
          </w:tcPr>
          <w:p w14:paraId="73FD0AC0" w14:textId="77777777" w:rsidR="005369B3" w:rsidRDefault="005369B3">
            <w:pPr>
              <w:jc w:val="center"/>
              <w:rPr>
                <w:rFonts w:ascii="Calibri" w:hAnsi="Calibri" w:cs="Calibri"/>
                <w:b/>
                <w:bCs/>
                <w:color w:val="000000"/>
                <w:sz w:val="22"/>
                <w:szCs w:val="22"/>
              </w:rPr>
            </w:pPr>
            <w:r>
              <w:rPr>
                <w:rFonts w:ascii="Calibri" w:hAnsi="Calibri" w:cs="Calibri"/>
                <w:b/>
                <w:bCs/>
                <w:color w:val="000000"/>
                <w:sz w:val="22"/>
                <w:szCs w:val="22"/>
              </w:rPr>
              <w:t>103%</w:t>
            </w:r>
          </w:p>
        </w:tc>
        <w:tc>
          <w:tcPr>
            <w:tcW w:w="607" w:type="dxa"/>
            <w:tcBorders>
              <w:top w:val="nil"/>
              <w:left w:val="nil"/>
              <w:bottom w:val="single" w:sz="4" w:space="0" w:color="auto"/>
              <w:right w:val="single" w:sz="4" w:space="0" w:color="auto"/>
            </w:tcBorders>
            <w:noWrap/>
            <w:vAlign w:val="bottom"/>
            <w:hideMark/>
          </w:tcPr>
          <w:p w14:paraId="4D92675A" w14:textId="77777777" w:rsidR="005369B3" w:rsidRDefault="005369B3">
            <w:pPr>
              <w:jc w:val="center"/>
              <w:rPr>
                <w:rFonts w:ascii="Calibri" w:hAnsi="Calibri" w:cs="Calibri"/>
                <w:b/>
                <w:bCs/>
                <w:color w:val="000000"/>
                <w:sz w:val="22"/>
                <w:szCs w:val="22"/>
              </w:rPr>
            </w:pPr>
            <w:r>
              <w:rPr>
                <w:rFonts w:ascii="Calibri" w:hAnsi="Calibri" w:cs="Calibri"/>
                <w:b/>
                <w:bCs/>
                <w:color w:val="000000"/>
                <w:sz w:val="22"/>
                <w:szCs w:val="22"/>
              </w:rPr>
              <w:t> </w:t>
            </w:r>
          </w:p>
        </w:tc>
        <w:tc>
          <w:tcPr>
            <w:tcW w:w="222" w:type="dxa"/>
            <w:vAlign w:val="center"/>
            <w:hideMark/>
          </w:tcPr>
          <w:p w14:paraId="0493CE6D" w14:textId="77777777" w:rsidR="005369B3" w:rsidRDefault="005369B3">
            <w:pPr>
              <w:rPr>
                <w:sz w:val="20"/>
                <w:szCs w:val="20"/>
              </w:rPr>
            </w:pPr>
          </w:p>
        </w:tc>
      </w:tr>
      <w:tr w:rsidR="005369B3" w14:paraId="2CCD63F5" w14:textId="77777777" w:rsidTr="005369B3">
        <w:trPr>
          <w:trHeight w:val="580"/>
          <w:jc w:val="center"/>
        </w:trPr>
        <w:tc>
          <w:tcPr>
            <w:tcW w:w="665" w:type="dxa"/>
            <w:tcBorders>
              <w:top w:val="nil"/>
              <w:left w:val="single" w:sz="4" w:space="0" w:color="auto"/>
              <w:bottom w:val="single" w:sz="4" w:space="0" w:color="auto"/>
              <w:right w:val="single" w:sz="4" w:space="0" w:color="auto"/>
            </w:tcBorders>
            <w:noWrap/>
            <w:vAlign w:val="center"/>
            <w:hideMark/>
          </w:tcPr>
          <w:p w14:paraId="2D3FCBA3" w14:textId="77777777" w:rsidR="005369B3" w:rsidRDefault="005369B3">
            <w:pPr>
              <w:jc w:val="center"/>
              <w:rPr>
                <w:rFonts w:ascii="Calibri" w:hAnsi="Calibri" w:cs="Calibri"/>
                <w:color w:val="000000"/>
                <w:sz w:val="22"/>
                <w:szCs w:val="22"/>
              </w:rPr>
            </w:pPr>
            <w:r>
              <w:rPr>
                <w:rFonts w:ascii="Calibri" w:hAnsi="Calibri" w:cs="Calibri"/>
                <w:color w:val="000000"/>
                <w:sz w:val="22"/>
                <w:szCs w:val="22"/>
              </w:rPr>
              <w:t>6831</w:t>
            </w:r>
          </w:p>
        </w:tc>
        <w:tc>
          <w:tcPr>
            <w:tcW w:w="4101" w:type="dxa"/>
            <w:tcBorders>
              <w:top w:val="nil"/>
              <w:left w:val="nil"/>
              <w:bottom w:val="single" w:sz="4" w:space="0" w:color="auto"/>
              <w:right w:val="single" w:sz="4" w:space="0" w:color="auto"/>
            </w:tcBorders>
            <w:vAlign w:val="center"/>
            <w:hideMark/>
          </w:tcPr>
          <w:p w14:paraId="0373EE28" w14:textId="77777777" w:rsidR="005369B3" w:rsidRDefault="005369B3">
            <w:pPr>
              <w:rPr>
                <w:rFonts w:ascii="Calibri" w:hAnsi="Calibri" w:cs="Calibri"/>
                <w:sz w:val="22"/>
                <w:szCs w:val="22"/>
              </w:rPr>
            </w:pPr>
            <w:r>
              <w:rPr>
                <w:rFonts w:ascii="Calibri" w:hAnsi="Calibri" w:cs="Calibri"/>
                <w:sz w:val="22"/>
                <w:szCs w:val="22"/>
              </w:rPr>
              <w:t xml:space="preserve">Ostali prihodi - odobrenja za promet </w:t>
            </w:r>
            <w:proofErr w:type="spellStart"/>
            <w:r>
              <w:rPr>
                <w:rFonts w:ascii="Calibri" w:hAnsi="Calibri" w:cs="Calibri"/>
                <w:sz w:val="22"/>
                <w:szCs w:val="22"/>
              </w:rPr>
              <w:t>ljek</w:t>
            </w:r>
            <w:proofErr w:type="spellEnd"/>
            <w:r>
              <w:rPr>
                <w:rFonts w:ascii="Calibri" w:hAnsi="Calibri" w:cs="Calibri"/>
                <w:sz w:val="22"/>
                <w:szCs w:val="22"/>
              </w:rPr>
              <w:t xml:space="preserve">. i </w:t>
            </w:r>
            <w:proofErr w:type="spellStart"/>
            <w:r>
              <w:rPr>
                <w:rFonts w:ascii="Calibri" w:hAnsi="Calibri" w:cs="Calibri"/>
                <w:sz w:val="22"/>
                <w:szCs w:val="22"/>
              </w:rPr>
              <w:t>ost</w:t>
            </w:r>
            <w:proofErr w:type="spellEnd"/>
            <w:r>
              <w:rPr>
                <w:rFonts w:ascii="Calibri" w:hAnsi="Calibri" w:cs="Calibri"/>
                <w:sz w:val="22"/>
                <w:szCs w:val="22"/>
              </w:rPr>
              <w:t xml:space="preserve">. prihodi </w:t>
            </w:r>
            <w:r>
              <w:rPr>
                <w:rFonts w:ascii="Calibri" w:hAnsi="Calibri" w:cs="Calibri"/>
                <w:color w:val="0066CC"/>
                <w:sz w:val="22"/>
                <w:szCs w:val="22"/>
              </w:rPr>
              <w:t>- vlastiti prihodi</w:t>
            </w:r>
          </w:p>
        </w:tc>
        <w:tc>
          <w:tcPr>
            <w:tcW w:w="1506" w:type="dxa"/>
            <w:tcBorders>
              <w:top w:val="nil"/>
              <w:left w:val="nil"/>
              <w:bottom w:val="single" w:sz="4" w:space="0" w:color="auto"/>
              <w:right w:val="single" w:sz="4" w:space="0" w:color="auto"/>
            </w:tcBorders>
            <w:vAlign w:val="bottom"/>
            <w:hideMark/>
          </w:tcPr>
          <w:p w14:paraId="11842204" w14:textId="77777777" w:rsidR="005369B3" w:rsidRDefault="005369B3">
            <w:pPr>
              <w:jc w:val="right"/>
              <w:rPr>
                <w:rFonts w:ascii="Calibri" w:hAnsi="Calibri" w:cs="Calibri"/>
                <w:sz w:val="22"/>
                <w:szCs w:val="22"/>
              </w:rPr>
            </w:pPr>
            <w:r>
              <w:rPr>
                <w:rFonts w:ascii="Calibri" w:hAnsi="Calibri" w:cs="Calibri"/>
                <w:sz w:val="22"/>
                <w:szCs w:val="22"/>
              </w:rPr>
              <w:t>597.131,10</w:t>
            </w:r>
          </w:p>
        </w:tc>
        <w:tc>
          <w:tcPr>
            <w:tcW w:w="1506" w:type="dxa"/>
            <w:tcBorders>
              <w:top w:val="nil"/>
              <w:left w:val="nil"/>
              <w:bottom w:val="single" w:sz="4" w:space="0" w:color="auto"/>
              <w:right w:val="single" w:sz="4" w:space="0" w:color="auto"/>
            </w:tcBorders>
            <w:shd w:val="clear" w:color="000000" w:fill="FFFFFF"/>
            <w:vAlign w:val="bottom"/>
            <w:hideMark/>
          </w:tcPr>
          <w:p w14:paraId="1519B0BF" w14:textId="77777777" w:rsidR="005369B3" w:rsidRDefault="005369B3">
            <w:pPr>
              <w:jc w:val="right"/>
              <w:rPr>
                <w:rFonts w:ascii="Calibri" w:hAnsi="Calibri" w:cs="Calibri"/>
                <w:sz w:val="22"/>
                <w:szCs w:val="22"/>
              </w:rPr>
            </w:pPr>
            <w:r>
              <w:rPr>
                <w:rFonts w:ascii="Calibri" w:hAnsi="Calibri" w:cs="Calibri"/>
                <w:sz w:val="22"/>
                <w:szCs w:val="22"/>
              </w:rPr>
              <w:t> </w:t>
            </w:r>
          </w:p>
        </w:tc>
        <w:tc>
          <w:tcPr>
            <w:tcW w:w="1506" w:type="dxa"/>
            <w:tcBorders>
              <w:top w:val="nil"/>
              <w:left w:val="nil"/>
              <w:bottom w:val="single" w:sz="4" w:space="0" w:color="auto"/>
              <w:right w:val="single" w:sz="4" w:space="0" w:color="auto"/>
            </w:tcBorders>
            <w:noWrap/>
            <w:vAlign w:val="bottom"/>
            <w:hideMark/>
          </w:tcPr>
          <w:p w14:paraId="159E5932" w14:textId="77777777" w:rsidR="005369B3" w:rsidRDefault="005369B3">
            <w:pPr>
              <w:jc w:val="right"/>
              <w:rPr>
                <w:rFonts w:ascii="Calibri" w:hAnsi="Calibri" w:cs="Calibri"/>
                <w:color w:val="000000"/>
                <w:sz w:val="22"/>
                <w:szCs w:val="22"/>
              </w:rPr>
            </w:pPr>
            <w:r>
              <w:rPr>
                <w:rFonts w:ascii="Calibri" w:hAnsi="Calibri" w:cs="Calibri"/>
                <w:color w:val="000000"/>
                <w:sz w:val="22"/>
                <w:szCs w:val="22"/>
              </w:rPr>
              <w:t>612.219,80</w:t>
            </w:r>
          </w:p>
        </w:tc>
        <w:tc>
          <w:tcPr>
            <w:tcW w:w="877" w:type="dxa"/>
            <w:tcBorders>
              <w:top w:val="nil"/>
              <w:left w:val="nil"/>
              <w:bottom w:val="single" w:sz="4" w:space="0" w:color="auto"/>
              <w:right w:val="single" w:sz="4" w:space="0" w:color="auto"/>
            </w:tcBorders>
            <w:noWrap/>
            <w:vAlign w:val="bottom"/>
            <w:hideMark/>
          </w:tcPr>
          <w:p w14:paraId="76D0836A" w14:textId="77777777" w:rsidR="005369B3" w:rsidRDefault="005369B3">
            <w:pPr>
              <w:jc w:val="center"/>
              <w:rPr>
                <w:rFonts w:ascii="Calibri" w:hAnsi="Calibri" w:cs="Calibri"/>
                <w:color w:val="000000"/>
                <w:sz w:val="22"/>
                <w:szCs w:val="22"/>
              </w:rPr>
            </w:pPr>
            <w:r>
              <w:rPr>
                <w:rFonts w:ascii="Calibri" w:hAnsi="Calibri" w:cs="Calibri"/>
                <w:color w:val="000000"/>
                <w:sz w:val="22"/>
                <w:szCs w:val="22"/>
              </w:rPr>
              <w:t>103%</w:t>
            </w:r>
          </w:p>
        </w:tc>
        <w:tc>
          <w:tcPr>
            <w:tcW w:w="607" w:type="dxa"/>
            <w:tcBorders>
              <w:top w:val="nil"/>
              <w:left w:val="nil"/>
              <w:bottom w:val="single" w:sz="4" w:space="0" w:color="auto"/>
              <w:right w:val="single" w:sz="4" w:space="0" w:color="auto"/>
            </w:tcBorders>
            <w:noWrap/>
            <w:vAlign w:val="bottom"/>
            <w:hideMark/>
          </w:tcPr>
          <w:p w14:paraId="384E78D0" w14:textId="77777777" w:rsidR="005369B3" w:rsidRDefault="005369B3">
            <w:pPr>
              <w:jc w:val="center"/>
              <w:rPr>
                <w:rFonts w:ascii="Calibri" w:hAnsi="Calibri" w:cs="Calibri"/>
                <w:color w:val="000000"/>
                <w:sz w:val="22"/>
                <w:szCs w:val="22"/>
              </w:rPr>
            </w:pPr>
            <w:r>
              <w:rPr>
                <w:rFonts w:ascii="Calibri" w:hAnsi="Calibri" w:cs="Calibri"/>
                <w:color w:val="000000"/>
                <w:sz w:val="22"/>
                <w:szCs w:val="22"/>
              </w:rPr>
              <w:t> </w:t>
            </w:r>
          </w:p>
        </w:tc>
        <w:tc>
          <w:tcPr>
            <w:tcW w:w="222" w:type="dxa"/>
            <w:vAlign w:val="center"/>
            <w:hideMark/>
          </w:tcPr>
          <w:p w14:paraId="357D8E6B" w14:textId="77777777" w:rsidR="005369B3" w:rsidRDefault="005369B3">
            <w:pPr>
              <w:rPr>
                <w:sz w:val="20"/>
                <w:szCs w:val="20"/>
              </w:rPr>
            </w:pPr>
          </w:p>
        </w:tc>
      </w:tr>
      <w:tr w:rsidR="005369B3" w14:paraId="790D38F4" w14:textId="77777777" w:rsidTr="005369B3">
        <w:trPr>
          <w:trHeight w:val="580"/>
          <w:jc w:val="center"/>
        </w:trPr>
        <w:tc>
          <w:tcPr>
            <w:tcW w:w="665" w:type="dxa"/>
            <w:tcBorders>
              <w:top w:val="nil"/>
              <w:left w:val="single" w:sz="4" w:space="0" w:color="auto"/>
              <w:bottom w:val="single" w:sz="4" w:space="0" w:color="auto"/>
              <w:right w:val="single" w:sz="4" w:space="0" w:color="auto"/>
            </w:tcBorders>
            <w:shd w:val="clear" w:color="000000" w:fill="D9D9D9"/>
            <w:noWrap/>
            <w:vAlign w:val="center"/>
            <w:hideMark/>
          </w:tcPr>
          <w:p w14:paraId="5E80739C" w14:textId="77777777" w:rsidR="005369B3" w:rsidRDefault="005369B3">
            <w:pPr>
              <w:jc w:val="center"/>
              <w:rPr>
                <w:rFonts w:ascii="Calibri" w:hAnsi="Calibri" w:cs="Calibri"/>
                <w:b/>
                <w:bCs/>
                <w:sz w:val="22"/>
                <w:szCs w:val="22"/>
              </w:rPr>
            </w:pPr>
            <w:r>
              <w:rPr>
                <w:rFonts w:ascii="Calibri" w:hAnsi="Calibri" w:cs="Calibri"/>
                <w:b/>
                <w:bCs/>
                <w:sz w:val="22"/>
                <w:szCs w:val="22"/>
              </w:rPr>
              <w:t>7</w:t>
            </w:r>
          </w:p>
        </w:tc>
        <w:tc>
          <w:tcPr>
            <w:tcW w:w="4101" w:type="dxa"/>
            <w:tcBorders>
              <w:top w:val="nil"/>
              <w:left w:val="nil"/>
              <w:bottom w:val="single" w:sz="4" w:space="0" w:color="auto"/>
              <w:right w:val="single" w:sz="4" w:space="0" w:color="auto"/>
            </w:tcBorders>
            <w:shd w:val="clear" w:color="000000" w:fill="D9D9D9"/>
            <w:vAlign w:val="center"/>
            <w:hideMark/>
          </w:tcPr>
          <w:p w14:paraId="00E01E10" w14:textId="77777777" w:rsidR="005369B3" w:rsidRDefault="005369B3">
            <w:pPr>
              <w:jc w:val="center"/>
              <w:rPr>
                <w:rFonts w:ascii="Calibri" w:hAnsi="Calibri" w:cs="Calibri"/>
                <w:b/>
                <w:bCs/>
                <w:sz w:val="22"/>
                <w:szCs w:val="22"/>
              </w:rPr>
            </w:pPr>
            <w:r>
              <w:rPr>
                <w:rFonts w:ascii="Calibri" w:hAnsi="Calibri" w:cs="Calibri"/>
                <w:b/>
                <w:bCs/>
                <w:sz w:val="22"/>
                <w:szCs w:val="22"/>
              </w:rPr>
              <w:t>PRIHODI OD PRODAJE NEFINANCIJSKE IMOVINE</w:t>
            </w:r>
          </w:p>
        </w:tc>
        <w:tc>
          <w:tcPr>
            <w:tcW w:w="1506" w:type="dxa"/>
            <w:tcBorders>
              <w:top w:val="nil"/>
              <w:left w:val="nil"/>
              <w:bottom w:val="single" w:sz="4" w:space="0" w:color="auto"/>
              <w:right w:val="single" w:sz="4" w:space="0" w:color="auto"/>
            </w:tcBorders>
            <w:shd w:val="clear" w:color="000000" w:fill="D9D9D9"/>
            <w:vAlign w:val="bottom"/>
            <w:hideMark/>
          </w:tcPr>
          <w:p w14:paraId="30EDFEFD" w14:textId="77777777" w:rsidR="005369B3" w:rsidRDefault="005369B3">
            <w:pPr>
              <w:jc w:val="right"/>
              <w:rPr>
                <w:rFonts w:ascii="Calibri" w:hAnsi="Calibri" w:cs="Calibri"/>
                <w:b/>
                <w:bCs/>
                <w:sz w:val="22"/>
                <w:szCs w:val="22"/>
              </w:rPr>
            </w:pPr>
            <w:r>
              <w:rPr>
                <w:rFonts w:ascii="Calibri" w:hAnsi="Calibri" w:cs="Calibri"/>
                <w:b/>
                <w:bCs/>
                <w:sz w:val="22"/>
                <w:szCs w:val="22"/>
              </w:rPr>
              <w:t>59.137,61</w:t>
            </w:r>
          </w:p>
        </w:tc>
        <w:tc>
          <w:tcPr>
            <w:tcW w:w="1506" w:type="dxa"/>
            <w:tcBorders>
              <w:top w:val="nil"/>
              <w:left w:val="nil"/>
              <w:bottom w:val="single" w:sz="4" w:space="0" w:color="auto"/>
              <w:right w:val="single" w:sz="4" w:space="0" w:color="auto"/>
            </w:tcBorders>
            <w:shd w:val="clear" w:color="000000" w:fill="D9D9D9"/>
            <w:vAlign w:val="bottom"/>
            <w:hideMark/>
          </w:tcPr>
          <w:p w14:paraId="355C0C13" w14:textId="77777777" w:rsidR="005369B3" w:rsidRDefault="005369B3">
            <w:pPr>
              <w:jc w:val="right"/>
              <w:rPr>
                <w:rFonts w:ascii="Calibri" w:hAnsi="Calibri" w:cs="Calibri"/>
                <w:b/>
                <w:bCs/>
                <w:sz w:val="22"/>
                <w:szCs w:val="22"/>
              </w:rPr>
            </w:pPr>
            <w:r>
              <w:rPr>
                <w:rFonts w:ascii="Calibri" w:hAnsi="Calibri" w:cs="Calibri"/>
                <w:b/>
                <w:bCs/>
                <w:sz w:val="22"/>
                <w:szCs w:val="22"/>
              </w:rPr>
              <w:t>2.793,00</w:t>
            </w:r>
          </w:p>
        </w:tc>
        <w:tc>
          <w:tcPr>
            <w:tcW w:w="1506" w:type="dxa"/>
            <w:tcBorders>
              <w:top w:val="nil"/>
              <w:left w:val="nil"/>
              <w:bottom w:val="single" w:sz="4" w:space="0" w:color="auto"/>
              <w:right w:val="single" w:sz="4" w:space="0" w:color="auto"/>
            </w:tcBorders>
            <w:shd w:val="clear" w:color="000000" w:fill="D9D9D9"/>
            <w:vAlign w:val="bottom"/>
            <w:hideMark/>
          </w:tcPr>
          <w:p w14:paraId="274803EB" w14:textId="77777777" w:rsidR="005369B3" w:rsidRDefault="005369B3">
            <w:pPr>
              <w:jc w:val="right"/>
              <w:rPr>
                <w:rFonts w:ascii="Calibri" w:hAnsi="Calibri" w:cs="Calibri"/>
                <w:b/>
                <w:bCs/>
                <w:sz w:val="22"/>
                <w:szCs w:val="22"/>
              </w:rPr>
            </w:pPr>
            <w:r>
              <w:rPr>
                <w:rFonts w:ascii="Calibri" w:hAnsi="Calibri" w:cs="Calibri"/>
                <w:b/>
                <w:bCs/>
                <w:sz w:val="22"/>
                <w:szCs w:val="22"/>
              </w:rPr>
              <w:t>2.758,06</w:t>
            </w:r>
          </w:p>
        </w:tc>
        <w:tc>
          <w:tcPr>
            <w:tcW w:w="877" w:type="dxa"/>
            <w:tcBorders>
              <w:top w:val="nil"/>
              <w:left w:val="nil"/>
              <w:bottom w:val="single" w:sz="4" w:space="0" w:color="auto"/>
              <w:right w:val="single" w:sz="4" w:space="0" w:color="auto"/>
            </w:tcBorders>
            <w:shd w:val="clear" w:color="000000" w:fill="D9D9D9"/>
            <w:vAlign w:val="bottom"/>
            <w:hideMark/>
          </w:tcPr>
          <w:p w14:paraId="10CB0363" w14:textId="77777777" w:rsidR="005369B3" w:rsidRDefault="005369B3">
            <w:pPr>
              <w:jc w:val="center"/>
              <w:rPr>
                <w:rFonts w:ascii="Calibri" w:hAnsi="Calibri" w:cs="Calibri"/>
                <w:b/>
                <w:bCs/>
                <w:sz w:val="22"/>
                <w:szCs w:val="22"/>
              </w:rPr>
            </w:pPr>
            <w:r>
              <w:rPr>
                <w:rFonts w:ascii="Calibri" w:hAnsi="Calibri" w:cs="Calibri"/>
                <w:b/>
                <w:bCs/>
                <w:sz w:val="22"/>
                <w:szCs w:val="22"/>
              </w:rPr>
              <w:t>5%</w:t>
            </w:r>
          </w:p>
        </w:tc>
        <w:tc>
          <w:tcPr>
            <w:tcW w:w="607" w:type="dxa"/>
            <w:tcBorders>
              <w:top w:val="nil"/>
              <w:left w:val="nil"/>
              <w:bottom w:val="single" w:sz="4" w:space="0" w:color="auto"/>
              <w:right w:val="single" w:sz="4" w:space="0" w:color="auto"/>
            </w:tcBorders>
            <w:shd w:val="clear" w:color="000000" w:fill="D9D9D9"/>
            <w:vAlign w:val="bottom"/>
            <w:hideMark/>
          </w:tcPr>
          <w:p w14:paraId="574DA0DA" w14:textId="77777777" w:rsidR="005369B3" w:rsidRDefault="005369B3">
            <w:pPr>
              <w:jc w:val="center"/>
              <w:rPr>
                <w:rFonts w:ascii="Calibri" w:hAnsi="Calibri" w:cs="Calibri"/>
                <w:b/>
                <w:bCs/>
                <w:sz w:val="22"/>
                <w:szCs w:val="22"/>
              </w:rPr>
            </w:pPr>
            <w:r>
              <w:rPr>
                <w:rFonts w:ascii="Calibri" w:hAnsi="Calibri" w:cs="Calibri"/>
                <w:b/>
                <w:bCs/>
                <w:sz w:val="22"/>
                <w:szCs w:val="22"/>
              </w:rPr>
              <w:t>99%</w:t>
            </w:r>
          </w:p>
        </w:tc>
        <w:tc>
          <w:tcPr>
            <w:tcW w:w="222" w:type="dxa"/>
            <w:vAlign w:val="center"/>
            <w:hideMark/>
          </w:tcPr>
          <w:p w14:paraId="5820B003" w14:textId="77777777" w:rsidR="005369B3" w:rsidRDefault="005369B3">
            <w:pPr>
              <w:rPr>
                <w:sz w:val="20"/>
                <w:szCs w:val="20"/>
              </w:rPr>
            </w:pPr>
          </w:p>
        </w:tc>
      </w:tr>
      <w:tr w:rsidR="005369B3" w14:paraId="530ABC9D" w14:textId="77777777" w:rsidTr="005369B3">
        <w:trPr>
          <w:trHeight w:val="580"/>
          <w:jc w:val="center"/>
        </w:trPr>
        <w:tc>
          <w:tcPr>
            <w:tcW w:w="665" w:type="dxa"/>
            <w:tcBorders>
              <w:top w:val="nil"/>
              <w:left w:val="single" w:sz="4" w:space="0" w:color="auto"/>
              <w:bottom w:val="single" w:sz="4" w:space="0" w:color="auto"/>
              <w:right w:val="single" w:sz="4" w:space="0" w:color="auto"/>
            </w:tcBorders>
            <w:shd w:val="clear" w:color="000000" w:fill="D9D9D9"/>
            <w:noWrap/>
            <w:vAlign w:val="bottom"/>
            <w:hideMark/>
          </w:tcPr>
          <w:p w14:paraId="0B4EEEFE" w14:textId="77777777" w:rsidR="005369B3" w:rsidRDefault="005369B3">
            <w:pPr>
              <w:jc w:val="center"/>
              <w:rPr>
                <w:rFonts w:ascii="Calibri" w:hAnsi="Calibri" w:cs="Calibri"/>
                <w:b/>
                <w:bCs/>
                <w:sz w:val="22"/>
                <w:szCs w:val="22"/>
              </w:rPr>
            </w:pPr>
            <w:r>
              <w:rPr>
                <w:rFonts w:ascii="Calibri" w:hAnsi="Calibri" w:cs="Calibri"/>
                <w:b/>
                <w:bCs/>
                <w:sz w:val="22"/>
                <w:szCs w:val="22"/>
              </w:rPr>
              <w:t>72</w:t>
            </w:r>
          </w:p>
        </w:tc>
        <w:tc>
          <w:tcPr>
            <w:tcW w:w="4101" w:type="dxa"/>
            <w:tcBorders>
              <w:top w:val="nil"/>
              <w:left w:val="nil"/>
              <w:bottom w:val="single" w:sz="4" w:space="0" w:color="auto"/>
              <w:right w:val="single" w:sz="4" w:space="0" w:color="auto"/>
            </w:tcBorders>
            <w:shd w:val="clear" w:color="000000" w:fill="D9D9D9"/>
            <w:vAlign w:val="center"/>
            <w:hideMark/>
          </w:tcPr>
          <w:p w14:paraId="6E332D9C" w14:textId="77777777" w:rsidR="005369B3" w:rsidRDefault="005369B3">
            <w:pPr>
              <w:rPr>
                <w:rFonts w:ascii="Calibri" w:hAnsi="Calibri" w:cs="Calibri"/>
                <w:b/>
                <w:bCs/>
                <w:sz w:val="22"/>
                <w:szCs w:val="22"/>
              </w:rPr>
            </w:pPr>
            <w:r>
              <w:rPr>
                <w:rFonts w:ascii="Calibri" w:hAnsi="Calibri" w:cs="Calibri"/>
                <w:b/>
                <w:bCs/>
                <w:sz w:val="22"/>
                <w:szCs w:val="22"/>
              </w:rPr>
              <w:t>PRIHODI OD PRODAJE PROIZVEDENE DUGOTRAJNE IMOVINE</w:t>
            </w:r>
          </w:p>
        </w:tc>
        <w:tc>
          <w:tcPr>
            <w:tcW w:w="1506" w:type="dxa"/>
            <w:tcBorders>
              <w:top w:val="nil"/>
              <w:left w:val="nil"/>
              <w:bottom w:val="single" w:sz="4" w:space="0" w:color="auto"/>
              <w:right w:val="single" w:sz="4" w:space="0" w:color="auto"/>
            </w:tcBorders>
            <w:shd w:val="clear" w:color="000000" w:fill="D9D9D9"/>
            <w:noWrap/>
            <w:vAlign w:val="bottom"/>
            <w:hideMark/>
          </w:tcPr>
          <w:p w14:paraId="3C69A160" w14:textId="77777777" w:rsidR="005369B3" w:rsidRDefault="005369B3">
            <w:pPr>
              <w:jc w:val="right"/>
              <w:rPr>
                <w:rFonts w:ascii="Calibri" w:hAnsi="Calibri" w:cs="Calibri"/>
                <w:b/>
                <w:bCs/>
                <w:sz w:val="22"/>
                <w:szCs w:val="22"/>
              </w:rPr>
            </w:pPr>
            <w:r>
              <w:rPr>
                <w:rFonts w:ascii="Calibri" w:hAnsi="Calibri" w:cs="Calibri"/>
                <w:b/>
                <w:bCs/>
                <w:sz w:val="22"/>
                <w:szCs w:val="22"/>
              </w:rPr>
              <w:t>59.137,61</w:t>
            </w:r>
          </w:p>
        </w:tc>
        <w:tc>
          <w:tcPr>
            <w:tcW w:w="1506" w:type="dxa"/>
            <w:tcBorders>
              <w:top w:val="nil"/>
              <w:left w:val="nil"/>
              <w:bottom w:val="single" w:sz="4" w:space="0" w:color="auto"/>
              <w:right w:val="single" w:sz="4" w:space="0" w:color="auto"/>
            </w:tcBorders>
            <w:shd w:val="clear" w:color="000000" w:fill="D9D9D9"/>
            <w:noWrap/>
            <w:vAlign w:val="bottom"/>
            <w:hideMark/>
          </w:tcPr>
          <w:p w14:paraId="3B60A256" w14:textId="77777777" w:rsidR="005369B3" w:rsidRDefault="005369B3">
            <w:pPr>
              <w:jc w:val="right"/>
              <w:rPr>
                <w:rFonts w:ascii="Calibri" w:hAnsi="Calibri" w:cs="Calibri"/>
                <w:b/>
                <w:bCs/>
                <w:sz w:val="22"/>
                <w:szCs w:val="22"/>
              </w:rPr>
            </w:pPr>
            <w:r>
              <w:rPr>
                <w:rFonts w:ascii="Calibri" w:hAnsi="Calibri" w:cs="Calibri"/>
                <w:b/>
                <w:bCs/>
                <w:sz w:val="22"/>
                <w:szCs w:val="22"/>
              </w:rPr>
              <w:t>2.793,00</w:t>
            </w:r>
          </w:p>
        </w:tc>
        <w:tc>
          <w:tcPr>
            <w:tcW w:w="1506" w:type="dxa"/>
            <w:tcBorders>
              <w:top w:val="nil"/>
              <w:left w:val="nil"/>
              <w:bottom w:val="single" w:sz="4" w:space="0" w:color="auto"/>
              <w:right w:val="single" w:sz="4" w:space="0" w:color="auto"/>
            </w:tcBorders>
            <w:shd w:val="clear" w:color="000000" w:fill="D9D9D9"/>
            <w:noWrap/>
            <w:vAlign w:val="bottom"/>
            <w:hideMark/>
          </w:tcPr>
          <w:p w14:paraId="05409B82" w14:textId="77777777" w:rsidR="005369B3" w:rsidRDefault="005369B3">
            <w:pPr>
              <w:jc w:val="right"/>
              <w:rPr>
                <w:rFonts w:ascii="Calibri" w:hAnsi="Calibri" w:cs="Calibri"/>
                <w:b/>
                <w:bCs/>
                <w:sz w:val="22"/>
                <w:szCs w:val="22"/>
              </w:rPr>
            </w:pPr>
            <w:r>
              <w:rPr>
                <w:rFonts w:ascii="Calibri" w:hAnsi="Calibri" w:cs="Calibri"/>
                <w:b/>
                <w:bCs/>
                <w:sz w:val="22"/>
                <w:szCs w:val="22"/>
              </w:rPr>
              <w:t>2.758,06</w:t>
            </w:r>
          </w:p>
        </w:tc>
        <w:tc>
          <w:tcPr>
            <w:tcW w:w="877" w:type="dxa"/>
            <w:tcBorders>
              <w:top w:val="nil"/>
              <w:left w:val="nil"/>
              <w:bottom w:val="single" w:sz="4" w:space="0" w:color="auto"/>
              <w:right w:val="single" w:sz="4" w:space="0" w:color="auto"/>
            </w:tcBorders>
            <w:shd w:val="clear" w:color="000000" w:fill="D9D9D9"/>
            <w:noWrap/>
            <w:vAlign w:val="bottom"/>
            <w:hideMark/>
          </w:tcPr>
          <w:p w14:paraId="1A9A6AAC" w14:textId="77777777" w:rsidR="005369B3" w:rsidRDefault="005369B3">
            <w:pPr>
              <w:jc w:val="center"/>
              <w:rPr>
                <w:rFonts w:ascii="Calibri" w:hAnsi="Calibri" w:cs="Calibri"/>
                <w:b/>
                <w:bCs/>
                <w:sz w:val="22"/>
                <w:szCs w:val="22"/>
              </w:rPr>
            </w:pPr>
            <w:r>
              <w:rPr>
                <w:rFonts w:ascii="Calibri" w:hAnsi="Calibri" w:cs="Calibri"/>
                <w:b/>
                <w:bCs/>
                <w:sz w:val="22"/>
                <w:szCs w:val="22"/>
              </w:rPr>
              <w:t>5%</w:t>
            </w:r>
          </w:p>
        </w:tc>
        <w:tc>
          <w:tcPr>
            <w:tcW w:w="607" w:type="dxa"/>
            <w:tcBorders>
              <w:top w:val="nil"/>
              <w:left w:val="nil"/>
              <w:bottom w:val="single" w:sz="4" w:space="0" w:color="auto"/>
              <w:right w:val="single" w:sz="4" w:space="0" w:color="auto"/>
            </w:tcBorders>
            <w:shd w:val="clear" w:color="000000" w:fill="D9D9D9"/>
            <w:noWrap/>
            <w:vAlign w:val="bottom"/>
            <w:hideMark/>
          </w:tcPr>
          <w:p w14:paraId="30FB14EA" w14:textId="77777777" w:rsidR="005369B3" w:rsidRDefault="005369B3">
            <w:pPr>
              <w:jc w:val="center"/>
              <w:rPr>
                <w:rFonts w:ascii="Calibri" w:hAnsi="Calibri" w:cs="Calibri"/>
                <w:b/>
                <w:bCs/>
                <w:sz w:val="22"/>
                <w:szCs w:val="22"/>
              </w:rPr>
            </w:pPr>
            <w:r>
              <w:rPr>
                <w:rFonts w:ascii="Calibri" w:hAnsi="Calibri" w:cs="Calibri"/>
                <w:b/>
                <w:bCs/>
                <w:sz w:val="22"/>
                <w:szCs w:val="22"/>
              </w:rPr>
              <w:t>99%</w:t>
            </w:r>
          </w:p>
        </w:tc>
        <w:tc>
          <w:tcPr>
            <w:tcW w:w="222" w:type="dxa"/>
            <w:vAlign w:val="center"/>
            <w:hideMark/>
          </w:tcPr>
          <w:p w14:paraId="2B5E12FA" w14:textId="77777777" w:rsidR="005369B3" w:rsidRDefault="005369B3">
            <w:pPr>
              <w:rPr>
                <w:sz w:val="20"/>
                <w:szCs w:val="20"/>
              </w:rPr>
            </w:pPr>
          </w:p>
        </w:tc>
      </w:tr>
      <w:tr w:rsidR="005369B3" w14:paraId="1338D54C" w14:textId="77777777" w:rsidTr="005369B3">
        <w:trPr>
          <w:trHeight w:val="290"/>
          <w:jc w:val="center"/>
        </w:trPr>
        <w:tc>
          <w:tcPr>
            <w:tcW w:w="665" w:type="dxa"/>
            <w:tcBorders>
              <w:top w:val="nil"/>
              <w:left w:val="single" w:sz="4" w:space="0" w:color="auto"/>
              <w:bottom w:val="single" w:sz="4" w:space="0" w:color="auto"/>
              <w:right w:val="single" w:sz="4" w:space="0" w:color="auto"/>
            </w:tcBorders>
            <w:noWrap/>
            <w:vAlign w:val="bottom"/>
            <w:hideMark/>
          </w:tcPr>
          <w:p w14:paraId="5DF2AAED" w14:textId="77777777" w:rsidR="005369B3" w:rsidRDefault="005369B3">
            <w:pPr>
              <w:jc w:val="center"/>
              <w:rPr>
                <w:rFonts w:ascii="Calibri" w:hAnsi="Calibri" w:cs="Calibri"/>
                <w:b/>
                <w:bCs/>
                <w:color w:val="000000"/>
                <w:sz w:val="22"/>
                <w:szCs w:val="22"/>
              </w:rPr>
            </w:pPr>
            <w:r>
              <w:rPr>
                <w:rFonts w:ascii="Calibri" w:hAnsi="Calibri" w:cs="Calibri"/>
                <w:b/>
                <w:bCs/>
                <w:color w:val="000000"/>
                <w:sz w:val="22"/>
                <w:szCs w:val="22"/>
              </w:rPr>
              <w:t>721</w:t>
            </w:r>
          </w:p>
        </w:tc>
        <w:tc>
          <w:tcPr>
            <w:tcW w:w="4101" w:type="dxa"/>
            <w:tcBorders>
              <w:top w:val="nil"/>
              <w:left w:val="nil"/>
              <w:bottom w:val="single" w:sz="4" w:space="0" w:color="auto"/>
              <w:right w:val="single" w:sz="4" w:space="0" w:color="auto"/>
            </w:tcBorders>
            <w:vAlign w:val="center"/>
            <w:hideMark/>
          </w:tcPr>
          <w:p w14:paraId="41942269" w14:textId="77777777" w:rsidR="005369B3" w:rsidRDefault="005369B3">
            <w:pPr>
              <w:rPr>
                <w:rFonts w:ascii="Calibri" w:hAnsi="Calibri" w:cs="Calibri"/>
                <w:b/>
                <w:bCs/>
                <w:sz w:val="22"/>
                <w:szCs w:val="22"/>
              </w:rPr>
            </w:pPr>
            <w:r>
              <w:rPr>
                <w:rFonts w:ascii="Calibri" w:hAnsi="Calibri" w:cs="Calibri"/>
                <w:b/>
                <w:bCs/>
                <w:sz w:val="22"/>
                <w:szCs w:val="22"/>
              </w:rPr>
              <w:t>Prihodi od prodaje građevinskih objekata</w:t>
            </w:r>
          </w:p>
        </w:tc>
        <w:tc>
          <w:tcPr>
            <w:tcW w:w="1506" w:type="dxa"/>
            <w:tcBorders>
              <w:top w:val="nil"/>
              <w:left w:val="nil"/>
              <w:bottom w:val="single" w:sz="4" w:space="0" w:color="auto"/>
              <w:right w:val="single" w:sz="4" w:space="0" w:color="auto"/>
            </w:tcBorders>
            <w:vAlign w:val="center"/>
            <w:hideMark/>
          </w:tcPr>
          <w:p w14:paraId="6AF8E797" w14:textId="77777777" w:rsidR="005369B3" w:rsidRDefault="005369B3">
            <w:pPr>
              <w:jc w:val="right"/>
              <w:rPr>
                <w:rFonts w:ascii="Calibri" w:hAnsi="Calibri" w:cs="Calibri"/>
                <w:b/>
                <w:bCs/>
                <w:sz w:val="22"/>
                <w:szCs w:val="22"/>
              </w:rPr>
            </w:pPr>
            <w:r>
              <w:rPr>
                <w:rFonts w:ascii="Calibri" w:hAnsi="Calibri" w:cs="Calibri"/>
                <w:b/>
                <w:bCs/>
                <w:sz w:val="22"/>
                <w:szCs w:val="22"/>
              </w:rPr>
              <w:t>3.057,61</w:t>
            </w:r>
          </w:p>
        </w:tc>
        <w:tc>
          <w:tcPr>
            <w:tcW w:w="1506" w:type="dxa"/>
            <w:tcBorders>
              <w:top w:val="nil"/>
              <w:left w:val="nil"/>
              <w:bottom w:val="single" w:sz="4" w:space="0" w:color="auto"/>
              <w:right w:val="single" w:sz="4" w:space="0" w:color="auto"/>
            </w:tcBorders>
            <w:shd w:val="clear" w:color="000000" w:fill="FFFFFF"/>
            <w:vAlign w:val="bottom"/>
            <w:hideMark/>
          </w:tcPr>
          <w:p w14:paraId="69D976B3" w14:textId="77777777" w:rsidR="005369B3" w:rsidRDefault="005369B3">
            <w:pPr>
              <w:jc w:val="right"/>
              <w:rPr>
                <w:rFonts w:ascii="Calibri" w:hAnsi="Calibri" w:cs="Calibri"/>
                <w:b/>
                <w:bCs/>
                <w:sz w:val="22"/>
                <w:szCs w:val="22"/>
              </w:rPr>
            </w:pPr>
            <w:r>
              <w:rPr>
                <w:rFonts w:ascii="Calibri" w:hAnsi="Calibri" w:cs="Calibri"/>
                <w:b/>
                <w:bCs/>
                <w:sz w:val="22"/>
                <w:szCs w:val="22"/>
              </w:rPr>
              <w:t> </w:t>
            </w:r>
          </w:p>
        </w:tc>
        <w:tc>
          <w:tcPr>
            <w:tcW w:w="1506" w:type="dxa"/>
            <w:tcBorders>
              <w:top w:val="nil"/>
              <w:left w:val="nil"/>
              <w:bottom w:val="single" w:sz="4" w:space="0" w:color="auto"/>
              <w:right w:val="single" w:sz="4" w:space="0" w:color="auto"/>
            </w:tcBorders>
            <w:noWrap/>
            <w:vAlign w:val="bottom"/>
            <w:hideMark/>
          </w:tcPr>
          <w:p w14:paraId="56ABB221" w14:textId="77777777" w:rsidR="005369B3" w:rsidRDefault="005369B3">
            <w:pPr>
              <w:jc w:val="right"/>
              <w:rPr>
                <w:rFonts w:ascii="Calibri" w:hAnsi="Calibri" w:cs="Calibri"/>
                <w:b/>
                <w:bCs/>
                <w:color w:val="000000"/>
                <w:sz w:val="22"/>
                <w:szCs w:val="22"/>
              </w:rPr>
            </w:pPr>
            <w:r>
              <w:rPr>
                <w:rFonts w:ascii="Calibri" w:hAnsi="Calibri" w:cs="Calibri"/>
                <w:b/>
                <w:bCs/>
                <w:color w:val="000000"/>
                <w:sz w:val="22"/>
                <w:szCs w:val="22"/>
              </w:rPr>
              <w:t>415,66</w:t>
            </w:r>
          </w:p>
        </w:tc>
        <w:tc>
          <w:tcPr>
            <w:tcW w:w="877" w:type="dxa"/>
            <w:tcBorders>
              <w:top w:val="nil"/>
              <w:left w:val="nil"/>
              <w:bottom w:val="single" w:sz="4" w:space="0" w:color="auto"/>
              <w:right w:val="single" w:sz="4" w:space="0" w:color="auto"/>
            </w:tcBorders>
            <w:noWrap/>
            <w:vAlign w:val="bottom"/>
            <w:hideMark/>
          </w:tcPr>
          <w:p w14:paraId="13DD748E" w14:textId="77777777" w:rsidR="005369B3" w:rsidRDefault="005369B3">
            <w:pPr>
              <w:jc w:val="center"/>
              <w:rPr>
                <w:rFonts w:ascii="Calibri" w:hAnsi="Calibri" w:cs="Calibri"/>
                <w:b/>
                <w:bCs/>
                <w:color w:val="000000"/>
                <w:sz w:val="22"/>
                <w:szCs w:val="22"/>
              </w:rPr>
            </w:pPr>
            <w:r>
              <w:rPr>
                <w:rFonts w:ascii="Calibri" w:hAnsi="Calibri" w:cs="Calibri"/>
                <w:b/>
                <w:bCs/>
                <w:color w:val="000000"/>
                <w:sz w:val="22"/>
                <w:szCs w:val="22"/>
              </w:rPr>
              <w:t>14%</w:t>
            </w:r>
          </w:p>
        </w:tc>
        <w:tc>
          <w:tcPr>
            <w:tcW w:w="607" w:type="dxa"/>
            <w:tcBorders>
              <w:top w:val="nil"/>
              <w:left w:val="nil"/>
              <w:bottom w:val="single" w:sz="4" w:space="0" w:color="auto"/>
              <w:right w:val="single" w:sz="4" w:space="0" w:color="auto"/>
            </w:tcBorders>
            <w:noWrap/>
            <w:vAlign w:val="bottom"/>
            <w:hideMark/>
          </w:tcPr>
          <w:p w14:paraId="31CD39E3" w14:textId="77777777" w:rsidR="005369B3" w:rsidRDefault="005369B3">
            <w:pPr>
              <w:jc w:val="center"/>
              <w:rPr>
                <w:rFonts w:ascii="Calibri" w:hAnsi="Calibri" w:cs="Calibri"/>
                <w:b/>
                <w:bCs/>
                <w:color w:val="000000"/>
                <w:sz w:val="22"/>
                <w:szCs w:val="22"/>
              </w:rPr>
            </w:pPr>
            <w:r>
              <w:rPr>
                <w:rFonts w:ascii="Calibri" w:hAnsi="Calibri" w:cs="Calibri"/>
                <w:b/>
                <w:bCs/>
                <w:color w:val="000000"/>
                <w:sz w:val="22"/>
                <w:szCs w:val="22"/>
              </w:rPr>
              <w:t> </w:t>
            </w:r>
          </w:p>
        </w:tc>
        <w:tc>
          <w:tcPr>
            <w:tcW w:w="222" w:type="dxa"/>
            <w:vAlign w:val="center"/>
            <w:hideMark/>
          </w:tcPr>
          <w:p w14:paraId="29328C30" w14:textId="77777777" w:rsidR="005369B3" w:rsidRDefault="005369B3">
            <w:pPr>
              <w:rPr>
                <w:sz w:val="20"/>
                <w:szCs w:val="20"/>
              </w:rPr>
            </w:pPr>
          </w:p>
        </w:tc>
      </w:tr>
      <w:tr w:rsidR="005369B3" w14:paraId="7076B83E" w14:textId="77777777" w:rsidTr="005369B3">
        <w:trPr>
          <w:trHeight w:val="520"/>
          <w:jc w:val="center"/>
        </w:trPr>
        <w:tc>
          <w:tcPr>
            <w:tcW w:w="665" w:type="dxa"/>
            <w:tcBorders>
              <w:top w:val="nil"/>
              <w:left w:val="single" w:sz="4" w:space="0" w:color="auto"/>
              <w:bottom w:val="single" w:sz="4" w:space="0" w:color="auto"/>
              <w:right w:val="single" w:sz="4" w:space="0" w:color="auto"/>
            </w:tcBorders>
            <w:shd w:val="clear" w:color="000000" w:fill="FFFFFF"/>
            <w:noWrap/>
            <w:vAlign w:val="bottom"/>
            <w:hideMark/>
          </w:tcPr>
          <w:p w14:paraId="065B7F82" w14:textId="77777777" w:rsidR="005369B3" w:rsidRDefault="005369B3">
            <w:pPr>
              <w:jc w:val="center"/>
              <w:rPr>
                <w:rFonts w:ascii="Calibri" w:hAnsi="Calibri" w:cs="Calibri"/>
                <w:color w:val="000000"/>
                <w:sz w:val="22"/>
                <w:szCs w:val="22"/>
              </w:rPr>
            </w:pPr>
            <w:r>
              <w:rPr>
                <w:rFonts w:ascii="Calibri" w:hAnsi="Calibri" w:cs="Calibri"/>
                <w:color w:val="000000"/>
                <w:sz w:val="22"/>
                <w:szCs w:val="22"/>
              </w:rPr>
              <w:t>7211</w:t>
            </w:r>
          </w:p>
        </w:tc>
        <w:tc>
          <w:tcPr>
            <w:tcW w:w="4101" w:type="dxa"/>
            <w:tcBorders>
              <w:top w:val="nil"/>
              <w:left w:val="nil"/>
              <w:bottom w:val="single" w:sz="4" w:space="0" w:color="auto"/>
              <w:right w:val="single" w:sz="4" w:space="0" w:color="auto"/>
            </w:tcBorders>
            <w:shd w:val="clear" w:color="000000" w:fill="FFFFFF"/>
            <w:vAlign w:val="center"/>
            <w:hideMark/>
          </w:tcPr>
          <w:p w14:paraId="7F3748DB" w14:textId="77777777" w:rsidR="005369B3" w:rsidRDefault="005369B3">
            <w:pPr>
              <w:rPr>
                <w:rFonts w:ascii="Calibri" w:hAnsi="Calibri" w:cs="Calibri"/>
                <w:sz w:val="22"/>
                <w:szCs w:val="22"/>
              </w:rPr>
            </w:pPr>
            <w:proofErr w:type="spellStart"/>
            <w:r>
              <w:rPr>
                <w:rFonts w:ascii="Calibri" w:hAnsi="Calibri" w:cs="Calibri"/>
                <w:sz w:val="22"/>
                <w:szCs w:val="22"/>
              </w:rPr>
              <w:t>Prih</w:t>
            </w:r>
            <w:proofErr w:type="spellEnd"/>
            <w:r>
              <w:rPr>
                <w:rFonts w:ascii="Calibri" w:hAnsi="Calibri" w:cs="Calibri"/>
                <w:sz w:val="22"/>
                <w:szCs w:val="22"/>
              </w:rPr>
              <w:t xml:space="preserve">. od prodaje </w:t>
            </w:r>
            <w:proofErr w:type="spellStart"/>
            <w:r>
              <w:rPr>
                <w:rFonts w:ascii="Calibri" w:hAnsi="Calibri" w:cs="Calibri"/>
                <w:sz w:val="22"/>
                <w:szCs w:val="22"/>
              </w:rPr>
              <w:t>građev</w:t>
            </w:r>
            <w:proofErr w:type="spellEnd"/>
            <w:r>
              <w:rPr>
                <w:rFonts w:ascii="Calibri" w:hAnsi="Calibri" w:cs="Calibri"/>
                <w:sz w:val="22"/>
                <w:szCs w:val="22"/>
              </w:rPr>
              <w:t xml:space="preserve">. objekata (i otplata stanova) </w:t>
            </w:r>
          </w:p>
        </w:tc>
        <w:tc>
          <w:tcPr>
            <w:tcW w:w="1506" w:type="dxa"/>
            <w:tcBorders>
              <w:top w:val="nil"/>
              <w:left w:val="nil"/>
              <w:bottom w:val="single" w:sz="4" w:space="0" w:color="auto"/>
              <w:right w:val="single" w:sz="4" w:space="0" w:color="auto"/>
            </w:tcBorders>
            <w:shd w:val="clear" w:color="000000" w:fill="FFFFFF"/>
            <w:vAlign w:val="bottom"/>
            <w:hideMark/>
          </w:tcPr>
          <w:p w14:paraId="06F30754" w14:textId="77777777" w:rsidR="005369B3" w:rsidRDefault="005369B3">
            <w:pPr>
              <w:jc w:val="right"/>
              <w:rPr>
                <w:rFonts w:ascii="Calibri" w:hAnsi="Calibri" w:cs="Calibri"/>
                <w:sz w:val="22"/>
                <w:szCs w:val="22"/>
              </w:rPr>
            </w:pPr>
            <w:r>
              <w:rPr>
                <w:rFonts w:ascii="Calibri" w:hAnsi="Calibri" w:cs="Calibri"/>
                <w:sz w:val="22"/>
                <w:szCs w:val="22"/>
              </w:rPr>
              <w:t>3.057,61</w:t>
            </w:r>
          </w:p>
        </w:tc>
        <w:tc>
          <w:tcPr>
            <w:tcW w:w="1506" w:type="dxa"/>
            <w:tcBorders>
              <w:top w:val="nil"/>
              <w:left w:val="nil"/>
              <w:bottom w:val="single" w:sz="4" w:space="0" w:color="auto"/>
              <w:right w:val="single" w:sz="4" w:space="0" w:color="auto"/>
            </w:tcBorders>
            <w:shd w:val="clear" w:color="000000" w:fill="FFFFFF"/>
            <w:vAlign w:val="bottom"/>
            <w:hideMark/>
          </w:tcPr>
          <w:p w14:paraId="346CC81B" w14:textId="77777777" w:rsidR="005369B3" w:rsidRDefault="005369B3">
            <w:pPr>
              <w:jc w:val="right"/>
              <w:rPr>
                <w:rFonts w:ascii="Calibri" w:hAnsi="Calibri" w:cs="Calibri"/>
                <w:sz w:val="22"/>
                <w:szCs w:val="22"/>
              </w:rPr>
            </w:pPr>
            <w:r>
              <w:rPr>
                <w:rFonts w:ascii="Calibri" w:hAnsi="Calibri" w:cs="Calibri"/>
                <w:sz w:val="22"/>
                <w:szCs w:val="22"/>
              </w:rPr>
              <w:t> </w:t>
            </w:r>
          </w:p>
        </w:tc>
        <w:tc>
          <w:tcPr>
            <w:tcW w:w="1506" w:type="dxa"/>
            <w:tcBorders>
              <w:top w:val="nil"/>
              <w:left w:val="nil"/>
              <w:bottom w:val="single" w:sz="4" w:space="0" w:color="auto"/>
              <w:right w:val="single" w:sz="4" w:space="0" w:color="auto"/>
            </w:tcBorders>
            <w:noWrap/>
            <w:vAlign w:val="bottom"/>
            <w:hideMark/>
          </w:tcPr>
          <w:p w14:paraId="4C457C30" w14:textId="77777777" w:rsidR="005369B3" w:rsidRDefault="005369B3">
            <w:pPr>
              <w:jc w:val="right"/>
              <w:rPr>
                <w:rFonts w:ascii="Calibri" w:hAnsi="Calibri" w:cs="Calibri"/>
                <w:color w:val="000000"/>
                <w:sz w:val="22"/>
                <w:szCs w:val="22"/>
              </w:rPr>
            </w:pPr>
            <w:r>
              <w:rPr>
                <w:rFonts w:ascii="Calibri" w:hAnsi="Calibri" w:cs="Calibri"/>
                <w:color w:val="000000"/>
                <w:sz w:val="22"/>
                <w:szCs w:val="22"/>
              </w:rPr>
              <w:t>415,66</w:t>
            </w:r>
          </w:p>
        </w:tc>
        <w:tc>
          <w:tcPr>
            <w:tcW w:w="877" w:type="dxa"/>
            <w:tcBorders>
              <w:top w:val="nil"/>
              <w:left w:val="nil"/>
              <w:bottom w:val="single" w:sz="4" w:space="0" w:color="auto"/>
              <w:right w:val="single" w:sz="4" w:space="0" w:color="auto"/>
            </w:tcBorders>
            <w:noWrap/>
            <w:vAlign w:val="bottom"/>
            <w:hideMark/>
          </w:tcPr>
          <w:p w14:paraId="20BA291D" w14:textId="77777777" w:rsidR="005369B3" w:rsidRDefault="005369B3">
            <w:pPr>
              <w:jc w:val="center"/>
              <w:rPr>
                <w:rFonts w:ascii="Calibri" w:hAnsi="Calibri" w:cs="Calibri"/>
                <w:color w:val="000000"/>
                <w:sz w:val="22"/>
                <w:szCs w:val="22"/>
              </w:rPr>
            </w:pPr>
            <w:r>
              <w:rPr>
                <w:rFonts w:ascii="Calibri" w:hAnsi="Calibri" w:cs="Calibri"/>
                <w:color w:val="000000"/>
                <w:sz w:val="22"/>
                <w:szCs w:val="22"/>
              </w:rPr>
              <w:t>14%</w:t>
            </w:r>
          </w:p>
        </w:tc>
        <w:tc>
          <w:tcPr>
            <w:tcW w:w="607" w:type="dxa"/>
            <w:tcBorders>
              <w:top w:val="nil"/>
              <w:left w:val="nil"/>
              <w:bottom w:val="single" w:sz="4" w:space="0" w:color="auto"/>
              <w:right w:val="single" w:sz="4" w:space="0" w:color="auto"/>
            </w:tcBorders>
            <w:noWrap/>
            <w:vAlign w:val="bottom"/>
            <w:hideMark/>
          </w:tcPr>
          <w:p w14:paraId="20C7F1B0" w14:textId="77777777" w:rsidR="005369B3" w:rsidRDefault="005369B3">
            <w:pPr>
              <w:jc w:val="center"/>
              <w:rPr>
                <w:rFonts w:ascii="Calibri" w:hAnsi="Calibri" w:cs="Calibri"/>
                <w:color w:val="000000"/>
                <w:sz w:val="22"/>
                <w:szCs w:val="22"/>
              </w:rPr>
            </w:pPr>
            <w:r>
              <w:rPr>
                <w:rFonts w:ascii="Calibri" w:hAnsi="Calibri" w:cs="Calibri"/>
                <w:color w:val="000000"/>
                <w:sz w:val="22"/>
                <w:szCs w:val="22"/>
              </w:rPr>
              <w:t> </w:t>
            </w:r>
          </w:p>
        </w:tc>
        <w:tc>
          <w:tcPr>
            <w:tcW w:w="222" w:type="dxa"/>
            <w:vAlign w:val="center"/>
            <w:hideMark/>
          </w:tcPr>
          <w:p w14:paraId="318FB099" w14:textId="77777777" w:rsidR="005369B3" w:rsidRDefault="005369B3">
            <w:pPr>
              <w:rPr>
                <w:sz w:val="20"/>
                <w:szCs w:val="20"/>
              </w:rPr>
            </w:pPr>
          </w:p>
        </w:tc>
      </w:tr>
      <w:tr w:rsidR="005369B3" w14:paraId="69237A90" w14:textId="77777777" w:rsidTr="005369B3">
        <w:trPr>
          <w:trHeight w:val="320"/>
          <w:jc w:val="center"/>
        </w:trPr>
        <w:tc>
          <w:tcPr>
            <w:tcW w:w="665" w:type="dxa"/>
            <w:tcBorders>
              <w:top w:val="nil"/>
              <w:left w:val="single" w:sz="4" w:space="0" w:color="auto"/>
              <w:bottom w:val="single" w:sz="4" w:space="0" w:color="auto"/>
              <w:right w:val="single" w:sz="4" w:space="0" w:color="auto"/>
            </w:tcBorders>
            <w:shd w:val="clear" w:color="000000" w:fill="FFFFFF"/>
            <w:noWrap/>
            <w:vAlign w:val="bottom"/>
            <w:hideMark/>
          </w:tcPr>
          <w:p w14:paraId="15871A7D" w14:textId="77777777" w:rsidR="005369B3" w:rsidRDefault="005369B3">
            <w:pPr>
              <w:jc w:val="center"/>
              <w:rPr>
                <w:rFonts w:ascii="Calibri" w:hAnsi="Calibri" w:cs="Calibri"/>
                <w:b/>
                <w:bCs/>
                <w:color w:val="000000"/>
                <w:sz w:val="22"/>
                <w:szCs w:val="22"/>
              </w:rPr>
            </w:pPr>
            <w:r>
              <w:rPr>
                <w:rFonts w:ascii="Calibri" w:hAnsi="Calibri" w:cs="Calibri"/>
                <w:b/>
                <w:bCs/>
                <w:color w:val="000000"/>
                <w:sz w:val="22"/>
                <w:szCs w:val="22"/>
              </w:rPr>
              <w:t>722</w:t>
            </w:r>
          </w:p>
        </w:tc>
        <w:tc>
          <w:tcPr>
            <w:tcW w:w="4101" w:type="dxa"/>
            <w:tcBorders>
              <w:top w:val="nil"/>
              <w:left w:val="nil"/>
              <w:bottom w:val="single" w:sz="4" w:space="0" w:color="auto"/>
              <w:right w:val="single" w:sz="4" w:space="0" w:color="auto"/>
            </w:tcBorders>
            <w:vAlign w:val="bottom"/>
            <w:hideMark/>
          </w:tcPr>
          <w:p w14:paraId="7B0FD98A" w14:textId="77777777" w:rsidR="005369B3" w:rsidRDefault="005369B3">
            <w:pPr>
              <w:rPr>
                <w:rFonts w:ascii="Calibri" w:hAnsi="Calibri" w:cs="Calibri"/>
                <w:b/>
                <w:bCs/>
                <w:sz w:val="22"/>
                <w:szCs w:val="22"/>
              </w:rPr>
            </w:pPr>
            <w:r>
              <w:rPr>
                <w:rFonts w:ascii="Calibri" w:hAnsi="Calibri" w:cs="Calibri"/>
                <w:b/>
                <w:bCs/>
                <w:sz w:val="22"/>
                <w:szCs w:val="22"/>
              </w:rPr>
              <w:t xml:space="preserve">Prihodi od prodaje postrojenja i opreme </w:t>
            </w:r>
          </w:p>
        </w:tc>
        <w:tc>
          <w:tcPr>
            <w:tcW w:w="1506" w:type="dxa"/>
            <w:tcBorders>
              <w:top w:val="nil"/>
              <w:left w:val="nil"/>
              <w:bottom w:val="single" w:sz="4" w:space="0" w:color="auto"/>
              <w:right w:val="single" w:sz="4" w:space="0" w:color="auto"/>
            </w:tcBorders>
            <w:shd w:val="clear" w:color="000000" w:fill="FFFFFF"/>
            <w:vAlign w:val="bottom"/>
            <w:hideMark/>
          </w:tcPr>
          <w:p w14:paraId="2A1982D0" w14:textId="77777777" w:rsidR="005369B3" w:rsidRDefault="005369B3">
            <w:pPr>
              <w:jc w:val="right"/>
              <w:rPr>
                <w:rFonts w:ascii="Calibri" w:hAnsi="Calibri" w:cs="Calibri"/>
                <w:b/>
                <w:bCs/>
                <w:sz w:val="22"/>
                <w:szCs w:val="22"/>
              </w:rPr>
            </w:pPr>
            <w:r>
              <w:rPr>
                <w:rFonts w:ascii="Calibri" w:hAnsi="Calibri" w:cs="Calibri"/>
                <w:b/>
                <w:bCs/>
                <w:sz w:val="22"/>
                <w:szCs w:val="22"/>
              </w:rPr>
              <w:t>0,00</w:t>
            </w:r>
          </w:p>
        </w:tc>
        <w:tc>
          <w:tcPr>
            <w:tcW w:w="1506" w:type="dxa"/>
            <w:tcBorders>
              <w:top w:val="nil"/>
              <w:left w:val="nil"/>
              <w:bottom w:val="single" w:sz="4" w:space="0" w:color="auto"/>
              <w:right w:val="single" w:sz="4" w:space="0" w:color="auto"/>
            </w:tcBorders>
            <w:shd w:val="clear" w:color="000000" w:fill="FFFFFF"/>
            <w:vAlign w:val="bottom"/>
            <w:hideMark/>
          </w:tcPr>
          <w:p w14:paraId="2FBC2CD2" w14:textId="77777777" w:rsidR="005369B3" w:rsidRDefault="005369B3">
            <w:pPr>
              <w:jc w:val="right"/>
              <w:rPr>
                <w:rFonts w:ascii="Calibri" w:hAnsi="Calibri" w:cs="Calibri"/>
                <w:b/>
                <w:bCs/>
                <w:sz w:val="22"/>
                <w:szCs w:val="22"/>
              </w:rPr>
            </w:pPr>
            <w:r>
              <w:rPr>
                <w:rFonts w:ascii="Calibri" w:hAnsi="Calibri" w:cs="Calibri"/>
                <w:b/>
                <w:bCs/>
                <w:sz w:val="22"/>
                <w:szCs w:val="22"/>
              </w:rPr>
              <w:t> </w:t>
            </w:r>
          </w:p>
        </w:tc>
        <w:tc>
          <w:tcPr>
            <w:tcW w:w="1506" w:type="dxa"/>
            <w:tcBorders>
              <w:top w:val="nil"/>
              <w:left w:val="nil"/>
              <w:bottom w:val="single" w:sz="4" w:space="0" w:color="auto"/>
              <w:right w:val="single" w:sz="4" w:space="0" w:color="auto"/>
            </w:tcBorders>
            <w:shd w:val="clear" w:color="000000" w:fill="FFFFFF"/>
            <w:vAlign w:val="bottom"/>
            <w:hideMark/>
          </w:tcPr>
          <w:p w14:paraId="61104429" w14:textId="77777777" w:rsidR="005369B3" w:rsidRDefault="005369B3">
            <w:pPr>
              <w:jc w:val="right"/>
              <w:rPr>
                <w:rFonts w:ascii="Calibri" w:hAnsi="Calibri" w:cs="Calibri"/>
                <w:b/>
                <w:bCs/>
                <w:sz w:val="22"/>
                <w:szCs w:val="22"/>
              </w:rPr>
            </w:pPr>
            <w:r>
              <w:rPr>
                <w:rFonts w:ascii="Calibri" w:hAnsi="Calibri" w:cs="Calibri"/>
                <w:b/>
                <w:bCs/>
                <w:sz w:val="22"/>
                <w:szCs w:val="22"/>
              </w:rPr>
              <w:t>400,00</w:t>
            </w:r>
          </w:p>
        </w:tc>
        <w:tc>
          <w:tcPr>
            <w:tcW w:w="877" w:type="dxa"/>
            <w:tcBorders>
              <w:top w:val="nil"/>
              <w:left w:val="nil"/>
              <w:bottom w:val="single" w:sz="4" w:space="0" w:color="auto"/>
              <w:right w:val="single" w:sz="4" w:space="0" w:color="auto"/>
            </w:tcBorders>
            <w:noWrap/>
            <w:vAlign w:val="bottom"/>
            <w:hideMark/>
          </w:tcPr>
          <w:p w14:paraId="4813CADC" w14:textId="77777777" w:rsidR="005369B3" w:rsidRDefault="005369B3">
            <w:pPr>
              <w:jc w:val="center"/>
              <w:rPr>
                <w:rFonts w:ascii="Calibri" w:hAnsi="Calibri" w:cs="Calibri"/>
                <w:color w:val="000000"/>
                <w:sz w:val="22"/>
                <w:szCs w:val="22"/>
              </w:rPr>
            </w:pPr>
            <w:r>
              <w:rPr>
                <w:rFonts w:ascii="Calibri" w:hAnsi="Calibri" w:cs="Calibri"/>
                <w:color w:val="000000"/>
                <w:sz w:val="22"/>
                <w:szCs w:val="22"/>
              </w:rPr>
              <w:t>0%</w:t>
            </w:r>
          </w:p>
        </w:tc>
        <w:tc>
          <w:tcPr>
            <w:tcW w:w="607" w:type="dxa"/>
            <w:tcBorders>
              <w:top w:val="nil"/>
              <w:left w:val="nil"/>
              <w:bottom w:val="single" w:sz="4" w:space="0" w:color="auto"/>
              <w:right w:val="single" w:sz="4" w:space="0" w:color="auto"/>
            </w:tcBorders>
            <w:noWrap/>
            <w:vAlign w:val="bottom"/>
            <w:hideMark/>
          </w:tcPr>
          <w:p w14:paraId="3A5A3E54" w14:textId="77777777" w:rsidR="005369B3" w:rsidRDefault="005369B3">
            <w:pPr>
              <w:jc w:val="center"/>
              <w:rPr>
                <w:rFonts w:ascii="Calibri" w:hAnsi="Calibri" w:cs="Calibri"/>
                <w:b/>
                <w:bCs/>
                <w:color w:val="000000"/>
                <w:sz w:val="22"/>
                <w:szCs w:val="22"/>
              </w:rPr>
            </w:pPr>
            <w:r>
              <w:rPr>
                <w:rFonts w:ascii="Calibri" w:hAnsi="Calibri" w:cs="Calibri"/>
                <w:b/>
                <w:bCs/>
                <w:color w:val="000000"/>
                <w:sz w:val="22"/>
                <w:szCs w:val="22"/>
              </w:rPr>
              <w:t> </w:t>
            </w:r>
          </w:p>
        </w:tc>
        <w:tc>
          <w:tcPr>
            <w:tcW w:w="222" w:type="dxa"/>
            <w:vAlign w:val="center"/>
            <w:hideMark/>
          </w:tcPr>
          <w:p w14:paraId="3315DF47" w14:textId="77777777" w:rsidR="005369B3" w:rsidRDefault="005369B3">
            <w:pPr>
              <w:rPr>
                <w:sz w:val="20"/>
                <w:szCs w:val="20"/>
              </w:rPr>
            </w:pPr>
          </w:p>
        </w:tc>
      </w:tr>
      <w:tr w:rsidR="005369B3" w14:paraId="52BEA16B" w14:textId="77777777" w:rsidTr="005369B3">
        <w:trPr>
          <w:trHeight w:val="290"/>
          <w:jc w:val="center"/>
        </w:trPr>
        <w:tc>
          <w:tcPr>
            <w:tcW w:w="665" w:type="dxa"/>
            <w:tcBorders>
              <w:top w:val="nil"/>
              <w:left w:val="single" w:sz="4" w:space="0" w:color="auto"/>
              <w:bottom w:val="single" w:sz="4" w:space="0" w:color="auto"/>
              <w:right w:val="single" w:sz="4" w:space="0" w:color="auto"/>
            </w:tcBorders>
            <w:noWrap/>
            <w:vAlign w:val="bottom"/>
            <w:hideMark/>
          </w:tcPr>
          <w:p w14:paraId="1121C301" w14:textId="77777777" w:rsidR="005369B3" w:rsidRDefault="005369B3">
            <w:pPr>
              <w:jc w:val="center"/>
              <w:rPr>
                <w:rFonts w:ascii="Calibri" w:hAnsi="Calibri" w:cs="Calibri"/>
                <w:color w:val="000000"/>
                <w:sz w:val="22"/>
                <w:szCs w:val="22"/>
              </w:rPr>
            </w:pPr>
            <w:r>
              <w:rPr>
                <w:rFonts w:ascii="Calibri" w:hAnsi="Calibri" w:cs="Calibri"/>
                <w:color w:val="000000"/>
                <w:sz w:val="22"/>
                <w:szCs w:val="22"/>
              </w:rPr>
              <w:t>7227</w:t>
            </w:r>
          </w:p>
        </w:tc>
        <w:tc>
          <w:tcPr>
            <w:tcW w:w="4101" w:type="dxa"/>
            <w:tcBorders>
              <w:top w:val="nil"/>
              <w:left w:val="nil"/>
              <w:bottom w:val="single" w:sz="4" w:space="0" w:color="auto"/>
              <w:right w:val="single" w:sz="4" w:space="0" w:color="auto"/>
            </w:tcBorders>
            <w:vAlign w:val="center"/>
            <w:hideMark/>
          </w:tcPr>
          <w:p w14:paraId="5742A4ED" w14:textId="77777777" w:rsidR="005369B3" w:rsidRDefault="005369B3">
            <w:pPr>
              <w:rPr>
                <w:rFonts w:ascii="Calibri" w:hAnsi="Calibri" w:cs="Calibri"/>
                <w:sz w:val="22"/>
                <w:szCs w:val="22"/>
              </w:rPr>
            </w:pPr>
            <w:r>
              <w:rPr>
                <w:rFonts w:ascii="Calibri" w:hAnsi="Calibri" w:cs="Calibri"/>
                <w:sz w:val="22"/>
                <w:szCs w:val="22"/>
              </w:rPr>
              <w:t xml:space="preserve">Prihodi od prodaje postrojenja i opreme </w:t>
            </w:r>
          </w:p>
        </w:tc>
        <w:tc>
          <w:tcPr>
            <w:tcW w:w="1506" w:type="dxa"/>
            <w:tcBorders>
              <w:top w:val="nil"/>
              <w:left w:val="nil"/>
              <w:bottom w:val="single" w:sz="4" w:space="0" w:color="auto"/>
              <w:right w:val="single" w:sz="4" w:space="0" w:color="auto"/>
            </w:tcBorders>
            <w:vAlign w:val="center"/>
            <w:hideMark/>
          </w:tcPr>
          <w:p w14:paraId="32BDEE57" w14:textId="77777777" w:rsidR="005369B3" w:rsidRDefault="005369B3">
            <w:pPr>
              <w:jc w:val="right"/>
              <w:rPr>
                <w:rFonts w:ascii="Calibri" w:hAnsi="Calibri" w:cs="Calibri"/>
                <w:sz w:val="22"/>
                <w:szCs w:val="22"/>
              </w:rPr>
            </w:pPr>
            <w:r>
              <w:rPr>
                <w:rFonts w:ascii="Calibri" w:hAnsi="Calibri" w:cs="Calibri"/>
                <w:sz w:val="22"/>
                <w:szCs w:val="22"/>
              </w:rPr>
              <w:t>0,00</w:t>
            </w:r>
          </w:p>
        </w:tc>
        <w:tc>
          <w:tcPr>
            <w:tcW w:w="1506" w:type="dxa"/>
            <w:tcBorders>
              <w:top w:val="nil"/>
              <w:left w:val="nil"/>
              <w:bottom w:val="single" w:sz="4" w:space="0" w:color="auto"/>
              <w:right w:val="single" w:sz="4" w:space="0" w:color="auto"/>
            </w:tcBorders>
            <w:shd w:val="clear" w:color="000000" w:fill="FFFFFF"/>
            <w:vAlign w:val="bottom"/>
            <w:hideMark/>
          </w:tcPr>
          <w:p w14:paraId="3B6D5C11" w14:textId="77777777" w:rsidR="005369B3" w:rsidRDefault="005369B3">
            <w:pPr>
              <w:jc w:val="right"/>
              <w:rPr>
                <w:rFonts w:ascii="Calibri" w:hAnsi="Calibri" w:cs="Calibri"/>
                <w:sz w:val="22"/>
                <w:szCs w:val="22"/>
              </w:rPr>
            </w:pPr>
            <w:r>
              <w:rPr>
                <w:rFonts w:ascii="Calibri" w:hAnsi="Calibri" w:cs="Calibri"/>
                <w:sz w:val="22"/>
                <w:szCs w:val="22"/>
              </w:rPr>
              <w:t> </w:t>
            </w:r>
          </w:p>
        </w:tc>
        <w:tc>
          <w:tcPr>
            <w:tcW w:w="1506" w:type="dxa"/>
            <w:tcBorders>
              <w:top w:val="nil"/>
              <w:left w:val="nil"/>
              <w:bottom w:val="single" w:sz="4" w:space="0" w:color="auto"/>
              <w:right w:val="single" w:sz="4" w:space="0" w:color="auto"/>
            </w:tcBorders>
            <w:noWrap/>
            <w:vAlign w:val="bottom"/>
            <w:hideMark/>
          </w:tcPr>
          <w:p w14:paraId="6D71D78F" w14:textId="77777777" w:rsidR="005369B3" w:rsidRDefault="005369B3">
            <w:pPr>
              <w:jc w:val="right"/>
              <w:rPr>
                <w:rFonts w:ascii="Calibri" w:hAnsi="Calibri" w:cs="Calibri"/>
                <w:color w:val="000000"/>
                <w:sz w:val="22"/>
                <w:szCs w:val="22"/>
              </w:rPr>
            </w:pPr>
            <w:r>
              <w:rPr>
                <w:rFonts w:ascii="Calibri" w:hAnsi="Calibri" w:cs="Calibri"/>
                <w:color w:val="000000"/>
                <w:sz w:val="22"/>
                <w:szCs w:val="22"/>
              </w:rPr>
              <w:t>400,00</w:t>
            </w:r>
          </w:p>
        </w:tc>
        <w:tc>
          <w:tcPr>
            <w:tcW w:w="877" w:type="dxa"/>
            <w:tcBorders>
              <w:top w:val="nil"/>
              <w:left w:val="nil"/>
              <w:bottom w:val="single" w:sz="4" w:space="0" w:color="auto"/>
              <w:right w:val="single" w:sz="4" w:space="0" w:color="auto"/>
            </w:tcBorders>
            <w:noWrap/>
            <w:vAlign w:val="bottom"/>
            <w:hideMark/>
          </w:tcPr>
          <w:p w14:paraId="43676B8E" w14:textId="77777777" w:rsidR="005369B3" w:rsidRDefault="005369B3">
            <w:pPr>
              <w:jc w:val="center"/>
              <w:rPr>
                <w:rFonts w:ascii="Calibri" w:hAnsi="Calibri" w:cs="Calibri"/>
                <w:color w:val="000000"/>
                <w:sz w:val="22"/>
                <w:szCs w:val="22"/>
              </w:rPr>
            </w:pPr>
            <w:r>
              <w:rPr>
                <w:rFonts w:ascii="Calibri" w:hAnsi="Calibri" w:cs="Calibri"/>
                <w:color w:val="000000"/>
                <w:sz w:val="22"/>
                <w:szCs w:val="22"/>
              </w:rPr>
              <w:t>0%</w:t>
            </w:r>
          </w:p>
        </w:tc>
        <w:tc>
          <w:tcPr>
            <w:tcW w:w="607" w:type="dxa"/>
            <w:tcBorders>
              <w:top w:val="nil"/>
              <w:left w:val="nil"/>
              <w:bottom w:val="single" w:sz="4" w:space="0" w:color="auto"/>
              <w:right w:val="single" w:sz="4" w:space="0" w:color="auto"/>
            </w:tcBorders>
            <w:noWrap/>
            <w:vAlign w:val="bottom"/>
            <w:hideMark/>
          </w:tcPr>
          <w:p w14:paraId="719601EC" w14:textId="77777777" w:rsidR="005369B3" w:rsidRDefault="005369B3">
            <w:pPr>
              <w:jc w:val="center"/>
              <w:rPr>
                <w:rFonts w:ascii="Calibri" w:hAnsi="Calibri" w:cs="Calibri"/>
                <w:color w:val="000000"/>
                <w:sz w:val="22"/>
                <w:szCs w:val="22"/>
              </w:rPr>
            </w:pPr>
            <w:r>
              <w:rPr>
                <w:rFonts w:ascii="Calibri" w:hAnsi="Calibri" w:cs="Calibri"/>
                <w:color w:val="000000"/>
                <w:sz w:val="22"/>
                <w:szCs w:val="22"/>
              </w:rPr>
              <w:t> </w:t>
            </w:r>
          </w:p>
        </w:tc>
        <w:tc>
          <w:tcPr>
            <w:tcW w:w="222" w:type="dxa"/>
            <w:vAlign w:val="center"/>
            <w:hideMark/>
          </w:tcPr>
          <w:p w14:paraId="22D4A4AF" w14:textId="77777777" w:rsidR="005369B3" w:rsidRDefault="005369B3">
            <w:pPr>
              <w:rPr>
                <w:sz w:val="20"/>
                <w:szCs w:val="20"/>
              </w:rPr>
            </w:pPr>
          </w:p>
        </w:tc>
      </w:tr>
      <w:tr w:rsidR="005369B3" w14:paraId="469CB156" w14:textId="77777777" w:rsidTr="005369B3">
        <w:trPr>
          <w:trHeight w:val="290"/>
          <w:jc w:val="center"/>
        </w:trPr>
        <w:tc>
          <w:tcPr>
            <w:tcW w:w="665" w:type="dxa"/>
            <w:tcBorders>
              <w:top w:val="nil"/>
              <w:left w:val="single" w:sz="4" w:space="0" w:color="auto"/>
              <w:bottom w:val="single" w:sz="4" w:space="0" w:color="auto"/>
              <w:right w:val="single" w:sz="4" w:space="0" w:color="auto"/>
            </w:tcBorders>
            <w:noWrap/>
            <w:vAlign w:val="bottom"/>
            <w:hideMark/>
          </w:tcPr>
          <w:p w14:paraId="76436986" w14:textId="77777777" w:rsidR="005369B3" w:rsidRDefault="005369B3">
            <w:pPr>
              <w:jc w:val="center"/>
              <w:rPr>
                <w:rFonts w:ascii="Calibri" w:hAnsi="Calibri" w:cs="Calibri"/>
                <w:b/>
                <w:bCs/>
                <w:color w:val="000000"/>
                <w:sz w:val="22"/>
                <w:szCs w:val="22"/>
              </w:rPr>
            </w:pPr>
            <w:r>
              <w:rPr>
                <w:rFonts w:ascii="Calibri" w:hAnsi="Calibri" w:cs="Calibri"/>
                <w:b/>
                <w:bCs/>
                <w:color w:val="000000"/>
                <w:sz w:val="22"/>
                <w:szCs w:val="22"/>
              </w:rPr>
              <w:t>723</w:t>
            </w:r>
          </w:p>
        </w:tc>
        <w:tc>
          <w:tcPr>
            <w:tcW w:w="4101" w:type="dxa"/>
            <w:tcBorders>
              <w:top w:val="nil"/>
              <w:left w:val="nil"/>
              <w:bottom w:val="single" w:sz="4" w:space="0" w:color="auto"/>
              <w:right w:val="single" w:sz="4" w:space="0" w:color="auto"/>
            </w:tcBorders>
            <w:vAlign w:val="center"/>
            <w:hideMark/>
          </w:tcPr>
          <w:p w14:paraId="133429DA" w14:textId="77777777" w:rsidR="005369B3" w:rsidRDefault="005369B3">
            <w:pPr>
              <w:rPr>
                <w:rFonts w:ascii="Calibri" w:hAnsi="Calibri" w:cs="Calibri"/>
                <w:b/>
                <w:bCs/>
                <w:sz w:val="22"/>
                <w:szCs w:val="22"/>
              </w:rPr>
            </w:pPr>
            <w:r>
              <w:rPr>
                <w:rFonts w:ascii="Calibri" w:hAnsi="Calibri" w:cs="Calibri"/>
                <w:b/>
                <w:bCs/>
                <w:sz w:val="22"/>
                <w:szCs w:val="22"/>
              </w:rPr>
              <w:t xml:space="preserve">Prihodi od prodaje prijevoznih sredstava </w:t>
            </w:r>
          </w:p>
        </w:tc>
        <w:tc>
          <w:tcPr>
            <w:tcW w:w="1506" w:type="dxa"/>
            <w:tcBorders>
              <w:top w:val="nil"/>
              <w:left w:val="nil"/>
              <w:bottom w:val="single" w:sz="4" w:space="0" w:color="auto"/>
              <w:right w:val="single" w:sz="4" w:space="0" w:color="auto"/>
            </w:tcBorders>
            <w:vAlign w:val="center"/>
            <w:hideMark/>
          </w:tcPr>
          <w:p w14:paraId="53364086" w14:textId="77777777" w:rsidR="005369B3" w:rsidRDefault="005369B3">
            <w:pPr>
              <w:jc w:val="right"/>
              <w:rPr>
                <w:rFonts w:ascii="Calibri" w:hAnsi="Calibri" w:cs="Calibri"/>
                <w:b/>
                <w:bCs/>
                <w:sz w:val="22"/>
                <w:szCs w:val="22"/>
              </w:rPr>
            </w:pPr>
            <w:r>
              <w:rPr>
                <w:rFonts w:ascii="Calibri" w:hAnsi="Calibri" w:cs="Calibri"/>
                <w:b/>
                <w:bCs/>
                <w:sz w:val="22"/>
                <w:szCs w:val="22"/>
              </w:rPr>
              <w:t>56.080,00</w:t>
            </w:r>
          </w:p>
        </w:tc>
        <w:tc>
          <w:tcPr>
            <w:tcW w:w="1506" w:type="dxa"/>
            <w:tcBorders>
              <w:top w:val="nil"/>
              <w:left w:val="nil"/>
              <w:bottom w:val="single" w:sz="4" w:space="0" w:color="auto"/>
              <w:right w:val="single" w:sz="4" w:space="0" w:color="auto"/>
            </w:tcBorders>
            <w:vAlign w:val="center"/>
            <w:hideMark/>
          </w:tcPr>
          <w:p w14:paraId="63563496" w14:textId="77777777" w:rsidR="005369B3" w:rsidRDefault="005369B3">
            <w:pPr>
              <w:rPr>
                <w:rFonts w:ascii="Calibri" w:hAnsi="Calibri" w:cs="Calibri"/>
                <w:b/>
                <w:bCs/>
                <w:sz w:val="22"/>
                <w:szCs w:val="22"/>
              </w:rPr>
            </w:pPr>
            <w:r>
              <w:rPr>
                <w:rFonts w:ascii="Calibri" w:hAnsi="Calibri" w:cs="Calibri"/>
                <w:b/>
                <w:bCs/>
                <w:sz w:val="22"/>
                <w:szCs w:val="22"/>
              </w:rPr>
              <w:t> </w:t>
            </w:r>
          </w:p>
        </w:tc>
        <w:tc>
          <w:tcPr>
            <w:tcW w:w="1506" w:type="dxa"/>
            <w:tcBorders>
              <w:top w:val="nil"/>
              <w:left w:val="nil"/>
              <w:bottom w:val="single" w:sz="4" w:space="0" w:color="auto"/>
              <w:right w:val="single" w:sz="4" w:space="0" w:color="auto"/>
            </w:tcBorders>
            <w:vAlign w:val="center"/>
            <w:hideMark/>
          </w:tcPr>
          <w:p w14:paraId="7D2C4B82" w14:textId="77777777" w:rsidR="005369B3" w:rsidRDefault="005369B3">
            <w:pPr>
              <w:jc w:val="right"/>
              <w:rPr>
                <w:rFonts w:ascii="Calibri" w:hAnsi="Calibri" w:cs="Calibri"/>
                <w:b/>
                <w:bCs/>
                <w:sz w:val="22"/>
                <w:szCs w:val="22"/>
              </w:rPr>
            </w:pPr>
            <w:r>
              <w:rPr>
                <w:rFonts w:ascii="Calibri" w:hAnsi="Calibri" w:cs="Calibri"/>
                <w:b/>
                <w:bCs/>
                <w:sz w:val="22"/>
                <w:szCs w:val="22"/>
              </w:rPr>
              <w:t>1.942,40</w:t>
            </w:r>
          </w:p>
        </w:tc>
        <w:tc>
          <w:tcPr>
            <w:tcW w:w="877" w:type="dxa"/>
            <w:tcBorders>
              <w:top w:val="nil"/>
              <w:left w:val="nil"/>
              <w:bottom w:val="single" w:sz="4" w:space="0" w:color="auto"/>
              <w:right w:val="single" w:sz="4" w:space="0" w:color="auto"/>
            </w:tcBorders>
            <w:noWrap/>
            <w:vAlign w:val="bottom"/>
            <w:hideMark/>
          </w:tcPr>
          <w:p w14:paraId="2759C572" w14:textId="77777777" w:rsidR="005369B3" w:rsidRDefault="005369B3">
            <w:pPr>
              <w:jc w:val="center"/>
              <w:rPr>
                <w:rFonts w:ascii="Calibri" w:hAnsi="Calibri" w:cs="Calibri"/>
                <w:color w:val="000000"/>
                <w:sz w:val="22"/>
                <w:szCs w:val="22"/>
              </w:rPr>
            </w:pPr>
            <w:r>
              <w:rPr>
                <w:rFonts w:ascii="Calibri" w:hAnsi="Calibri" w:cs="Calibri"/>
                <w:color w:val="000000"/>
                <w:sz w:val="22"/>
                <w:szCs w:val="22"/>
              </w:rPr>
              <w:t>3%</w:t>
            </w:r>
          </w:p>
        </w:tc>
        <w:tc>
          <w:tcPr>
            <w:tcW w:w="607" w:type="dxa"/>
            <w:tcBorders>
              <w:top w:val="nil"/>
              <w:left w:val="nil"/>
              <w:bottom w:val="single" w:sz="4" w:space="0" w:color="auto"/>
              <w:right w:val="single" w:sz="4" w:space="0" w:color="auto"/>
            </w:tcBorders>
            <w:noWrap/>
            <w:vAlign w:val="bottom"/>
            <w:hideMark/>
          </w:tcPr>
          <w:p w14:paraId="39F86CC6" w14:textId="77777777" w:rsidR="005369B3" w:rsidRDefault="005369B3">
            <w:pPr>
              <w:jc w:val="center"/>
              <w:rPr>
                <w:rFonts w:ascii="Calibri" w:hAnsi="Calibri" w:cs="Calibri"/>
                <w:b/>
                <w:bCs/>
                <w:color w:val="000000"/>
                <w:sz w:val="22"/>
                <w:szCs w:val="22"/>
              </w:rPr>
            </w:pPr>
            <w:r>
              <w:rPr>
                <w:rFonts w:ascii="Calibri" w:hAnsi="Calibri" w:cs="Calibri"/>
                <w:b/>
                <w:bCs/>
                <w:color w:val="000000"/>
                <w:sz w:val="22"/>
                <w:szCs w:val="22"/>
              </w:rPr>
              <w:t> </w:t>
            </w:r>
          </w:p>
        </w:tc>
        <w:tc>
          <w:tcPr>
            <w:tcW w:w="222" w:type="dxa"/>
            <w:vAlign w:val="center"/>
            <w:hideMark/>
          </w:tcPr>
          <w:p w14:paraId="0A71B0EA" w14:textId="77777777" w:rsidR="005369B3" w:rsidRDefault="005369B3">
            <w:pPr>
              <w:rPr>
                <w:sz w:val="20"/>
                <w:szCs w:val="20"/>
              </w:rPr>
            </w:pPr>
          </w:p>
        </w:tc>
      </w:tr>
      <w:tr w:rsidR="005369B3" w14:paraId="1CDD0F12" w14:textId="77777777" w:rsidTr="005369B3">
        <w:trPr>
          <w:trHeight w:val="290"/>
          <w:jc w:val="center"/>
        </w:trPr>
        <w:tc>
          <w:tcPr>
            <w:tcW w:w="665" w:type="dxa"/>
            <w:tcBorders>
              <w:top w:val="nil"/>
              <w:left w:val="single" w:sz="4" w:space="0" w:color="auto"/>
              <w:bottom w:val="single" w:sz="4" w:space="0" w:color="auto"/>
              <w:right w:val="single" w:sz="4" w:space="0" w:color="auto"/>
            </w:tcBorders>
            <w:noWrap/>
            <w:vAlign w:val="bottom"/>
            <w:hideMark/>
          </w:tcPr>
          <w:p w14:paraId="044C1028" w14:textId="77777777" w:rsidR="005369B3" w:rsidRDefault="005369B3">
            <w:pPr>
              <w:jc w:val="center"/>
              <w:rPr>
                <w:rFonts w:ascii="Calibri" w:hAnsi="Calibri" w:cs="Calibri"/>
                <w:color w:val="000000"/>
                <w:sz w:val="22"/>
                <w:szCs w:val="22"/>
              </w:rPr>
            </w:pPr>
            <w:r>
              <w:rPr>
                <w:rFonts w:ascii="Calibri" w:hAnsi="Calibri" w:cs="Calibri"/>
                <w:color w:val="000000"/>
                <w:sz w:val="22"/>
                <w:szCs w:val="22"/>
              </w:rPr>
              <w:t>7231</w:t>
            </w:r>
          </w:p>
        </w:tc>
        <w:tc>
          <w:tcPr>
            <w:tcW w:w="4101" w:type="dxa"/>
            <w:tcBorders>
              <w:top w:val="nil"/>
              <w:left w:val="nil"/>
              <w:bottom w:val="single" w:sz="4" w:space="0" w:color="auto"/>
              <w:right w:val="single" w:sz="4" w:space="0" w:color="auto"/>
            </w:tcBorders>
            <w:vAlign w:val="center"/>
            <w:hideMark/>
          </w:tcPr>
          <w:p w14:paraId="75146ED3" w14:textId="77777777" w:rsidR="005369B3" w:rsidRDefault="005369B3">
            <w:pPr>
              <w:rPr>
                <w:rFonts w:ascii="Calibri" w:hAnsi="Calibri" w:cs="Calibri"/>
                <w:sz w:val="22"/>
                <w:szCs w:val="22"/>
              </w:rPr>
            </w:pPr>
            <w:r>
              <w:rPr>
                <w:rFonts w:ascii="Calibri" w:hAnsi="Calibri" w:cs="Calibri"/>
                <w:sz w:val="22"/>
                <w:szCs w:val="22"/>
              </w:rPr>
              <w:t xml:space="preserve">Prihodi od prodaje prijevoznih sredstava </w:t>
            </w:r>
          </w:p>
        </w:tc>
        <w:tc>
          <w:tcPr>
            <w:tcW w:w="1506" w:type="dxa"/>
            <w:tcBorders>
              <w:top w:val="nil"/>
              <w:left w:val="nil"/>
              <w:bottom w:val="single" w:sz="4" w:space="0" w:color="auto"/>
              <w:right w:val="single" w:sz="4" w:space="0" w:color="auto"/>
            </w:tcBorders>
            <w:vAlign w:val="center"/>
            <w:hideMark/>
          </w:tcPr>
          <w:p w14:paraId="2BEC7982" w14:textId="77777777" w:rsidR="005369B3" w:rsidRDefault="005369B3">
            <w:pPr>
              <w:jc w:val="right"/>
              <w:rPr>
                <w:rFonts w:ascii="Calibri" w:hAnsi="Calibri" w:cs="Calibri"/>
                <w:sz w:val="22"/>
                <w:szCs w:val="22"/>
              </w:rPr>
            </w:pPr>
            <w:r>
              <w:rPr>
                <w:rFonts w:ascii="Calibri" w:hAnsi="Calibri" w:cs="Calibri"/>
                <w:sz w:val="22"/>
                <w:szCs w:val="22"/>
              </w:rPr>
              <w:t>56.080,00</w:t>
            </w:r>
          </w:p>
        </w:tc>
        <w:tc>
          <w:tcPr>
            <w:tcW w:w="1506" w:type="dxa"/>
            <w:tcBorders>
              <w:top w:val="nil"/>
              <w:left w:val="nil"/>
              <w:bottom w:val="single" w:sz="4" w:space="0" w:color="auto"/>
              <w:right w:val="single" w:sz="4" w:space="0" w:color="auto"/>
            </w:tcBorders>
            <w:shd w:val="clear" w:color="000000" w:fill="FFFFFF"/>
            <w:vAlign w:val="bottom"/>
            <w:hideMark/>
          </w:tcPr>
          <w:p w14:paraId="29FE3696" w14:textId="77777777" w:rsidR="005369B3" w:rsidRDefault="005369B3">
            <w:pPr>
              <w:jc w:val="right"/>
              <w:rPr>
                <w:rFonts w:ascii="Calibri" w:hAnsi="Calibri" w:cs="Calibri"/>
                <w:sz w:val="22"/>
                <w:szCs w:val="22"/>
              </w:rPr>
            </w:pPr>
            <w:r>
              <w:rPr>
                <w:rFonts w:ascii="Calibri" w:hAnsi="Calibri" w:cs="Calibri"/>
                <w:sz w:val="22"/>
                <w:szCs w:val="22"/>
              </w:rPr>
              <w:t> </w:t>
            </w:r>
          </w:p>
        </w:tc>
        <w:tc>
          <w:tcPr>
            <w:tcW w:w="1506" w:type="dxa"/>
            <w:tcBorders>
              <w:top w:val="nil"/>
              <w:left w:val="nil"/>
              <w:bottom w:val="single" w:sz="4" w:space="0" w:color="auto"/>
              <w:right w:val="single" w:sz="4" w:space="0" w:color="auto"/>
            </w:tcBorders>
            <w:noWrap/>
            <w:vAlign w:val="bottom"/>
            <w:hideMark/>
          </w:tcPr>
          <w:p w14:paraId="1880E17A" w14:textId="77777777" w:rsidR="005369B3" w:rsidRDefault="005369B3">
            <w:pPr>
              <w:jc w:val="right"/>
              <w:rPr>
                <w:rFonts w:ascii="Calibri" w:hAnsi="Calibri" w:cs="Calibri"/>
                <w:color w:val="000000"/>
                <w:sz w:val="22"/>
                <w:szCs w:val="22"/>
              </w:rPr>
            </w:pPr>
            <w:r>
              <w:rPr>
                <w:rFonts w:ascii="Calibri" w:hAnsi="Calibri" w:cs="Calibri"/>
                <w:color w:val="000000"/>
                <w:sz w:val="22"/>
                <w:szCs w:val="22"/>
              </w:rPr>
              <w:t>1.942,40</w:t>
            </w:r>
          </w:p>
        </w:tc>
        <w:tc>
          <w:tcPr>
            <w:tcW w:w="877" w:type="dxa"/>
            <w:tcBorders>
              <w:top w:val="nil"/>
              <w:left w:val="nil"/>
              <w:bottom w:val="single" w:sz="4" w:space="0" w:color="auto"/>
              <w:right w:val="single" w:sz="4" w:space="0" w:color="auto"/>
            </w:tcBorders>
            <w:noWrap/>
            <w:vAlign w:val="bottom"/>
            <w:hideMark/>
          </w:tcPr>
          <w:p w14:paraId="2356B5A7" w14:textId="77777777" w:rsidR="005369B3" w:rsidRDefault="005369B3">
            <w:pPr>
              <w:jc w:val="center"/>
              <w:rPr>
                <w:rFonts w:ascii="Calibri" w:hAnsi="Calibri" w:cs="Calibri"/>
                <w:color w:val="000000"/>
                <w:sz w:val="22"/>
                <w:szCs w:val="22"/>
              </w:rPr>
            </w:pPr>
            <w:r>
              <w:rPr>
                <w:rFonts w:ascii="Calibri" w:hAnsi="Calibri" w:cs="Calibri"/>
                <w:color w:val="000000"/>
                <w:sz w:val="22"/>
                <w:szCs w:val="22"/>
              </w:rPr>
              <w:t>3%</w:t>
            </w:r>
          </w:p>
        </w:tc>
        <w:tc>
          <w:tcPr>
            <w:tcW w:w="607" w:type="dxa"/>
            <w:tcBorders>
              <w:top w:val="nil"/>
              <w:left w:val="nil"/>
              <w:bottom w:val="single" w:sz="4" w:space="0" w:color="auto"/>
              <w:right w:val="single" w:sz="4" w:space="0" w:color="auto"/>
            </w:tcBorders>
            <w:noWrap/>
            <w:vAlign w:val="bottom"/>
            <w:hideMark/>
          </w:tcPr>
          <w:p w14:paraId="50838136" w14:textId="77777777" w:rsidR="005369B3" w:rsidRDefault="005369B3">
            <w:pPr>
              <w:jc w:val="center"/>
              <w:rPr>
                <w:rFonts w:ascii="Calibri" w:hAnsi="Calibri" w:cs="Calibri"/>
                <w:color w:val="000000"/>
                <w:sz w:val="22"/>
                <w:szCs w:val="22"/>
              </w:rPr>
            </w:pPr>
            <w:r>
              <w:rPr>
                <w:rFonts w:ascii="Calibri" w:hAnsi="Calibri" w:cs="Calibri"/>
                <w:color w:val="000000"/>
                <w:sz w:val="22"/>
                <w:szCs w:val="22"/>
              </w:rPr>
              <w:t> </w:t>
            </w:r>
          </w:p>
        </w:tc>
        <w:tc>
          <w:tcPr>
            <w:tcW w:w="222" w:type="dxa"/>
            <w:vAlign w:val="center"/>
            <w:hideMark/>
          </w:tcPr>
          <w:p w14:paraId="6000E1A3" w14:textId="77777777" w:rsidR="005369B3" w:rsidRDefault="005369B3">
            <w:pPr>
              <w:rPr>
                <w:sz w:val="20"/>
                <w:szCs w:val="20"/>
              </w:rPr>
            </w:pPr>
          </w:p>
        </w:tc>
      </w:tr>
      <w:tr w:rsidR="005369B3" w14:paraId="7A03C3A2" w14:textId="77777777" w:rsidTr="005369B3">
        <w:trPr>
          <w:trHeight w:val="430"/>
          <w:jc w:val="center"/>
        </w:trPr>
        <w:tc>
          <w:tcPr>
            <w:tcW w:w="665" w:type="dxa"/>
            <w:tcBorders>
              <w:top w:val="nil"/>
              <w:left w:val="single" w:sz="4" w:space="0" w:color="auto"/>
              <w:bottom w:val="single" w:sz="4" w:space="0" w:color="auto"/>
              <w:right w:val="single" w:sz="4" w:space="0" w:color="auto"/>
            </w:tcBorders>
            <w:shd w:val="clear" w:color="000000" w:fill="D9D9D9"/>
            <w:noWrap/>
            <w:vAlign w:val="bottom"/>
            <w:hideMark/>
          </w:tcPr>
          <w:p w14:paraId="6797EBBF" w14:textId="77777777" w:rsidR="005369B3" w:rsidRDefault="005369B3">
            <w:pPr>
              <w:jc w:val="center"/>
              <w:rPr>
                <w:rFonts w:ascii="Calibri" w:hAnsi="Calibri" w:cs="Calibri"/>
                <w:color w:val="000000"/>
                <w:sz w:val="22"/>
                <w:szCs w:val="22"/>
              </w:rPr>
            </w:pPr>
            <w:r>
              <w:rPr>
                <w:rFonts w:ascii="Calibri" w:hAnsi="Calibri" w:cs="Calibri"/>
                <w:color w:val="000000"/>
                <w:sz w:val="22"/>
                <w:szCs w:val="22"/>
              </w:rPr>
              <w:t> </w:t>
            </w:r>
          </w:p>
        </w:tc>
        <w:tc>
          <w:tcPr>
            <w:tcW w:w="4101" w:type="dxa"/>
            <w:tcBorders>
              <w:top w:val="nil"/>
              <w:left w:val="nil"/>
              <w:bottom w:val="single" w:sz="4" w:space="0" w:color="auto"/>
              <w:right w:val="single" w:sz="4" w:space="0" w:color="auto"/>
            </w:tcBorders>
            <w:shd w:val="clear" w:color="000000" w:fill="D9D9D9"/>
            <w:noWrap/>
            <w:vAlign w:val="bottom"/>
            <w:hideMark/>
          </w:tcPr>
          <w:p w14:paraId="4A3BDFCB" w14:textId="77777777" w:rsidR="005369B3" w:rsidRDefault="005369B3">
            <w:pPr>
              <w:jc w:val="center"/>
              <w:rPr>
                <w:rFonts w:ascii="Calibri" w:hAnsi="Calibri" w:cs="Calibri"/>
                <w:b/>
                <w:bCs/>
                <w:color w:val="0000FF"/>
              </w:rPr>
            </w:pPr>
            <w:r>
              <w:rPr>
                <w:rFonts w:ascii="Calibri" w:hAnsi="Calibri" w:cs="Calibri"/>
                <w:b/>
                <w:bCs/>
                <w:color w:val="0000FF"/>
              </w:rPr>
              <w:t>UKUPNO PRIHODI I PRIMICI</w:t>
            </w:r>
          </w:p>
        </w:tc>
        <w:tc>
          <w:tcPr>
            <w:tcW w:w="1506" w:type="dxa"/>
            <w:tcBorders>
              <w:top w:val="nil"/>
              <w:left w:val="nil"/>
              <w:bottom w:val="single" w:sz="4" w:space="0" w:color="auto"/>
              <w:right w:val="single" w:sz="4" w:space="0" w:color="auto"/>
            </w:tcBorders>
            <w:shd w:val="clear" w:color="000000" w:fill="D9D9D9"/>
            <w:noWrap/>
            <w:vAlign w:val="bottom"/>
            <w:hideMark/>
          </w:tcPr>
          <w:p w14:paraId="76054DAD" w14:textId="77777777" w:rsidR="005369B3" w:rsidRDefault="005369B3">
            <w:pPr>
              <w:jc w:val="right"/>
              <w:rPr>
                <w:rFonts w:ascii="Calibri" w:hAnsi="Calibri" w:cs="Calibri"/>
                <w:b/>
                <w:bCs/>
                <w:color w:val="0000FF"/>
                <w:sz w:val="22"/>
                <w:szCs w:val="22"/>
              </w:rPr>
            </w:pPr>
            <w:r>
              <w:rPr>
                <w:rFonts w:ascii="Calibri" w:hAnsi="Calibri" w:cs="Calibri"/>
                <w:b/>
                <w:bCs/>
                <w:color w:val="0000FF"/>
                <w:sz w:val="22"/>
                <w:szCs w:val="22"/>
              </w:rPr>
              <w:t>31.291.915,26</w:t>
            </w:r>
          </w:p>
        </w:tc>
        <w:tc>
          <w:tcPr>
            <w:tcW w:w="1506" w:type="dxa"/>
            <w:tcBorders>
              <w:top w:val="nil"/>
              <w:left w:val="nil"/>
              <w:bottom w:val="single" w:sz="4" w:space="0" w:color="auto"/>
              <w:right w:val="single" w:sz="4" w:space="0" w:color="auto"/>
            </w:tcBorders>
            <w:shd w:val="clear" w:color="000000" w:fill="D9D9D9"/>
            <w:noWrap/>
            <w:vAlign w:val="bottom"/>
            <w:hideMark/>
          </w:tcPr>
          <w:p w14:paraId="4481EB5F" w14:textId="77777777" w:rsidR="005369B3" w:rsidRDefault="005369B3">
            <w:pPr>
              <w:jc w:val="right"/>
              <w:rPr>
                <w:rFonts w:ascii="Calibri" w:hAnsi="Calibri" w:cs="Calibri"/>
                <w:b/>
                <w:bCs/>
                <w:color w:val="0000FF"/>
                <w:sz w:val="22"/>
                <w:szCs w:val="22"/>
              </w:rPr>
            </w:pPr>
            <w:r>
              <w:rPr>
                <w:rFonts w:ascii="Calibri" w:hAnsi="Calibri" w:cs="Calibri"/>
                <w:b/>
                <w:bCs/>
                <w:color w:val="0000FF"/>
                <w:sz w:val="22"/>
                <w:szCs w:val="22"/>
              </w:rPr>
              <w:t>35.169.000,00</w:t>
            </w:r>
          </w:p>
        </w:tc>
        <w:tc>
          <w:tcPr>
            <w:tcW w:w="1506" w:type="dxa"/>
            <w:tcBorders>
              <w:top w:val="nil"/>
              <w:left w:val="nil"/>
              <w:bottom w:val="single" w:sz="4" w:space="0" w:color="auto"/>
              <w:right w:val="single" w:sz="4" w:space="0" w:color="auto"/>
            </w:tcBorders>
            <w:shd w:val="clear" w:color="000000" w:fill="D9D9D9"/>
            <w:noWrap/>
            <w:vAlign w:val="bottom"/>
            <w:hideMark/>
          </w:tcPr>
          <w:p w14:paraId="472F695D" w14:textId="77777777" w:rsidR="005369B3" w:rsidRDefault="005369B3">
            <w:pPr>
              <w:jc w:val="right"/>
              <w:rPr>
                <w:rFonts w:ascii="Calibri" w:hAnsi="Calibri" w:cs="Calibri"/>
                <w:b/>
                <w:bCs/>
                <w:color w:val="0000FF"/>
                <w:sz w:val="22"/>
                <w:szCs w:val="22"/>
              </w:rPr>
            </w:pPr>
            <w:r>
              <w:rPr>
                <w:rFonts w:ascii="Calibri" w:hAnsi="Calibri" w:cs="Calibri"/>
                <w:b/>
                <w:bCs/>
                <w:color w:val="0000FF"/>
                <w:sz w:val="22"/>
                <w:szCs w:val="22"/>
              </w:rPr>
              <w:t>34.877.488,57</w:t>
            </w:r>
          </w:p>
        </w:tc>
        <w:tc>
          <w:tcPr>
            <w:tcW w:w="877" w:type="dxa"/>
            <w:tcBorders>
              <w:top w:val="nil"/>
              <w:left w:val="nil"/>
              <w:bottom w:val="single" w:sz="4" w:space="0" w:color="auto"/>
              <w:right w:val="single" w:sz="4" w:space="0" w:color="auto"/>
            </w:tcBorders>
            <w:shd w:val="clear" w:color="000000" w:fill="D9D9D9"/>
            <w:noWrap/>
            <w:vAlign w:val="bottom"/>
            <w:hideMark/>
          </w:tcPr>
          <w:p w14:paraId="00E9E410" w14:textId="77777777" w:rsidR="005369B3" w:rsidRDefault="005369B3">
            <w:pPr>
              <w:jc w:val="center"/>
              <w:rPr>
                <w:rFonts w:ascii="Calibri" w:hAnsi="Calibri" w:cs="Calibri"/>
                <w:b/>
                <w:bCs/>
                <w:color w:val="0000FF"/>
                <w:sz w:val="22"/>
                <w:szCs w:val="22"/>
              </w:rPr>
            </w:pPr>
            <w:r>
              <w:rPr>
                <w:rFonts w:ascii="Calibri" w:hAnsi="Calibri" w:cs="Calibri"/>
                <w:b/>
                <w:bCs/>
                <w:color w:val="0000FF"/>
                <w:sz w:val="22"/>
                <w:szCs w:val="22"/>
              </w:rPr>
              <w:t>111%</w:t>
            </w:r>
          </w:p>
        </w:tc>
        <w:tc>
          <w:tcPr>
            <w:tcW w:w="607" w:type="dxa"/>
            <w:tcBorders>
              <w:top w:val="nil"/>
              <w:left w:val="nil"/>
              <w:bottom w:val="single" w:sz="4" w:space="0" w:color="auto"/>
              <w:right w:val="single" w:sz="4" w:space="0" w:color="auto"/>
            </w:tcBorders>
            <w:shd w:val="clear" w:color="000000" w:fill="D9D9D9"/>
            <w:noWrap/>
            <w:vAlign w:val="bottom"/>
            <w:hideMark/>
          </w:tcPr>
          <w:p w14:paraId="27DEF409" w14:textId="77777777" w:rsidR="005369B3" w:rsidRDefault="005369B3">
            <w:pPr>
              <w:jc w:val="center"/>
              <w:rPr>
                <w:rFonts w:ascii="Calibri" w:hAnsi="Calibri" w:cs="Calibri"/>
                <w:b/>
                <w:bCs/>
                <w:color w:val="0000FF"/>
                <w:sz w:val="22"/>
                <w:szCs w:val="22"/>
              </w:rPr>
            </w:pPr>
            <w:r>
              <w:rPr>
                <w:rFonts w:ascii="Calibri" w:hAnsi="Calibri" w:cs="Calibri"/>
                <w:b/>
                <w:bCs/>
                <w:color w:val="0000FF"/>
                <w:sz w:val="22"/>
                <w:szCs w:val="22"/>
              </w:rPr>
              <w:t>99%</w:t>
            </w:r>
          </w:p>
        </w:tc>
        <w:tc>
          <w:tcPr>
            <w:tcW w:w="222" w:type="dxa"/>
            <w:vAlign w:val="center"/>
            <w:hideMark/>
          </w:tcPr>
          <w:p w14:paraId="2F44B5EB" w14:textId="77777777" w:rsidR="005369B3" w:rsidRDefault="005369B3">
            <w:pPr>
              <w:rPr>
                <w:sz w:val="20"/>
                <w:szCs w:val="20"/>
              </w:rPr>
            </w:pPr>
          </w:p>
        </w:tc>
      </w:tr>
    </w:tbl>
    <w:p w14:paraId="1FB52266" w14:textId="77777777" w:rsidR="00B22107" w:rsidRDefault="00B22107" w:rsidP="00B22107">
      <w:pPr>
        <w:jc w:val="center"/>
        <w:rPr>
          <w:rFonts w:ascii="Arial" w:hAnsi="Arial" w:cs="Arial"/>
          <w:b/>
          <w:bCs/>
          <w:sz w:val="22"/>
          <w:szCs w:val="22"/>
        </w:rPr>
      </w:pPr>
    </w:p>
    <w:p w14:paraId="7DE9DE1A" w14:textId="77777777" w:rsidR="00953031" w:rsidRPr="004F3556" w:rsidRDefault="00953031" w:rsidP="00B22107">
      <w:pPr>
        <w:jc w:val="center"/>
        <w:rPr>
          <w:rFonts w:ascii="Arial" w:hAnsi="Arial" w:cs="Arial"/>
          <w:b/>
          <w:bCs/>
          <w:sz w:val="22"/>
          <w:szCs w:val="22"/>
        </w:rPr>
      </w:pPr>
    </w:p>
    <w:p w14:paraId="3B0EF436" w14:textId="77777777" w:rsidR="005F3968" w:rsidRPr="004F3556" w:rsidRDefault="005F3968" w:rsidP="004909A5">
      <w:pPr>
        <w:rPr>
          <w:rFonts w:ascii="Arial" w:hAnsi="Arial" w:cs="Arial"/>
          <w:b/>
          <w:bCs/>
          <w:szCs w:val="22"/>
        </w:rPr>
      </w:pPr>
    </w:p>
    <w:p w14:paraId="7C90970C" w14:textId="5CEC0DC2" w:rsidR="003378D3" w:rsidRPr="00184F72" w:rsidRDefault="00CA57BF" w:rsidP="00953031">
      <w:pPr>
        <w:spacing w:line="276" w:lineRule="auto"/>
        <w:jc w:val="both"/>
        <w:rPr>
          <w:rFonts w:ascii="Arial" w:hAnsi="Arial" w:cs="Arial"/>
          <w:sz w:val="22"/>
          <w:szCs w:val="22"/>
        </w:rPr>
      </w:pPr>
      <w:r w:rsidRPr="00184F72">
        <w:rPr>
          <w:rFonts w:ascii="Arial" w:hAnsi="Arial" w:cs="Arial"/>
          <w:sz w:val="22"/>
          <w:szCs w:val="22"/>
        </w:rPr>
        <w:lastRenderedPageBreak/>
        <w:t xml:space="preserve">Istarski domovi zdravlja su </w:t>
      </w:r>
      <w:r w:rsidR="00235F8A" w:rsidRPr="00184F72">
        <w:rPr>
          <w:rFonts w:ascii="Arial" w:hAnsi="Arial" w:cs="Arial"/>
          <w:sz w:val="22"/>
          <w:szCs w:val="22"/>
        </w:rPr>
        <w:t>za 202</w:t>
      </w:r>
      <w:r w:rsidR="00184F72" w:rsidRPr="00184F72">
        <w:rPr>
          <w:rFonts w:ascii="Arial" w:hAnsi="Arial" w:cs="Arial"/>
          <w:sz w:val="22"/>
          <w:szCs w:val="22"/>
        </w:rPr>
        <w:t>5</w:t>
      </w:r>
      <w:r w:rsidR="00235F8A" w:rsidRPr="00184F72">
        <w:rPr>
          <w:rFonts w:ascii="Arial" w:hAnsi="Arial" w:cs="Arial"/>
          <w:sz w:val="22"/>
          <w:szCs w:val="22"/>
        </w:rPr>
        <w:t xml:space="preserve">. g. </w:t>
      </w:r>
      <w:r w:rsidRPr="00184F72">
        <w:rPr>
          <w:rFonts w:ascii="Arial" w:hAnsi="Arial" w:cs="Arial"/>
          <w:sz w:val="22"/>
          <w:szCs w:val="22"/>
        </w:rPr>
        <w:t xml:space="preserve">izradili </w:t>
      </w:r>
      <w:r w:rsidR="00E07252" w:rsidRPr="00184F72">
        <w:rPr>
          <w:rFonts w:ascii="Arial" w:hAnsi="Arial" w:cs="Arial"/>
          <w:sz w:val="22"/>
          <w:szCs w:val="22"/>
        </w:rPr>
        <w:t>F</w:t>
      </w:r>
      <w:r w:rsidRPr="00184F72">
        <w:rPr>
          <w:rFonts w:ascii="Arial" w:hAnsi="Arial" w:cs="Arial"/>
          <w:sz w:val="22"/>
          <w:szCs w:val="22"/>
        </w:rPr>
        <w:t xml:space="preserve">inancijski plan </w:t>
      </w:r>
      <w:r w:rsidR="00235F8A" w:rsidRPr="00184F72">
        <w:rPr>
          <w:rFonts w:ascii="Arial" w:hAnsi="Arial" w:cs="Arial"/>
          <w:sz w:val="22"/>
          <w:szCs w:val="22"/>
        </w:rPr>
        <w:t>s planiranim iznosom prihoda od</w:t>
      </w:r>
      <w:r w:rsidRPr="00184F72">
        <w:rPr>
          <w:rFonts w:ascii="Arial" w:hAnsi="Arial" w:cs="Arial"/>
          <w:sz w:val="22"/>
          <w:szCs w:val="22"/>
        </w:rPr>
        <w:t xml:space="preserve"> 3</w:t>
      </w:r>
      <w:r w:rsidR="00235F8A" w:rsidRPr="00184F72">
        <w:rPr>
          <w:rFonts w:ascii="Arial" w:hAnsi="Arial" w:cs="Arial"/>
          <w:sz w:val="22"/>
          <w:szCs w:val="22"/>
        </w:rPr>
        <w:t>5.169.000,00</w:t>
      </w:r>
      <w:r w:rsidRPr="00184F72">
        <w:rPr>
          <w:rFonts w:ascii="Arial" w:hAnsi="Arial" w:cs="Arial"/>
          <w:sz w:val="22"/>
          <w:szCs w:val="22"/>
        </w:rPr>
        <w:t xml:space="preserve"> eura</w:t>
      </w:r>
      <w:r w:rsidR="00235F8A" w:rsidRPr="00184F72">
        <w:rPr>
          <w:rFonts w:ascii="Arial" w:hAnsi="Arial" w:cs="Arial"/>
          <w:sz w:val="22"/>
          <w:szCs w:val="22"/>
        </w:rPr>
        <w:t>.</w:t>
      </w:r>
      <w:r w:rsidRPr="00184F72">
        <w:rPr>
          <w:rFonts w:ascii="Arial" w:hAnsi="Arial" w:cs="Arial"/>
          <w:sz w:val="22"/>
          <w:szCs w:val="22"/>
        </w:rPr>
        <w:t xml:space="preserve"> Najveć</w:t>
      </w:r>
      <w:r w:rsidR="008A3FED" w:rsidRPr="00184F72">
        <w:rPr>
          <w:rFonts w:ascii="Arial" w:hAnsi="Arial" w:cs="Arial"/>
          <w:sz w:val="22"/>
          <w:szCs w:val="22"/>
        </w:rPr>
        <w:t xml:space="preserve">i udio u ukupnim prihodima </w:t>
      </w:r>
      <w:r w:rsidR="00E07252" w:rsidRPr="00184F72">
        <w:rPr>
          <w:rFonts w:ascii="Arial" w:hAnsi="Arial" w:cs="Arial"/>
          <w:sz w:val="22"/>
          <w:szCs w:val="22"/>
        </w:rPr>
        <w:t>kao glavni izvor financiranja poslovanj</w:t>
      </w:r>
      <w:r w:rsidR="000B2A6A" w:rsidRPr="00184F72">
        <w:rPr>
          <w:rFonts w:ascii="Arial" w:hAnsi="Arial" w:cs="Arial"/>
          <w:sz w:val="22"/>
          <w:szCs w:val="22"/>
        </w:rPr>
        <w:t>a</w:t>
      </w:r>
      <w:r w:rsidR="00E07252" w:rsidRPr="00184F72">
        <w:rPr>
          <w:rFonts w:ascii="Arial" w:hAnsi="Arial" w:cs="Arial"/>
          <w:sz w:val="22"/>
          <w:szCs w:val="22"/>
        </w:rPr>
        <w:t xml:space="preserve"> Ustanove </w:t>
      </w:r>
      <w:r w:rsidR="008A3FED" w:rsidRPr="00184F72">
        <w:rPr>
          <w:rFonts w:ascii="Arial" w:hAnsi="Arial" w:cs="Arial"/>
          <w:sz w:val="22"/>
          <w:szCs w:val="22"/>
        </w:rPr>
        <w:t xml:space="preserve">imaju prihodi HZZO s </w:t>
      </w:r>
      <w:r w:rsidR="00E07252" w:rsidRPr="00184F72">
        <w:rPr>
          <w:rFonts w:ascii="Arial" w:hAnsi="Arial" w:cs="Arial"/>
          <w:sz w:val="22"/>
          <w:szCs w:val="22"/>
        </w:rPr>
        <w:t>72</w:t>
      </w:r>
      <w:r w:rsidR="008A3FED" w:rsidRPr="00184F72">
        <w:rPr>
          <w:rFonts w:ascii="Arial" w:hAnsi="Arial" w:cs="Arial"/>
          <w:sz w:val="22"/>
          <w:szCs w:val="22"/>
        </w:rPr>
        <w:t>%</w:t>
      </w:r>
      <w:r w:rsidR="005F3968" w:rsidRPr="00184F72">
        <w:rPr>
          <w:rFonts w:ascii="Arial" w:hAnsi="Arial" w:cs="Arial"/>
          <w:sz w:val="22"/>
          <w:szCs w:val="22"/>
        </w:rPr>
        <w:t xml:space="preserve">. </w:t>
      </w:r>
      <w:r w:rsidR="000B2A6A" w:rsidRPr="00184F72">
        <w:rPr>
          <w:rFonts w:ascii="Arial" w:hAnsi="Arial" w:cs="Arial"/>
          <w:sz w:val="22"/>
          <w:szCs w:val="22"/>
        </w:rPr>
        <w:t>Izvršenje prihoda HZZO veće je za 17% u odnosu na 2024. g. iz razloga preuzimanja 4 nova tima PZZ-a (3 obiteljske i 1 ginekološka ordinacija) te rasta cijena DTP postupaka sukladno rastu osnovice za obračun plaće u javnim službama od 01. veljače  te 01. rujna 2025. g.</w:t>
      </w:r>
      <w:r w:rsidR="008A3FED" w:rsidRPr="00184F72">
        <w:rPr>
          <w:rFonts w:ascii="Arial" w:hAnsi="Arial" w:cs="Arial"/>
          <w:sz w:val="22"/>
          <w:szCs w:val="22"/>
        </w:rPr>
        <w:t xml:space="preserve"> </w:t>
      </w:r>
      <w:r w:rsidR="005F3968" w:rsidRPr="00184F72">
        <w:rPr>
          <w:rFonts w:ascii="Arial" w:hAnsi="Arial" w:cs="Arial"/>
          <w:sz w:val="22"/>
          <w:szCs w:val="22"/>
        </w:rPr>
        <w:t>D</w:t>
      </w:r>
      <w:r w:rsidR="008A3FED" w:rsidRPr="00184F72">
        <w:rPr>
          <w:rFonts w:ascii="Arial" w:hAnsi="Arial" w:cs="Arial"/>
          <w:sz w:val="22"/>
          <w:szCs w:val="22"/>
        </w:rPr>
        <w:t xml:space="preserve">rugi najznačajniji prihodi </w:t>
      </w:r>
      <w:r w:rsidR="005F3968" w:rsidRPr="00184F72">
        <w:rPr>
          <w:rFonts w:ascii="Arial" w:hAnsi="Arial" w:cs="Arial"/>
          <w:sz w:val="22"/>
          <w:szCs w:val="22"/>
        </w:rPr>
        <w:t>su p</w:t>
      </w:r>
      <w:r w:rsidR="008A3FED" w:rsidRPr="00184F72">
        <w:rPr>
          <w:rFonts w:ascii="Arial" w:hAnsi="Arial" w:cs="Arial"/>
          <w:sz w:val="22"/>
          <w:szCs w:val="22"/>
        </w:rPr>
        <w:t xml:space="preserve">rihodi od prodaje proizvoda i robe te pruženih </w:t>
      </w:r>
      <w:r w:rsidR="000B2A6A" w:rsidRPr="00184F72">
        <w:rPr>
          <w:rFonts w:ascii="Arial" w:hAnsi="Arial" w:cs="Arial"/>
          <w:sz w:val="22"/>
          <w:szCs w:val="22"/>
        </w:rPr>
        <w:t xml:space="preserve">zdravstvenih </w:t>
      </w:r>
      <w:r w:rsidR="008A3FED" w:rsidRPr="00184F72">
        <w:rPr>
          <w:rFonts w:ascii="Arial" w:hAnsi="Arial" w:cs="Arial"/>
          <w:sz w:val="22"/>
          <w:szCs w:val="22"/>
        </w:rPr>
        <w:t>usluga</w:t>
      </w:r>
      <w:r w:rsidR="000B2A6A" w:rsidRPr="00184F72">
        <w:rPr>
          <w:rFonts w:ascii="Arial" w:hAnsi="Arial" w:cs="Arial"/>
          <w:sz w:val="22"/>
          <w:szCs w:val="22"/>
        </w:rPr>
        <w:t xml:space="preserve"> te zakupa prostora</w:t>
      </w:r>
      <w:r w:rsidR="008A3FED" w:rsidRPr="00184F72">
        <w:rPr>
          <w:rFonts w:ascii="Arial" w:hAnsi="Arial" w:cs="Arial"/>
          <w:sz w:val="22"/>
          <w:szCs w:val="22"/>
        </w:rPr>
        <w:t xml:space="preserve"> s udjelom od 1</w:t>
      </w:r>
      <w:r w:rsidR="000B2A6A" w:rsidRPr="00184F72">
        <w:rPr>
          <w:rFonts w:ascii="Arial" w:hAnsi="Arial" w:cs="Arial"/>
          <w:sz w:val="22"/>
          <w:szCs w:val="22"/>
        </w:rPr>
        <w:t>4</w:t>
      </w:r>
      <w:r w:rsidR="008A3FED" w:rsidRPr="00184F72">
        <w:rPr>
          <w:rFonts w:ascii="Arial" w:hAnsi="Arial" w:cs="Arial"/>
          <w:sz w:val="22"/>
          <w:szCs w:val="22"/>
        </w:rPr>
        <w:t>%</w:t>
      </w:r>
      <w:r w:rsidR="000B2A6A" w:rsidRPr="00184F72">
        <w:rPr>
          <w:rFonts w:ascii="Arial" w:hAnsi="Arial" w:cs="Arial"/>
          <w:sz w:val="22"/>
          <w:szCs w:val="22"/>
        </w:rPr>
        <w:t>.</w:t>
      </w:r>
      <w:r w:rsidR="008A3FED" w:rsidRPr="00184F72">
        <w:rPr>
          <w:rFonts w:ascii="Arial" w:hAnsi="Arial" w:cs="Arial"/>
          <w:sz w:val="22"/>
          <w:szCs w:val="22"/>
        </w:rPr>
        <w:t xml:space="preserve"> Značajan rast prihoda</w:t>
      </w:r>
      <w:r w:rsidR="00F61971" w:rsidRPr="00184F72">
        <w:rPr>
          <w:rFonts w:ascii="Arial" w:hAnsi="Arial" w:cs="Arial"/>
          <w:sz w:val="22"/>
          <w:szCs w:val="22"/>
        </w:rPr>
        <w:t xml:space="preserve"> u odnosu na prethodnu godinu</w:t>
      </w:r>
      <w:r w:rsidR="008A3FED" w:rsidRPr="00184F72">
        <w:rPr>
          <w:rFonts w:ascii="Arial" w:hAnsi="Arial" w:cs="Arial"/>
          <w:sz w:val="22"/>
          <w:szCs w:val="22"/>
        </w:rPr>
        <w:t xml:space="preserve"> evidentiran je na </w:t>
      </w:r>
      <w:r w:rsidR="00F61971" w:rsidRPr="00184F72">
        <w:rPr>
          <w:rFonts w:ascii="Arial" w:hAnsi="Arial" w:cs="Arial"/>
          <w:sz w:val="22"/>
          <w:szCs w:val="22"/>
        </w:rPr>
        <w:t xml:space="preserve">kontu </w:t>
      </w:r>
      <w:r w:rsidR="000B2A6A" w:rsidRPr="00184F72">
        <w:rPr>
          <w:rFonts w:ascii="Arial" w:hAnsi="Arial" w:cs="Arial"/>
          <w:sz w:val="22"/>
          <w:szCs w:val="22"/>
        </w:rPr>
        <w:t>6526 Prihodi po posebnim propisima</w:t>
      </w:r>
      <w:r w:rsidR="003378D3" w:rsidRPr="00184F72">
        <w:rPr>
          <w:rFonts w:ascii="Arial" w:hAnsi="Arial" w:cs="Arial"/>
          <w:sz w:val="22"/>
          <w:szCs w:val="22"/>
        </w:rPr>
        <w:t xml:space="preserve"> (25% povećanje) </w:t>
      </w:r>
      <w:r w:rsidR="000B2A6A" w:rsidRPr="00184F72">
        <w:rPr>
          <w:rFonts w:ascii="Arial" w:hAnsi="Arial" w:cs="Arial"/>
          <w:sz w:val="22"/>
          <w:szCs w:val="22"/>
        </w:rPr>
        <w:t xml:space="preserve"> radi </w:t>
      </w:r>
      <w:r w:rsidR="003378D3" w:rsidRPr="00184F72">
        <w:rPr>
          <w:rFonts w:ascii="Arial" w:hAnsi="Arial" w:cs="Arial"/>
          <w:sz w:val="22"/>
          <w:szCs w:val="22"/>
        </w:rPr>
        <w:t>povećanja</w:t>
      </w:r>
      <w:r w:rsidR="000B2A6A" w:rsidRPr="00184F72">
        <w:rPr>
          <w:rFonts w:ascii="Arial" w:hAnsi="Arial" w:cs="Arial"/>
          <w:sz w:val="22"/>
          <w:szCs w:val="22"/>
        </w:rPr>
        <w:t xml:space="preserve"> prihoda na ime dopunskog osiguranja</w:t>
      </w:r>
      <w:r w:rsidR="003378D3" w:rsidRPr="00184F72">
        <w:rPr>
          <w:rFonts w:ascii="Arial" w:hAnsi="Arial" w:cs="Arial"/>
          <w:sz w:val="22"/>
          <w:szCs w:val="22"/>
        </w:rPr>
        <w:t xml:space="preserve">, participacije u cijeni usluge te </w:t>
      </w:r>
      <w:r w:rsidR="000B2A6A" w:rsidRPr="00184F72">
        <w:rPr>
          <w:rFonts w:ascii="Arial" w:hAnsi="Arial" w:cs="Arial"/>
          <w:sz w:val="22"/>
          <w:szCs w:val="22"/>
        </w:rPr>
        <w:t xml:space="preserve">refundacija šteta od osiguravajućeg društva u </w:t>
      </w:r>
      <w:r w:rsidR="003378D3" w:rsidRPr="00184F72">
        <w:rPr>
          <w:rFonts w:ascii="Arial" w:hAnsi="Arial" w:cs="Arial"/>
          <w:sz w:val="22"/>
          <w:szCs w:val="22"/>
        </w:rPr>
        <w:t>značajno većem iznosu od planiranog.</w:t>
      </w:r>
    </w:p>
    <w:p w14:paraId="57D1D0CD" w14:textId="5F5B943C" w:rsidR="003378D3" w:rsidRPr="00184F72" w:rsidRDefault="003378D3" w:rsidP="00953031">
      <w:pPr>
        <w:spacing w:line="276" w:lineRule="auto"/>
        <w:jc w:val="both"/>
        <w:rPr>
          <w:rFonts w:ascii="Arial" w:hAnsi="Arial" w:cs="Arial"/>
          <w:sz w:val="22"/>
          <w:szCs w:val="22"/>
        </w:rPr>
      </w:pPr>
      <w:r w:rsidRPr="00184F72">
        <w:rPr>
          <w:rFonts w:ascii="Arial" w:hAnsi="Arial" w:cs="Arial"/>
          <w:sz w:val="22"/>
          <w:szCs w:val="22"/>
        </w:rPr>
        <w:t xml:space="preserve">Pomoći od ostalih subjekata unutar opće države (konto 6341) iskazuje indeks izvršenja od 18% u odnosu na 2024. g. radi prestanka isplaćivanja </w:t>
      </w:r>
      <w:proofErr w:type="spellStart"/>
      <w:r w:rsidRPr="00184F72">
        <w:rPr>
          <w:rFonts w:ascii="Arial" w:hAnsi="Arial" w:cs="Arial"/>
          <w:sz w:val="22"/>
          <w:szCs w:val="22"/>
        </w:rPr>
        <w:t>Covid</w:t>
      </w:r>
      <w:proofErr w:type="spellEnd"/>
      <w:r w:rsidRPr="00184F72">
        <w:rPr>
          <w:rFonts w:ascii="Arial" w:hAnsi="Arial" w:cs="Arial"/>
          <w:sz w:val="22"/>
          <w:szCs w:val="22"/>
        </w:rPr>
        <w:t xml:space="preserve"> dodatka tijekom 2024. g.</w:t>
      </w:r>
    </w:p>
    <w:p w14:paraId="661F71BF" w14:textId="2332AD11" w:rsidR="003378D3" w:rsidRPr="00184F72" w:rsidRDefault="003378D3" w:rsidP="00953031">
      <w:pPr>
        <w:spacing w:line="276" w:lineRule="auto"/>
        <w:jc w:val="both"/>
        <w:rPr>
          <w:rFonts w:ascii="Arial" w:hAnsi="Arial" w:cs="Arial"/>
          <w:sz w:val="22"/>
          <w:szCs w:val="22"/>
        </w:rPr>
      </w:pPr>
      <w:r w:rsidRPr="00184F72">
        <w:rPr>
          <w:rFonts w:ascii="Arial" w:hAnsi="Arial" w:cs="Arial"/>
          <w:sz w:val="22"/>
          <w:szCs w:val="22"/>
        </w:rPr>
        <w:t>Tekuće pomoći temeljem prijenosa EU sredstava (konto 6381) iskazuje indeks izvršenja od 65% u odnosu na 2024. g. radi dinamike priljeva zahtjeva za refundaciju sredstava EU specijalizacija.</w:t>
      </w:r>
    </w:p>
    <w:p w14:paraId="7144FDEC" w14:textId="254C6322" w:rsidR="00F61971" w:rsidRPr="00184F72" w:rsidRDefault="005A0B12" w:rsidP="00953031">
      <w:pPr>
        <w:spacing w:line="276" w:lineRule="auto"/>
        <w:jc w:val="both"/>
        <w:rPr>
          <w:rFonts w:ascii="Arial" w:hAnsi="Arial" w:cs="Arial"/>
          <w:sz w:val="22"/>
          <w:szCs w:val="22"/>
        </w:rPr>
      </w:pPr>
      <w:r w:rsidRPr="00184F72">
        <w:rPr>
          <w:rFonts w:ascii="Arial" w:hAnsi="Arial" w:cs="Arial"/>
          <w:sz w:val="22"/>
          <w:szCs w:val="22"/>
        </w:rPr>
        <w:t xml:space="preserve">Prihodi iz nadležnog proračuna Istarske županije (skupina 671) iskazuju indeks izvršenja od 97% </w:t>
      </w:r>
      <w:r w:rsidR="00F61971" w:rsidRPr="00184F72">
        <w:rPr>
          <w:rFonts w:ascii="Arial" w:hAnsi="Arial" w:cs="Arial"/>
          <w:sz w:val="22"/>
          <w:szCs w:val="22"/>
        </w:rPr>
        <w:t xml:space="preserve"> </w:t>
      </w:r>
      <w:r w:rsidRPr="00184F72">
        <w:rPr>
          <w:rFonts w:ascii="Arial" w:hAnsi="Arial" w:cs="Arial"/>
          <w:sz w:val="22"/>
          <w:szCs w:val="22"/>
        </w:rPr>
        <w:t>u odnosu na prethodnu godinu radi neisplate pojedinih Zahtjeva iz prosinca 2025. g. čime je nastao metodološki manjak u iznosu 123.537,03 eura. Sredstva su zaprimljena u siječnju 2026. g. čime je navedena obveza podmirena.</w:t>
      </w:r>
    </w:p>
    <w:p w14:paraId="42CD7326" w14:textId="77777777" w:rsidR="00DB0966" w:rsidRDefault="00DB0966" w:rsidP="00953031">
      <w:pPr>
        <w:spacing w:line="276" w:lineRule="auto"/>
        <w:jc w:val="both"/>
        <w:rPr>
          <w:rFonts w:ascii="Arial" w:hAnsi="Arial" w:cs="Arial"/>
          <w:sz w:val="22"/>
          <w:szCs w:val="22"/>
        </w:rPr>
      </w:pPr>
    </w:p>
    <w:p w14:paraId="2444AFA3" w14:textId="660AAE4B" w:rsidR="005F3968" w:rsidRPr="00184F72" w:rsidRDefault="005A0B12" w:rsidP="00953031">
      <w:pPr>
        <w:spacing w:line="276" w:lineRule="auto"/>
        <w:jc w:val="both"/>
        <w:rPr>
          <w:rFonts w:ascii="Arial" w:hAnsi="Arial" w:cs="Arial"/>
          <w:sz w:val="22"/>
          <w:szCs w:val="22"/>
        </w:rPr>
      </w:pPr>
      <w:r w:rsidRPr="00184F72">
        <w:rPr>
          <w:rFonts w:ascii="Arial" w:hAnsi="Arial" w:cs="Arial"/>
          <w:sz w:val="22"/>
          <w:szCs w:val="22"/>
        </w:rPr>
        <w:t>Ukupna r</w:t>
      </w:r>
      <w:r w:rsidR="00F61971" w:rsidRPr="00184F72">
        <w:rPr>
          <w:rFonts w:ascii="Arial" w:hAnsi="Arial" w:cs="Arial"/>
          <w:sz w:val="22"/>
          <w:szCs w:val="22"/>
        </w:rPr>
        <w:t>eal</w:t>
      </w:r>
      <w:r w:rsidR="008A3FED" w:rsidRPr="00184F72">
        <w:rPr>
          <w:rFonts w:ascii="Arial" w:hAnsi="Arial" w:cs="Arial"/>
          <w:sz w:val="22"/>
          <w:szCs w:val="22"/>
        </w:rPr>
        <w:t>izacija</w:t>
      </w:r>
      <w:r w:rsidR="00F61971" w:rsidRPr="00184F72">
        <w:rPr>
          <w:rFonts w:ascii="Arial" w:hAnsi="Arial" w:cs="Arial"/>
          <w:sz w:val="22"/>
          <w:szCs w:val="22"/>
        </w:rPr>
        <w:t xml:space="preserve"> </w:t>
      </w:r>
      <w:r w:rsidR="008A3FED" w:rsidRPr="00184F72">
        <w:rPr>
          <w:rFonts w:ascii="Arial" w:hAnsi="Arial" w:cs="Arial"/>
          <w:sz w:val="22"/>
          <w:szCs w:val="22"/>
        </w:rPr>
        <w:t>prihoda u odnosu n</w:t>
      </w:r>
      <w:r w:rsidR="00F61971" w:rsidRPr="00184F72">
        <w:rPr>
          <w:rFonts w:ascii="Arial" w:hAnsi="Arial" w:cs="Arial"/>
          <w:sz w:val="22"/>
          <w:szCs w:val="22"/>
        </w:rPr>
        <w:t xml:space="preserve">a </w:t>
      </w:r>
      <w:r w:rsidR="005F3968" w:rsidRPr="00184F72">
        <w:rPr>
          <w:rFonts w:ascii="Arial" w:hAnsi="Arial" w:cs="Arial"/>
          <w:sz w:val="22"/>
          <w:szCs w:val="22"/>
        </w:rPr>
        <w:t>Financijski plan iskazuje 99%</w:t>
      </w:r>
      <w:r w:rsidRPr="00184F72">
        <w:rPr>
          <w:rFonts w:ascii="Arial" w:hAnsi="Arial" w:cs="Arial"/>
          <w:sz w:val="22"/>
          <w:szCs w:val="22"/>
        </w:rPr>
        <w:t xml:space="preserve"> izvršenje</w:t>
      </w:r>
      <w:r w:rsidR="005F3968" w:rsidRPr="00184F72">
        <w:rPr>
          <w:rFonts w:ascii="Arial" w:hAnsi="Arial" w:cs="Arial"/>
          <w:sz w:val="22"/>
          <w:szCs w:val="22"/>
        </w:rPr>
        <w:t>. R</w:t>
      </w:r>
      <w:r w:rsidR="00F61971" w:rsidRPr="00184F72">
        <w:rPr>
          <w:rFonts w:ascii="Arial" w:hAnsi="Arial" w:cs="Arial"/>
          <w:sz w:val="22"/>
          <w:szCs w:val="22"/>
        </w:rPr>
        <w:t xml:space="preserve">azlika </w:t>
      </w:r>
      <w:r w:rsidR="005F3968" w:rsidRPr="00184F72">
        <w:rPr>
          <w:rFonts w:ascii="Arial" w:hAnsi="Arial" w:cs="Arial"/>
          <w:sz w:val="22"/>
          <w:szCs w:val="22"/>
        </w:rPr>
        <w:t xml:space="preserve">se </w:t>
      </w:r>
      <w:r w:rsidR="00F61971" w:rsidRPr="00184F72">
        <w:rPr>
          <w:rFonts w:ascii="Arial" w:hAnsi="Arial" w:cs="Arial"/>
          <w:sz w:val="22"/>
          <w:szCs w:val="22"/>
        </w:rPr>
        <w:t xml:space="preserve">najvećim djelom odnosi na manju realizaciju prihoda HZZO-a za </w:t>
      </w:r>
      <w:r w:rsidR="00AE1711" w:rsidRPr="00184F72">
        <w:rPr>
          <w:rFonts w:ascii="Arial" w:hAnsi="Arial" w:cs="Arial"/>
          <w:sz w:val="22"/>
          <w:szCs w:val="22"/>
        </w:rPr>
        <w:t>105.348 eura</w:t>
      </w:r>
      <w:r w:rsidR="00F61971" w:rsidRPr="00184F72">
        <w:rPr>
          <w:rFonts w:ascii="Arial" w:hAnsi="Arial" w:cs="Arial"/>
          <w:sz w:val="22"/>
          <w:szCs w:val="22"/>
        </w:rPr>
        <w:t xml:space="preserve"> u odnosu na plan</w:t>
      </w:r>
      <w:r w:rsidR="00AE1711" w:rsidRPr="00184F72">
        <w:rPr>
          <w:rFonts w:ascii="Arial" w:hAnsi="Arial" w:cs="Arial"/>
          <w:sz w:val="22"/>
          <w:szCs w:val="22"/>
        </w:rPr>
        <w:t xml:space="preserve"> te na metodološki manjak sredstava Istarske županije koji je podmiren u slijedećoj proračunskoj godini. </w:t>
      </w:r>
      <w:r w:rsidR="008A3FED" w:rsidRPr="00184F72">
        <w:rPr>
          <w:rFonts w:ascii="Arial" w:hAnsi="Arial" w:cs="Arial"/>
          <w:sz w:val="22"/>
          <w:szCs w:val="22"/>
        </w:rPr>
        <w:t xml:space="preserve"> </w:t>
      </w:r>
    </w:p>
    <w:p w14:paraId="17E0A718" w14:textId="77777777" w:rsidR="00953031" w:rsidRDefault="00953031" w:rsidP="00C8130F">
      <w:pPr>
        <w:jc w:val="both"/>
        <w:rPr>
          <w:rFonts w:ascii="Arial" w:hAnsi="Arial" w:cs="Arial"/>
          <w:bCs/>
          <w:szCs w:val="22"/>
        </w:rPr>
      </w:pPr>
    </w:p>
    <w:p w14:paraId="2013719B" w14:textId="77777777" w:rsidR="00DB0966" w:rsidRDefault="00DB0966" w:rsidP="00C8130F">
      <w:pPr>
        <w:jc w:val="both"/>
        <w:rPr>
          <w:rFonts w:ascii="Arial" w:hAnsi="Arial" w:cs="Arial"/>
          <w:bCs/>
          <w:szCs w:val="22"/>
        </w:rPr>
      </w:pPr>
    </w:p>
    <w:tbl>
      <w:tblPr>
        <w:tblW w:w="11519" w:type="dxa"/>
        <w:jc w:val="center"/>
        <w:tblLook w:val="04A0" w:firstRow="1" w:lastRow="0" w:firstColumn="1" w:lastColumn="0" w:noHBand="0" w:noVBand="1"/>
      </w:tblPr>
      <w:tblGrid>
        <w:gridCol w:w="665"/>
        <w:gridCol w:w="4433"/>
        <w:gridCol w:w="1506"/>
        <w:gridCol w:w="1506"/>
        <w:gridCol w:w="1506"/>
        <w:gridCol w:w="877"/>
        <w:gridCol w:w="804"/>
        <w:gridCol w:w="222"/>
      </w:tblGrid>
      <w:tr w:rsidR="00DB0966" w14:paraId="79E201AE" w14:textId="77777777" w:rsidTr="00DB0966">
        <w:trPr>
          <w:gridAfter w:val="1"/>
          <w:wAfter w:w="222" w:type="dxa"/>
          <w:trHeight w:val="517"/>
          <w:jc w:val="center"/>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14:paraId="3ECEFE12" w14:textId="77777777" w:rsidR="00DB0966" w:rsidRDefault="00DB0966">
            <w:pPr>
              <w:jc w:val="center"/>
              <w:rPr>
                <w:rFonts w:ascii="Calibri" w:hAnsi="Calibri" w:cs="Calibri"/>
                <w:b/>
                <w:bCs/>
                <w:sz w:val="12"/>
                <w:szCs w:val="12"/>
              </w:rPr>
            </w:pPr>
            <w:r>
              <w:rPr>
                <w:rFonts w:ascii="Calibri" w:hAnsi="Calibri" w:cs="Calibri"/>
                <w:b/>
                <w:bCs/>
                <w:sz w:val="12"/>
                <w:szCs w:val="12"/>
              </w:rPr>
              <w:t>RAZRED  SKUPINA RAČUN</w:t>
            </w:r>
          </w:p>
        </w:tc>
        <w:tc>
          <w:tcPr>
            <w:tcW w:w="4433" w:type="dxa"/>
            <w:vMerge w:val="restart"/>
            <w:tcBorders>
              <w:top w:val="single" w:sz="4" w:space="0" w:color="auto"/>
              <w:left w:val="single" w:sz="4" w:space="0" w:color="auto"/>
              <w:bottom w:val="single" w:sz="4" w:space="0" w:color="auto"/>
              <w:right w:val="single" w:sz="4" w:space="0" w:color="auto"/>
            </w:tcBorders>
            <w:vAlign w:val="center"/>
            <w:hideMark/>
          </w:tcPr>
          <w:p w14:paraId="25F5E0EB" w14:textId="77777777" w:rsidR="00DB0966" w:rsidRDefault="00DB0966">
            <w:pPr>
              <w:jc w:val="center"/>
              <w:rPr>
                <w:rFonts w:ascii="Calibri" w:hAnsi="Calibri" w:cs="Calibri"/>
                <w:b/>
                <w:bCs/>
              </w:rPr>
            </w:pPr>
            <w:r>
              <w:rPr>
                <w:rFonts w:ascii="Calibri" w:hAnsi="Calibri" w:cs="Calibri"/>
                <w:b/>
                <w:bCs/>
              </w:rPr>
              <w:t>RASHODI I IZDACI</w:t>
            </w:r>
          </w:p>
        </w:tc>
        <w:tc>
          <w:tcPr>
            <w:tcW w:w="1506"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4C24BD2" w14:textId="77777777" w:rsidR="00DB0966" w:rsidRDefault="00DB0966">
            <w:pPr>
              <w:jc w:val="center"/>
              <w:rPr>
                <w:rFonts w:ascii="Calibri" w:hAnsi="Calibri" w:cs="Calibri"/>
                <w:b/>
                <w:bCs/>
                <w:sz w:val="20"/>
                <w:szCs w:val="20"/>
              </w:rPr>
            </w:pPr>
            <w:r>
              <w:rPr>
                <w:rFonts w:ascii="Calibri" w:hAnsi="Calibri" w:cs="Calibri"/>
                <w:b/>
                <w:bCs/>
                <w:sz w:val="20"/>
                <w:szCs w:val="20"/>
              </w:rPr>
              <w:t xml:space="preserve">   Izvršenje         01.-12.2024.</w:t>
            </w:r>
          </w:p>
        </w:tc>
        <w:tc>
          <w:tcPr>
            <w:tcW w:w="1506"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CE396D3" w14:textId="77777777" w:rsidR="00DB0966" w:rsidRDefault="00DB0966">
            <w:pPr>
              <w:jc w:val="center"/>
              <w:rPr>
                <w:rFonts w:ascii="Calibri" w:hAnsi="Calibri" w:cs="Calibri"/>
                <w:b/>
                <w:bCs/>
                <w:sz w:val="20"/>
                <w:szCs w:val="20"/>
              </w:rPr>
            </w:pPr>
            <w:r>
              <w:rPr>
                <w:rFonts w:ascii="Calibri" w:hAnsi="Calibri" w:cs="Calibri"/>
                <w:b/>
                <w:bCs/>
                <w:sz w:val="20"/>
                <w:szCs w:val="20"/>
              </w:rPr>
              <w:t>Financijski plan 2025.</w:t>
            </w:r>
          </w:p>
        </w:tc>
        <w:tc>
          <w:tcPr>
            <w:tcW w:w="1506"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21DE6D6" w14:textId="77777777" w:rsidR="00DB0966" w:rsidRDefault="00DB0966">
            <w:pPr>
              <w:jc w:val="center"/>
              <w:rPr>
                <w:rFonts w:ascii="Calibri" w:hAnsi="Calibri" w:cs="Calibri"/>
                <w:b/>
                <w:bCs/>
                <w:sz w:val="20"/>
                <w:szCs w:val="20"/>
              </w:rPr>
            </w:pPr>
            <w:r>
              <w:rPr>
                <w:rFonts w:ascii="Calibri" w:hAnsi="Calibri" w:cs="Calibri"/>
                <w:b/>
                <w:bCs/>
                <w:sz w:val="20"/>
                <w:szCs w:val="20"/>
              </w:rPr>
              <w:t xml:space="preserve">   Izvršenje           01.-12.2025.</w:t>
            </w:r>
          </w:p>
        </w:tc>
        <w:tc>
          <w:tcPr>
            <w:tcW w:w="877"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202D4C7A" w14:textId="77777777" w:rsidR="00DB0966" w:rsidRDefault="00DB0966">
            <w:pPr>
              <w:jc w:val="center"/>
              <w:rPr>
                <w:rFonts w:ascii="Calibri" w:hAnsi="Calibri" w:cs="Calibri"/>
                <w:b/>
                <w:bCs/>
                <w:sz w:val="18"/>
                <w:szCs w:val="18"/>
              </w:rPr>
            </w:pPr>
            <w:r>
              <w:rPr>
                <w:rFonts w:ascii="Calibri" w:hAnsi="Calibri" w:cs="Calibri"/>
                <w:b/>
                <w:bCs/>
                <w:sz w:val="18"/>
                <w:szCs w:val="18"/>
              </w:rPr>
              <w:t xml:space="preserve"> Indeks izvršenje  2025/ 2024</w:t>
            </w:r>
          </w:p>
        </w:tc>
        <w:tc>
          <w:tcPr>
            <w:tcW w:w="804"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4DBA8A9" w14:textId="77777777" w:rsidR="00DB0966" w:rsidRDefault="00DB0966">
            <w:pPr>
              <w:jc w:val="center"/>
              <w:rPr>
                <w:rFonts w:ascii="Calibri" w:hAnsi="Calibri" w:cs="Calibri"/>
                <w:b/>
                <w:bCs/>
                <w:sz w:val="16"/>
                <w:szCs w:val="16"/>
              </w:rPr>
            </w:pPr>
            <w:r>
              <w:rPr>
                <w:rFonts w:ascii="Calibri" w:hAnsi="Calibri" w:cs="Calibri"/>
                <w:b/>
                <w:bCs/>
                <w:sz w:val="16"/>
                <w:szCs w:val="16"/>
              </w:rPr>
              <w:t>Indeks Plan / izvršenje</w:t>
            </w:r>
          </w:p>
        </w:tc>
      </w:tr>
      <w:tr w:rsidR="00DB0966" w14:paraId="464085E4" w14:textId="77777777" w:rsidTr="00DB0966">
        <w:trPr>
          <w:trHeight w:val="496"/>
          <w:jc w:val="center"/>
        </w:trPr>
        <w:tc>
          <w:tcPr>
            <w:tcW w:w="665" w:type="dxa"/>
            <w:vMerge/>
            <w:tcBorders>
              <w:top w:val="single" w:sz="4" w:space="0" w:color="auto"/>
              <w:left w:val="single" w:sz="4" w:space="0" w:color="auto"/>
              <w:bottom w:val="single" w:sz="4" w:space="0" w:color="auto"/>
              <w:right w:val="single" w:sz="4" w:space="0" w:color="auto"/>
            </w:tcBorders>
            <w:vAlign w:val="center"/>
            <w:hideMark/>
          </w:tcPr>
          <w:p w14:paraId="6E676971" w14:textId="77777777" w:rsidR="00DB0966" w:rsidRDefault="00DB0966">
            <w:pPr>
              <w:rPr>
                <w:rFonts w:ascii="Calibri" w:hAnsi="Calibri" w:cs="Calibri"/>
                <w:b/>
                <w:bCs/>
                <w:sz w:val="12"/>
                <w:szCs w:val="12"/>
              </w:rPr>
            </w:pPr>
          </w:p>
        </w:tc>
        <w:tc>
          <w:tcPr>
            <w:tcW w:w="4433" w:type="dxa"/>
            <w:vMerge/>
            <w:tcBorders>
              <w:top w:val="single" w:sz="4" w:space="0" w:color="auto"/>
              <w:left w:val="single" w:sz="4" w:space="0" w:color="auto"/>
              <w:bottom w:val="single" w:sz="4" w:space="0" w:color="auto"/>
              <w:right w:val="single" w:sz="4" w:space="0" w:color="auto"/>
            </w:tcBorders>
            <w:vAlign w:val="center"/>
            <w:hideMark/>
          </w:tcPr>
          <w:p w14:paraId="1045105C" w14:textId="77777777" w:rsidR="00DB0966" w:rsidRDefault="00DB0966">
            <w:pPr>
              <w:rPr>
                <w:rFonts w:ascii="Calibri" w:hAnsi="Calibri" w:cs="Calibri"/>
                <w:b/>
                <w:bCs/>
              </w:rPr>
            </w:pPr>
          </w:p>
        </w:tc>
        <w:tc>
          <w:tcPr>
            <w:tcW w:w="1506" w:type="dxa"/>
            <w:vMerge/>
            <w:tcBorders>
              <w:top w:val="single" w:sz="4" w:space="0" w:color="auto"/>
              <w:left w:val="single" w:sz="4" w:space="0" w:color="auto"/>
              <w:bottom w:val="single" w:sz="4" w:space="0" w:color="auto"/>
              <w:right w:val="single" w:sz="4" w:space="0" w:color="auto"/>
            </w:tcBorders>
            <w:vAlign w:val="center"/>
            <w:hideMark/>
          </w:tcPr>
          <w:p w14:paraId="44915A16" w14:textId="77777777" w:rsidR="00DB0966" w:rsidRDefault="00DB0966">
            <w:pPr>
              <w:rPr>
                <w:rFonts w:ascii="Calibri" w:hAnsi="Calibri" w:cs="Calibri"/>
                <w:b/>
                <w:bCs/>
                <w:sz w:val="20"/>
                <w:szCs w:val="20"/>
              </w:rPr>
            </w:pPr>
          </w:p>
        </w:tc>
        <w:tc>
          <w:tcPr>
            <w:tcW w:w="1506" w:type="dxa"/>
            <w:vMerge/>
            <w:tcBorders>
              <w:top w:val="single" w:sz="4" w:space="0" w:color="auto"/>
              <w:left w:val="single" w:sz="4" w:space="0" w:color="auto"/>
              <w:bottom w:val="single" w:sz="4" w:space="0" w:color="auto"/>
              <w:right w:val="single" w:sz="4" w:space="0" w:color="auto"/>
            </w:tcBorders>
            <w:vAlign w:val="center"/>
            <w:hideMark/>
          </w:tcPr>
          <w:p w14:paraId="1739CE78" w14:textId="77777777" w:rsidR="00DB0966" w:rsidRDefault="00DB0966">
            <w:pPr>
              <w:rPr>
                <w:rFonts w:ascii="Calibri" w:hAnsi="Calibri" w:cs="Calibri"/>
                <w:b/>
                <w:bCs/>
                <w:sz w:val="20"/>
                <w:szCs w:val="20"/>
              </w:rPr>
            </w:pPr>
          </w:p>
        </w:tc>
        <w:tc>
          <w:tcPr>
            <w:tcW w:w="1506" w:type="dxa"/>
            <w:vMerge/>
            <w:tcBorders>
              <w:top w:val="single" w:sz="4" w:space="0" w:color="auto"/>
              <w:left w:val="single" w:sz="4" w:space="0" w:color="auto"/>
              <w:bottom w:val="single" w:sz="4" w:space="0" w:color="auto"/>
              <w:right w:val="single" w:sz="4" w:space="0" w:color="auto"/>
            </w:tcBorders>
            <w:vAlign w:val="center"/>
            <w:hideMark/>
          </w:tcPr>
          <w:p w14:paraId="1FB28838" w14:textId="77777777" w:rsidR="00DB0966" w:rsidRDefault="00DB0966">
            <w:pPr>
              <w:rPr>
                <w:rFonts w:ascii="Calibri" w:hAnsi="Calibri" w:cs="Calibri"/>
                <w:b/>
                <w:bCs/>
                <w:sz w:val="20"/>
                <w:szCs w:val="20"/>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14:paraId="1F208FC8" w14:textId="77777777" w:rsidR="00DB0966" w:rsidRDefault="00DB0966">
            <w:pPr>
              <w:rPr>
                <w:rFonts w:ascii="Calibri" w:hAnsi="Calibri" w:cs="Calibri"/>
                <w:b/>
                <w:bCs/>
                <w:sz w:val="18"/>
                <w:szCs w:val="18"/>
              </w:rPr>
            </w:pPr>
          </w:p>
        </w:tc>
        <w:tc>
          <w:tcPr>
            <w:tcW w:w="804" w:type="dxa"/>
            <w:vMerge/>
            <w:tcBorders>
              <w:top w:val="single" w:sz="4" w:space="0" w:color="auto"/>
              <w:left w:val="single" w:sz="4" w:space="0" w:color="auto"/>
              <w:bottom w:val="single" w:sz="4" w:space="0" w:color="auto"/>
              <w:right w:val="single" w:sz="4" w:space="0" w:color="auto"/>
            </w:tcBorders>
            <w:vAlign w:val="center"/>
            <w:hideMark/>
          </w:tcPr>
          <w:p w14:paraId="3F38B16A" w14:textId="77777777" w:rsidR="00DB0966" w:rsidRDefault="00DB0966">
            <w:pPr>
              <w:rPr>
                <w:rFonts w:ascii="Calibri" w:hAnsi="Calibri" w:cs="Calibri"/>
                <w:b/>
                <w:bCs/>
                <w:sz w:val="16"/>
                <w:szCs w:val="16"/>
              </w:rPr>
            </w:pPr>
          </w:p>
        </w:tc>
        <w:tc>
          <w:tcPr>
            <w:tcW w:w="222" w:type="dxa"/>
            <w:tcBorders>
              <w:top w:val="nil"/>
              <w:left w:val="nil"/>
              <w:bottom w:val="nil"/>
              <w:right w:val="nil"/>
            </w:tcBorders>
            <w:noWrap/>
            <w:vAlign w:val="bottom"/>
            <w:hideMark/>
          </w:tcPr>
          <w:p w14:paraId="7CFB0D77" w14:textId="77777777" w:rsidR="00DB0966" w:rsidRDefault="00DB0966">
            <w:pPr>
              <w:jc w:val="center"/>
              <w:rPr>
                <w:rFonts w:ascii="Calibri" w:hAnsi="Calibri" w:cs="Calibri"/>
                <w:b/>
                <w:bCs/>
                <w:sz w:val="16"/>
                <w:szCs w:val="16"/>
              </w:rPr>
            </w:pPr>
          </w:p>
        </w:tc>
      </w:tr>
      <w:tr w:rsidR="00DB0966" w14:paraId="68B583C9" w14:textId="77777777" w:rsidTr="00DB0966">
        <w:trPr>
          <w:trHeight w:val="180"/>
          <w:jc w:val="center"/>
        </w:trPr>
        <w:tc>
          <w:tcPr>
            <w:tcW w:w="665" w:type="dxa"/>
            <w:tcBorders>
              <w:top w:val="nil"/>
              <w:left w:val="single" w:sz="4" w:space="0" w:color="auto"/>
              <w:bottom w:val="single" w:sz="4" w:space="0" w:color="auto"/>
              <w:right w:val="single" w:sz="4" w:space="0" w:color="auto"/>
            </w:tcBorders>
            <w:noWrap/>
            <w:vAlign w:val="center"/>
            <w:hideMark/>
          </w:tcPr>
          <w:p w14:paraId="345D58D1" w14:textId="77777777" w:rsidR="00DB0966" w:rsidRDefault="00DB0966">
            <w:pPr>
              <w:jc w:val="center"/>
              <w:rPr>
                <w:rFonts w:ascii="Calibri" w:hAnsi="Calibri" w:cs="Calibri"/>
                <w:sz w:val="14"/>
                <w:szCs w:val="14"/>
              </w:rPr>
            </w:pPr>
            <w:r>
              <w:rPr>
                <w:rFonts w:ascii="Calibri" w:hAnsi="Calibri" w:cs="Calibri"/>
                <w:sz w:val="14"/>
                <w:szCs w:val="14"/>
              </w:rPr>
              <w:t>0</w:t>
            </w:r>
          </w:p>
        </w:tc>
        <w:tc>
          <w:tcPr>
            <w:tcW w:w="4433" w:type="dxa"/>
            <w:tcBorders>
              <w:top w:val="nil"/>
              <w:left w:val="nil"/>
              <w:bottom w:val="single" w:sz="4" w:space="0" w:color="auto"/>
              <w:right w:val="single" w:sz="4" w:space="0" w:color="auto"/>
            </w:tcBorders>
            <w:vAlign w:val="center"/>
            <w:hideMark/>
          </w:tcPr>
          <w:p w14:paraId="7C250D5C" w14:textId="77777777" w:rsidR="00DB0966" w:rsidRDefault="00DB0966">
            <w:pPr>
              <w:jc w:val="center"/>
              <w:rPr>
                <w:rFonts w:ascii="Calibri" w:hAnsi="Calibri" w:cs="Calibri"/>
                <w:sz w:val="14"/>
                <w:szCs w:val="14"/>
              </w:rPr>
            </w:pPr>
            <w:r>
              <w:rPr>
                <w:rFonts w:ascii="Calibri" w:hAnsi="Calibri" w:cs="Calibri"/>
                <w:sz w:val="14"/>
                <w:szCs w:val="14"/>
              </w:rPr>
              <w:t>1</w:t>
            </w:r>
          </w:p>
        </w:tc>
        <w:tc>
          <w:tcPr>
            <w:tcW w:w="1506" w:type="dxa"/>
            <w:tcBorders>
              <w:top w:val="nil"/>
              <w:left w:val="nil"/>
              <w:bottom w:val="single" w:sz="4" w:space="0" w:color="auto"/>
              <w:right w:val="single" w:sz="4" w:space="0" w:color="auto"/>
            </w:tcBorders>
            <w:vAlign w:val="center"/>
            <w:hideMark/>
          </w:tcPr>
          <w:p w14:paraId="347E6E8B" w14:textId="77777777" w:rsidR="00DB0966" w:rsidRDefault="00DB0966">
            <w:pPr>
              <w:jc w:val="center"/>
              <w:rPr>
                <w:rFonts w:ascii="Calibri" w:hAnsi="Calibri" w:cs="Calibri"/>
                <w:sz w:val="14"/>
                <w:szCs w:val="14"/>
              </w:rPr>
            </w:pPr>
            <w:r>
              <w:rPr>
                <w:rFonts w:ascii="Calibri" w:hAnsi="Calibri" w:cs="Calibri"/>
                <w:sz w:val="14"/>
                <w:szCs w:val="14"/>
              </w:rPr>
              <w:t>2</w:t>
            </w:r>
          </w:p>
        </w:tc>
        <w:tc>
          <w:tcPr>
            <w:tcW w:w="1506" w:type="dxa"/>
            <w:tcBorders>
              <w:top w:val="nil"/>
              <w:left w:val="nil"/>
              <w:bottom w:val="single" w:sz="4" w:space="0" w:color="auto"/>
              <w:right w:val="single" w:sz="4" w:space="0" w:color="auto"/>
            </w:tcBorders>
            <w:vAlign w:val="center"/>
            <w:hideMark/>
          </w:tcPr>
          <w:p w14:paraId="7163A887" w14:textId="77777777" w:rsidR="00DB0966" w:rsidRDefault="00DB0966">
            <w:pPr>
              <w:jc w:val="center"/>
              <w:rPr>
                <w:rFonts w:ascii="Calibri" w:hAnsi="Calibri" w:cs="Calibri"/>
                <w:sz w:val="14"/>
                <w:szCs w:val="14"/>
              </w:rPr>
            </w:pPr>
            <w:r>
              <w:rPr>
                <w:rFonts w:ascii="Calibri" w:hAnsi="Calibri" w:cs="Calibri"/>
                <w:sz w:val="14"/>
                <w:szCs w:val="14"/>
              </w:rPr>
              <w:t>3</w:t>
            </w:r>
          </w:p>
        </w:tc>
        <w:tc>
          <w:tcPr>
            <w:tcW w:w="1506" w:type="dxa"/>
            <w:tcBorders>
              <w:top w:val="nil"/>
              <w:left w:val="nil"/>
              <w:bottom w:val="single" w:sz="4" w:space="0" w:color="auto"/>
              <w:right w:val="single" w:sz="4" w:space="0" w:color="auto"/>
            </w:tcBorders>
            <w:vAlign w:val="center"/>
            <w:hideMark/>
          </w:tcPr>
          <w:p w14:paraId="174541AD" w14:textId="77777777" w:rsidR="00DB0966" w:rsidRDefault="00DB0966">
            <w:pPr>
              <w:jc w:val="center"/>
              <w:rPr>
                <w:rFonts w:ascii="Calibri" w:hAnsi="Calibri" w:cs="Calibri"/>
                <w:sz w:val="14"/>
                <w:szCs w:val="14"/>
              </w:rPr>
            </w:pPr>
            <w:r>
              <w:rPr>
                <w:rFonts w:ascii="Calibri" w:hAnsi="Calibri" w:cs="Calibri"/>
                <w:sz w:val="14"/>
                <w:szCs w:val="14"/>
              </w:rPr>
              <w:t>4</w:t>
            </w:r>
          </w:p>
        </w:tc>
        <w:tc>
          <w:tcPr>
            <w:tcW w:w="877" w:type="dxa"/>
            <w:tcBorders>
              <w:top w:val="nil"/>
              <w:left w:val="nil"/>
              <w:bottom w:val="single" w:sz="4" w:space="0" w:color="auto"/>
              <w:right w:val="single" w:sz="4" w:space="0" w:color="auto"/>
            </w:tcBorders>
            <w:vAlign w:val="center"/>
            <w:hideMark/>
          </w:tcPr>
          <w:p w14:paraId="56F53C6C" w14:textId="77777777" w:rsidR="00DB0966" w:rsidRDefault="00DB0966">
            <w:pPr>
              <w:jc w:val="center"/>
              <w:rPr>
                <w:rFonts w:ascii="Calibri" w:hAnsi="Calibri" w:cs="Calibri"/>
                <w:sz w:val="14"/>
                <w:szCs w:val="14"/>
              </w:rPr>
            </w:pPr>
            <w:r>
              <w:rPr>
                <w:rFonts w:ascii="Calibri" w:hAnsi="Calibri" w:cs="Calibri"/>
                <w:sz w:val="14"/>
                <w:szCs w:val="14"/>
              </w:rPr>
              <w:t>5 = 4 /2</w:t>
            </w:r>
          </w:p>
        </w:tc>
        <w:tc>
          <w:tcPr>
            <w:tcW w:w="804" w:type="dxa"/>
            <w:tcBorders>
              <w:top w:val="nil"/>
              <w:left w:val="nil"/>
              <w:bottom w:val="single" w:sz="4" w:space="0" w:color="auto"/>
              <w:right w:val="single" w:sz="4" w:space="0" w:color="auto"/>
            </w:tcBorders>
            <w:vAlign w:val="center"/>
            <w:hideMark/>
          </w:tcPr>
          <w:p w14:paraId="191BEC61" w14:textId="77777777" w:rsidR="00DB0966" w:rsidRDefault="00DB0966">
            <w:pPr>
              <w:jc w:val="center"/>
              <w:rPr>
                <w:rFonts w:ascii="Calibri" w:hAnsi="Calibri" w:cs="Calibri"/>
                <w:sz w:val="14"/>
                <w:szCs w:val="14"/>
              </w:rPr>
            </w:pPr>
            <w:r>
              <w:rPr>
                <w:rFonts w:ascii="Calibri" w:hAnsi="Calibri" w:cs="Calibri"/>
                <w:sz w:val="14"/>
                <w:szCs w:val="14"/>
              </w:rPr>
              <w:t>6 = 4 /3</w:t>
            </w:r>
          </w:p>
        </w:tc>
        <w:tc>
          <w:tcPr>
            <w:tcW w:w="222" w:type="dxa"/>
            <w:vAlign w:val="center"/>
            <w:hideMark/>
          </w:tcPr>
          <w:p w14:paraId="5F48035A" w14:textId="77777777" w:rsidR="00DB0966" w:rsidRDefault="00DB0966">
            <w:pPr>
              <w:rPr>
                <w:sz w:val="20"/>
                <w:szCs w:val="20"/>
              </w:rPr>
            </w:pPr>
          </w:p>
        </w:tc>
      </w:tr>
      <w:tr w:rsidR="00DB0966" w14:paraId="7E6161C4" w14:textId="77777777" w:rsidTr="00DB0966">
        <w:trPr>
          <w:trHeight w:val="648"/>
          <w:jc w:val="center"/>
        </w:trPr>
        <w:tc>
          <w:tcPr>
            <w:tcW w:w="665" w:type="dxa"/>
            <w:tcBorders>
              <w:top w:val="nil"/>
              <w:left w:val="single" w:sz="4" w:space="0" w:color="auto"/>
              <w:bottom w:val="single" w:sz="4" w:space="0" w:color="auto"/>
              <w:right w:val="single" w:sz="4" w:space="0" w:color="auto"/>
            </w:tcBorders>
            <w:shd w:val="clear" w:color="000000" w:fill="D9D9D9"/>
            <w:noWrap/>
            <w:vAlign w:val="center"/>
            <w:hideMark/>
          </w:tcPr>
          <w:p w14:paraId="168DAC09" w14:textId="77777777" w:rsidR="00DB0966" w:rsidRDefault="00DB0966">
            <w:pPr>
              <w:jc w:val="center"/>
              <w:rPr>
                <w:rFonts w:ascii="Calibri" w:hAnsi="Calibri" w:cs="Calibri"/>
                <w:b/>
                <w:bCs/>
              </w:rPr>
            </w:pPr>
            <w:r>
              <w:rPr>
                <w:rFonts w:ascii="Calibri" w:hAnsi="Calibri" w:cs="Calibri"/>
                <w:b/>
                <w:bCs/>
              </w:rPr>
              <w:t>3</w:t>
            </w:r>
          </w:p>
        </w:tc>
        <w:tc>
          <w:tcPr>
            <w:tcW w:w="4433" w:type="dxa"/>
            <w:tcBorders>
              <w:top w:val="nil"/>
              <w:left w:val="nil"/>
              <w:bottom w:val="single" w:sz="4" w:space="0" w:color="auto"/>
              <w:right w:val="single" w:sz="4" w:space="0" w:color="auto"/>
            </w:tcBorders>
            <w:shd w:val="clear" w:color="000000" w:fill="D9D9D9"/>
            <w:vAlign w:val="center"/>
            <w:hideMark/>
          </w:tcPr>
          <w:p w14:paraId="540D8BF7" w14:textId="77777777" w:rsidR="00DB0966" w:rsidRDefault="00DB0966">
            <w:pPr>
              <w:jc w:val="center"/>
              <w:rPr>
                <w:rFonts w:ascii="Calibri" w:hAnsi="Calibri" w:cs="Calibri"/>
                <w:b/>
                <w:bCs/>
              </w:rPr>
            </w:pPr>
            <w:r>
              <w:rPr>
                <w:rFonts w:ascii="Calibri" w:hAnsi="Calibri" w:cs="Calibri"/>
                <w:b/>
                <w:bCs/>
              </w:rPr>
              <w:t>RASHODI POSLOVANJA</w:t>
            </w:r>
          </w:p>
        </w:tc>
        <w:tc>
          <w:tcPr>
            <w:tcW w:w="1506" w:type="dxa"/>
            <w:tcBorders>
              <w:top w:val="nil"/>
              <w:left w:val="nil"/>
              <w:bottom w:val="single" w:sz="4" w:space="0" w:color="auto"/>
              <w:right w:val="single" w:sz="4" w:space="0" w:color="auto"/>
            </w:tcBorders>
            <w:shd w:val="clear" w:color="000000" w:fill="D9D9D9"/>
            <w:vAlign w:val="center"/>
            <w:hideMark/>
          </w:tcPr>
          <w:p w14:paraId="26BF7380" w14:textId="77777777" w:rsidR="00DB0966" w:rsidRDefault="00DB0966">
            <w:pPr>
              <w:jc w:val="right"/>
              <w:rPr>
                <w:rFonts w:ascii="Calibri" w:hAnsi="Calibri" w:cs="Calibri"/>
                <w:b/>
                <w:bCs/>
                <w:sz w:val="22"/>
                <w:szCs w:val="22"/>
              </w:rPr>
            </w:pPr>
            <w:r>
              <w:rPr>
                <w:rFonts w:ascii="Calibri" w:hAnsi="Calibri" w:cs="Calibri"/>
                <w:b/>
                <w:bCs/>
                <w:sz w:val="22"/>
                <w:szCs w:val="22"/>
              </w:rPr>
              <w:t>31.866.719,58</w:t>
            </w:r>
          </w:p>
        </w:tc>
        <w:tc>
          <w:tcPr>
            <w:tcW w:w="1506" w:type="dxa"/>
            <w:tcBorders>
              <w:top w:val="nil"/>
              <w:left w:val="nil"/>
              <w:bottom w:val="single" w:sz="4" w:space="0" w:color="auto"/>
              <w:right w:val="single" w:sz="4" w:space="0" w:color="auto"/>
            </w:tcBorders>
            <w:shd w:val="clear" w:color="000000" w:fill="D9D9D9"/>
            <w:vAlign w:val="center"/>
            <w:hideMark/>
          </w:tcPr>
          <w:p w14:paraId="19BEB724" w14:textId="77777777" w:rsidR="00DB0966" w:rsidRDefault="00DB0966">
            <w:pPr>
              <w:jc w:val="right"/>
              <w:rPr>
                <w:rFonts w:ascii="Calibri" w:hAnsi="Calibri" w:cs="Calibri"/>
                <w:b/>
                <w:bCs/>
                <w:sz w:val="22"/>
                <w:szCs w:val="22"/>
              </w:rPr>
            </w:pPr>
            <w:r>
              <w:rPr>
                <w:rFonts w:ascii="Calibri" w:hAnsi="Calibri" w:cs="Calibri"/>
                <w:b/>
                <w:bCs/>
                <w:sz w:val="22"/>
                <w:szCs w:val="22"/>
              </w:rPr>
              <w:t>34.162.769,00</w:t>
            </w:r>
          </w:p>
        </w:tc>
        <w:tc>
          <w:tcPr>
            <w:tcW w:w="1506" w:type="dxa"/>
            <w:tcBorders>
              <w:top w:val="nil"/>
              <w:left w:val="nil"/>
              <w:bottom w:val="single" w:sz="4" w:space="0" w:color="auto"/>
              <w:right w:val="single" w:sz="4" w:space="0" w:color="auto"/>
            </w:tcBorders>
            <w:shd w:val="clear" w:color="000000" w:fill="D9D9D9"/>
            <w:vAlign w:val="center"/>
            <w:hideMark/>
          </w:tcPr>
          <w:p w14:paraId="4484980D" w14:textId="77777777" w:rsidR="00DB0966" w:rsidRDefault="00DB0966">
            <w:pPr>
              <w:jc w:val="right"/>
              <w:rPr>
                <w:rFonts w:ascii="Calibri" w:hAnsi="Calibri" w:cs="Calibri"/>
                <w:b/>
                <w:bCs/>
                <w:sz w:val="22"/>
                <w:szCs w:val="22"/>
              </w:rPr>
            </w:pPr>
            <w:r>
              <w:rPr>
                <w:rFonts w:ascii="Calibri" w:hAnsi="Calibri" w:cs="Calibri"/>
                <w:b/>
                <w:bCs/>
                <w:sz w:val="22"/>
                <w:szCs w:val="22"/>
              </w:rPr>
              <w:t>34.200.463,40</w:t>
            </w:r>
          </w:p>
        </w:tc>
        <w:tc>
          <w:tcPr>
            <w:tcW w:w="877" w:type="dxa"/>
            <w:tcBorders>
              <w:top w:val="nil"/>
              <w:left w:val="nil"/>
              <w:bottom w:val="single" w:sz="4" w:space="0" w:color="auto"/>
              <w:right w:val="single" w:sz="4" w:space="0" w:color="auto"/>
            </w:tcBorders>
            <w:shd w:val="clear" w:color="000000" w:fill="D9D9D9"/>
            <w:vAlign w:val="center"/>
            <w:hideMark/>
          </w:tcPr>
          <w:p w14:paraId="2DC9F880" w14:textId="77777777" w:rsidR="00DB0966" w:rsidRDefault="00DB0966">
            <w:pPr>
              <w:jc w:val="center"/>
              <w:rPr>
                <w:rFonts w:ascii="Calibri" w:hAnsi="Calibri" w:cs="Calibri"/>
                <w:b/>
                <w:bCs/>
                <w:sz w:val="20"/>
                <w:szCs w:val="20"/>
              </w:rPr>
            </w:pPr>
            <w:r>
              <w:rPr>
                <w:rFonts w:ascii="Calibri" w:hAnsi="Calibri" w:cs="Calibri"/>
                <w:b/>
                <w:bCs/>
                <w:sz w:val="20"/>
                <w:szCs w:val="20"/>
              </w:rPr>
              <w:t>107%</w:t>
            </w:r>
          </w:p>
        </w:tc>
        <w:tc>
          <w:tcPr>
            <w:tcW w:w="804" w:type="dxa"/>
            <w:tcBorders>
              <w:top w:val="nil"/>
              <w:left w:val="nil"/>
              <w:bottom w:val="single" w:sz="4" w:space="0" w:color="auto"/>
              <w:right w:val="single" w:sz="4" w:space="0" w:color="auto"/>
            </w:tcBorders>
            <w:shd w:val="clear" w:color="000000" w:fill="D9D9D9"/>
            <w:vAlign w:val="center"/>
            <w:hideMark/>
          </w:tcPr>
          <w:p w14:paraId="384F0ECE" w14:textId="77777777" w:rsidR="00DB0966" w:rsidRDefault="00DB0966">
            <w:pPr>
              <w:jc w:val="center"/>
              <w:rPr>
                <w:rFonts w:ascii="Calibri" w:hAnsi="Calibri" w:cs="Calibri"/>
                <w:b/>
                <w:bCs/>
                <w:sz w:val="20"/>
                <w:szCs w:val="20"/>
              </w:rPr>
            </w:pPr>
            <w:r>
              <w:rPr>
                <w:rFonts w:ascii="Calibri" w:hAnsi="Calibri" w:cs="Calibri"/>
                <w:b/>
                <w:bCs/>
                <w:sz w:val="20"/>
                <w:szCs w:val="20"/>
              </w:rPr>
              <w:t>100%</w:t>
            </w:r>
          </w:p>
        </w:tc>
        <w:tc>
          <w:tcPr>
            <w:tcW w:w="222" w:type="dxa"/>
            <w:vAlign w:val="center"/>
            <w:hideMark/>
          </w:tcPr>
          <w:p w14:paraId="4BF7D98A" w14:textId="77777777" w:rsidR="00DB0966" w:rsidRDefault="00DB0966">
            <w:pPr>
              <w:rPr>
                <w:sz w:val="20"/>
                <w:szCs w:val="20"/>
              </w:rPr>
            </w:pPr>
          </w:p>
        </w:tc>
      </w:tr>
      <w:tr w:rsidR="00DB0966" w14:paraId="7604C99F" w14:textId="77777777" w:rsidTr="00DB0966">
        <w:trPr>
          <w:trHeight w:val="417"/>
          <w:jc w:val="center"/>
        </w:trPr>
        <w:tc>
          <w:tcPr>
            <w:tcW w:w="665" w:type="dxa"/>
            <w:tcBorders>
              <w:top w:val="nil"/>
              <w:left w:val="single" w:sz="4" w:space="0" w:color="auto"/>
              <w:bottom w:val="single" w:sz="4" w:space="0" w:color="auto"/>
              <w:right w:val="single" w:sz="4" w:space="0" w:color="auto"/>
            </w:tcBorders>
            <w:shd w:val="clear" w:color="000000" w:fill="D9D9D9"/>
            <w:noWrap/>
            <w:vAlign w:val="bottom"/>
            <w:hideMark/>
          </w:tcPr>
          <w:p w14:paraId="78F085D9" w14:textId="77777777" w:rsidR="00DB0966" w:rsidRDefault="00DB0966">
            <w:pPr>
              <w:jc w:val="center"/>
              <w:rPr>
                <w:rFonts w:ascii="Calibri" w:hAnsi="Calibri" w:cs="Calibri"/>
                <w:b/>
                <w:bCs/>
                <w:sz w:val="22"/>
                <w:szCs w:val="22"/>
              </w:rPr>
            </w:pPr>
            <w:r>
              <w:rPr>
                <w:rFonts w:ascii="Calibri" w:hAnsi="Calibri" w:cs="Calibri"/>
                <w:b/>
                <w:bCs/>
                <w:sz w:val="22"/>
                <w:szCs w:val="22"/>
              </w:rPr>
              <w:t>31</w:t>
            </w:r>
          </w:p>
        </w:tc>
        <w:tc>
          <w:tcPr>
            <w:tcW w:w="4433" w:type="dxa"/>
            <w:tcBorders>
              <w:top w:val="nil"/>
              <w:left w:val="nil"/>
              <w:bottom w:val="single" w:sz="4" w:space="0" w:color="auto"/>
              <w:right w:val="single" w:sz="4" w:space="0" w:color="auto"/>
            </w:tcBorders>
            <w:shd w:val="clear" w:color="000000" w:fill="D9D9D9"/>
            <w:vAlign w:val="bottom"/>
            <w:hideMark/>
          </w:tcPr>
          <w:p w14:paraId="3E4BDA88" w14:textId="77777777" w:rsidR="00DB0966" w:rsidRDefault="00DB0966">
            <w:pPr>
              <w:rPr>
                <w:rFonts w:ascii="Calibri" w:hAnsi="Calibri" w:cs="Calibri"/>
                <w:b/>
                <w:bCs/>
                <w:sz w:val="22"/>
                <w:szCs w:val="22"/>
              </w:rPr>
            </w:pPr>
            <w:r>
              <w:rPr>
                <w:rFonts w:ascii="Calibri" w:hAnsi="Calibri" w:cs="Calibri"/>
                <w:b/>
                <w:bCs/>
                <w:sz w:val="22"/>
                <w:szCs w:val="22"/>
              </w:rPr>
              <w:t>RASHODI ZA ZAPOSLENE</w:t>
            </w:r>
          </w:p>
        </w:tc>
        <w:tc>
          <w:tcPr>
            <w:tcW w:w="1506" w:type="dxa"/>
            <w:tcBorders>
              <w:top w:val="nil"/>
              <w:left w:val="nil"/>
              <w:bottom w:val="single" w:sz="4" w:space="0" w:color="auto"/>
              <w:right w:val="single" w:sz="4" w:space="0" w:color="auto"/>
            </w:tcBorders>
            <w:shd w:val="clear" w:color="000000" w:fill="D9D9D9"/>
            <w:vAlign w:val="bottom"/>
            <w:hideMark/>
          </w:tcPr>
          <w:p w14:paraId="7F0B6141" w14:textId="77777777" w:rsidR="00DB0966" w:rsidRDefault="00DB0966">
            <w:pPr>
              <w:jc w:val="right"/>
              <w:rPr>
                <w:rFonts w:ascii="Calibri" w:hAnsi="Calibri" w:cs="Calibri"/>
                <w:sz w:val="22"/>
                <w:szCs w:val="22"/>
              </w:rPr>
            </w:pPr>
            <w:r>
              <w:rPr>
                <w:rFonts w:ascii="Calibri" w:hAnsi="Calibri" w:cs="Calibri"/>
                <w:sz w:val="22"/>
                <w:szCs w:val="22"/>
              </w:rPr>
              <w:t>19.304.434,88</w:t>
            </w:r>
          </w:p>
        </w:tc>
        <w:tc>
          <w:tcPr>
            <w:tcW w:w="1506" w:type="dxa"/>
            <w:tcBorders>
              <w:top w:val="nil"/>
              <w:left w:val="nil"/>
              <w:bottom w:val="single" w:sz="4" w:space="0" w:color="auto"/>
              <w:right w:val="single" w:sz="4" w:space="0" w:color="auto"/>
            </w:tcBorders>
            <w:shd w:val="clear" w:color="000000" w:fill="D9D9D9"/>
            <w:vAlign w:val="bottom"/>
            <w:hideMark/>
          </w:tcPr>
          <w:p w14:paraId="729EF03F" w14:textId="77777777" w:rsidR="00DB0966" w:rsidRDefault="00DB0966">
            <w:pPr>
              <w:jc w:val="right"/>
              <w:rPr>
                <w:rFonts w:ascii="Calibri" w:hAnsi="Calibri" w:cs="Calibri"/>
                <w:sz w:val="22"/>
                <w:szCs w:val="22"/>
              </w:rPr>
            </w:pPr>
            <w:r>
              <w:rPr>
                <w:rFonts w:ascii="Calibri" w:hAnsi="Calibri" w:cs="Calibri"/>
                <w:sz w:val="22"/>
                <w:szCs w:val="22"/>
              </w:rPr>
              <w:t>21.107.400,00</w:t>
            </w:r>
          </w:p>
        </w:tc>
        <w:tc>
          <w:tcPr>
            <w:tcW w:w="1506" w:type="dxa"/>
            <w:tcBorders>
              <w:top w:val="nil"/>
              <w:left w:val="nil"/>
              <w:bottom w:val="single" w:sz="4" w:space="0" w:color="auto"/>
              <w:right w:val="single" w:sz="4" w:space="0" w:color="auto"/>
            </w:tcBorders>
            <w:shd w:val="clear" w:color="000000" w:fill="D9D9D9"/>
            <w:vAlign w:val="bottom"/>
            <w:hideMark/>
          </w:tcPr>
          <w:p w14:paraId="5673A7FB" w14:textId="77777777" w:rsidR="00DB0966" w:rsidRDefault="00DB0966">
            <w:pPr>
              <w:jc w:val="right"/>
              <w:rPr>
                <w:rFonts w:ascii="Calibri" w:hAnsi="Calibri" w:cs="Calibri"/>
                <w:sz w:val="22"/>
                <w:szCs w:val="22"/>
              </w:rPr>
            </w:pPr>
            <w:r>
              <w:rPr>
                <w:rFonts w:ascii="Calibri" w:hAnsi="Calibri" w:cs="Calibri"/>
                <w:sz w:val="22"/>
                <w:szCs w:val="22"/>
              </w:rPr>
              <w:t>21.125.177,28</w:t>
            </w:r>
          </w:p>
        </w:tc>
        <w:tc>
          <w:tcPr>
            <w:tcW w:w="877" w:type="dxa"/>
            <w:tcBorders>
              <w:top w:val="nil"/>
              <w:left w:val="nil"/>
              <w:bottom w:val="single" w:sz="4" w:space="0" w:color="auto"/>
              <w:right w:val="single" w:sz="4" w:space="0" w:color="auto"/>
            </w:tcBorders>
            <w:shd w:val="clear" w:color="000000" w:fill="D9D9D9"/>
            <w:vAlign w:val="bottom"/>
            <w:hideMark/>
          </w:tcPr>
          <w:p w14:paraId="2E003535" w14:textId="77777777" w:rsidR="00DB0966" w:rsidRDefault="00DB0966">
            <w:pPr>
              <w:jc w:val="center"/>
              <w:rPr>
                <w:rFonts w:ascii="Calibri" w:hAnsi="Calibri" w:cs="Calibri"/>
                <w:sz w:val="22"/>
                <w:szCs w:val="22"/>
              </w:rPr>
            </w:pPr>
            <w:r>
              <w:rPr>
                <w:rFonts w:ascii="Calibri" w:hAnsi="Calibri" w:cs="Calibri"/>
                <w:sz w:val="22"/>
                <w:szCs w:val="22"/>
              </w:rPr>
              <w:t>109%</w:t>
            </w:r>
          </w:p>
        </w:tc>
        <w:tc>
          <w:tcPr>
            <w:tcW w:w="804" w:type="dxa"/>
            <w:tcBorders>
              <w:top w:val="nil"/>
              <w:left w:val="nil"/>
              <w:bottom w:val="single" w:sz="4" w:space="0" w:color="auto"/>
              <w:right w:val="single" w:sz="4" w:space="0" w:color="auto"/>
            </w:tcBorders>
            <w:shd w:val="clear" w:color="000000" w:fill="D9D9D9"/>
            <w:vAlign w:val="bottom"/>
            <w:hideMark/>
          </w:tcPr>
          <w:p w14:paraId="5905F0BE" w14:textId="77777777" w:rsidR="00DB0966" w:rsidRDefault="00DB0966">
            <w:pPr>
              <w:jc w:val="center"/>
              <w:rPr>
                <w:rFonts w:ascii="Calibri" w:hAnsi="Calibri" w:cs="Calibri"/>
                <w:sz w:val="22"/>
                <w:szCs w:val="22"/>
              </w:rPr>
            </w:pPr>
            <w:r>
              <w:rPr>
                <w:rFonts w:ascii="Calibri" w:hAnsi="Calibri" w:cs="Calibri"/>
                <w:sz w:val="22"/>
                <w:szCs w:val="22"/>
              </w:rPr>
              <w:t>100%</w:t>
            </w:r>
          </w:p>
        </w:tc>
        <w:tc>
          <w:tcPr>
            <w:tcW w:w="222" w:type="dxa"/>
            <w:vAlign w:val="center"/>
            <w:hideMark/>
          </w:tcPr>
          <w:p w14:paraId="53F19598" w14:textId="77777777" w:rsidR="00DB0966" w:rsidRDefault="00DB0966">
            <w:pPr>
              <w:rPr>
                <w:sz w:val="20"/>
                <w:szCs w:val="20"/>
              </w:rPr>
            </w:pPr>
          </w:p>
        </w:tc>
      </w:tr>
      <w:tr w:rsidR="00DB0966" w14:paraId="4B5C16AE" w14:textId="77777777" w:rsidTr="00DB0966">
        <w:trPr>
          <w:trHeight w:val="370"/>
          <w:jc w:val="center"/>
        </w:trPr>
        <w:tc>
          <w:tcPr>
            <w:tcW w:w="665" w:type="dxa"/>
            <w:tcBorders>
              <w:top w:val="nil"/>
              <w:left w:val="single" w:sz="4" w:space="0" w:color="auto"/>
              <w:bottom w:val="single" w:sz="4" w:space="0" w:color="auto"/>
              <w:right w:val="single" w:sz="4" w:space="0" w:color="auto"/>
            </w:tcBorders>
            <w:shd w:val="clear" w:color="000000" w:fill="FFFFFF"/>
            <w:noWrap/>
            <w:vAlign w:val="bottom"/>
            <w:hideMark/>
          </w:tcPr>
          <w:p w14:paraId="30B7DE0F" w14:textId="77777777" w:rsidR="00DB0966" w:rsidRDefault="00DB0966">
            <w:pPr>
              <w:jc w:val="center"/>
              <w:rPr>
                <w:rFonts w:ascii="Calibri" w:hAnsi="Calibri" w:cs="Calibri"/>
                <w:b/>
                <w:bCs/>
                <w:sz w:val="22"/>
                <w:szCs w:val="22"/>
              </w:rPr>
            </w:pPr>
            <w:r>
              <w:rPr>
                <w:rFonts w:ascii="Calibri" w:hAnsi="Calibri" w:cs="Calibri"/>
                <w:b/>
                <w:bCs/>
                <w:sz w:val="22"/>
                <w:szCs w:val="22"/>
              </w:rPr>
              <w:t>311</w:t>
            </w:r>
          </w:p>
        </w:tc>
        <w:tc>
          <w:tcPr>
            <w:tcW w:w="4433" w:type="dxa"/>
            <w:tcBorders>
              <w:top w:val="nil"/>
              <w:left w:val="nil"/>
              <w:bottom w:val="single" w:sz="4" w:space="0" w:color="auto"/>
              <w:right w:val="single" w:sz="4" w:space="0" w:color="auto"/>
            </w:tcBorders>
            <w:shd w:val="clear" w:color="000000" w:fill="FFFFFF"/>
            <w:vAlign w:val="bottom"/>
            <w:hideMark/>
          </w:tcPr>
          <w:p w14:paraId="18CEC4B0" w14:textId="77777777" w:rsidR="00DB0966" w:rsidRDefault="00DB0966">
            <w:pPr>
              <w:rPr>
                <w:rFonts w:ascii="Calibri" w:hAnsi="Calibri" w:cs="Calibri"/>
                <w:b/>
                <w:bCs/>
                <w:sz w:val="22"/>
                <w:szCs w:val="22"/>
              </w:rPr>
            </w:pPr>
            <w:r>
              <w:rPr>
                <w:rFonts w:ascii="Calibri" w:hAnsi="Calibri" w:cs="Calibri"/>
                <w:b/>
                <w:bCs/>
                <w:sz w:val="22"/>
                <w:szCs w:val="22"/>
              </w:rPr>
              <w:t>Plaće (bruto)</w:t>
            </w:r>
          </w:p>
        </w:tc>
        <w:tc>
          <w:tcPr>
            <w:tcW w:w="1506" w:type="dxa"/>
            <w:tcBorders>
              <w:top w:val="nil"/>
              <w:left w:val="nil"/>
              <w:bottom w:val="single" w:sz="4" w:space="0" w:color="auto"/>
              <w:right w:val="single" w:sz="4" w:space="0" w:color="auto"/>
            </w:tcBorders>
            <w:shd w:val="clear" w:color="000000" w:fill="FFFFFF"/>
            <w:vAlign w:val="bottom"/>
            <w:hideMark/>
          </w:tcPr>
          <w:p w14:paraId="4F5C423E" w14:textId="77777777" w:rsidR="00DB0966" w:rsidRDefault="00DB0966">
            <w:pPr>
              <w:jc w:val="right"/>
              <w:rPr>
                <w:rFonts w:ascii="Calibri" w:hAnsi="Calibri" w:cs="Calibri"/>
                <w:b/>
                <w:bCs/>
                <w:sz w:val="22"/>
                <w:szCs w:val="22"/>
              </w:rPr>
            </w:pPr>
            <w:r>
              <w:rPr>
                <w:rFonts w:ascii="Calibri" w:hAnsi="Calibri" w:cs="Calibri"/>
                <w:b/>
                <w:bCs/>
                <w:sz w:val="22"/>
                <w:szCs w:val="22"/>
              </w:rPr>
              <w:t>15.761.492,06</w:t>
            </w:r>
          </w:p>
        </w:tc>
        <w:tc>
          <w:tcPr>
            <w:tcW w:w="1506" w:type="dxa"/>
            <w:tcBorders>
              <w:top w:val="nil"/>
              <w:left w:val="nil"/>
              <w:bottom w:val="single" w:sz="4" w:space="0" w:color="auto"/>
              <w:right w:val="single" w:sz="4" w:space="0" w:color="auto"/>
            </w:tcBorders>
            <w:shd w:val="clear" w:color="000000" w:fill="FFFFFF"/>
            <w:vAlign w:val="bottom"/>
            <w:hideMark/>
          </w:tcPr>
          <w:p w14:paraId="2166281B" w14:textId="77777777" w:rsidR="00DB0966" w:rsidRDefault="00DB0966">
            <w:pPr>
              <w:jc w:val="right"/>
              <w:rPr>
                <w:rFonts w:ascii="Calibri" w:hAnsi="Calibri" w:cs="Calibri"/>
                <w:b/>
                <w:bCs/>
                <w:sz w:val="22"/>
                <w:szCs w:val="22"/>
              </w:rPr>
            </w:pPr>
            <w:r>
              <w:rPr>
                <w:rFonts w:ascii="Calibri" w:hAnsi="Calibri" w:cs="Calibri"/>
                <w:b/>
                <w:bCs/>
                <w:sz w:val="22"/>
                <w:szCs w:val="22"/>
              </w:rPr>
              <w:t> </w:t>
            </w:r>
          </w:p>
        </w:tc>
        <w:tc>
          <w:tcPr>
            <w:tcW w:w="1506" w:type="dxa"/>
            <w:tcBorders>
              <w:top w:val="nil"/>
              <w:left w:val="nil"/>
              <w:bottom w:val="single" w:sz="4" w:space="0" w:color="auto"/>
              <w:right w:val="single" w:sz="4" w:space="0" w:color="auto"/>
            </w:tcBorders>
            <w:shd w:val="clear" w:color="000000" w:fill="FFFFFF"/>
            <w:vAlign w:val="bottom"/>
            <w:hideMark/>
          </w:tcPr>
          <w:p w14:paraId="671D56A4" w14:textId="77777777" w:rsidR="00DB0966" w:rsidRDefault="00DB0966">
            <w:pPr>
              <w:jc w:val="right"/>
              <w:rPr>
                <w:rFonts w:ascii="Calibri" w:hAnsi="Calibri" w:cs="Calibri"/>
                <w:b/>
                <w:bCs/>
                <w:sz w:val="22"/>
                <w:szCs w:val="22"/>
              </w:rPr>
            </w:pPr>
            <w:r>
              <w:rPr>
                <w:rFonts w:ascii="Calibri" w:hAnsi="Calibri" w:cs="Calibri"/>
                <w:b/>
                <w:bCs/>
                <w:sz w:val="22"/>
                <w:szCs w:val="22"/>
              </w:rPr>
              <w:t>17.310.273,72</w:t>
            </w:r>
          </w:p>
        </w:tc>
        <w:tc>
          <w:tcPr>
            <w:tcW w:w="877" w:type="dxa"/>
            <w:tcBorders>
              <w:top w:val="nil"/>
              <w:left w:val="nil"/>
              <w:bottom w:val="single" w:sz="4" w:space="0" w:color="auto"/>
              <w:right w:val="single" w:sz="4" w:space="0" w:color="auto"/>
            </w:tcBorders>
            <w:shd w:val="clear" w:color="000000" w:fill="FFFFFF"/>
            <w:vAlign w:val="bottom"/>
            <w:hideMark/>
          </w:tcPr>
          <w:p w14:paraId="6B91D2AD" w14:textId="77777777" w:rsidR="00DB0966" w:rsidRDefault="00DB0966">
            <w:pPr>
              <w:jc w:val="center"/>
              <w:rPr>
                <w:rFonts w:ascii="Calibri" w:hAnsi="Calibri" w:cs="Calibri"/>
                <w:b/>
                <w:bCs/>
                <w:sz w:val="22"/>
                <w:szCs w:val="22"/>
              </w:rPr>
            </w:pPr>
            <w:r>
              <w:rPr>
                <w:rFonts w:ascii="Calibri" w:hAnsi="Calibri" w:cs="Calibri"/>
                <w:b/>
                <w:bCs/>
                <w:sz w:val="22"/>
                <w:szCs w:val="22"/>
              </w:rPr>
              <w:t>110%</w:t>
            </w:r>
          </w:p>
        </w:tc>
        <w:tc>
          <w:tcPr>
            <w:tcW w:w="804" w:type="dxa"/>
            <w:tcBorders>
              <w:top w:val="nil"/>
              <w:left w:val="nil"/>
              <w:bottom w:val="single" w:sz="4" w:space="0" w:color="auto"/>
              <w:right w:val="single" w:sz="4" w:space="0" w:color="auto"/>
            </w:tcBorders>
            <w:shd w:val="clear" w:color="000000" w:fill="FFFFFF"/>
            <w:vAlign w:val="bottom"/>
            <w:hideMark/>
          </w:tcPr>
          <w:p w14:paraId="544C35C6" w14:textId="77777777" w:rsidR="00DB0966" w:rsidRDefault="00DB0966">
            <w:pPr>
              <w:jc w:val="center"/>
              <w:rPr>
                <w:rFonts w:ascii="Calibri" w:hAnsi="Calibri" w:cs="Calibri"/>
                <w:b/>
                <w:bCs/>
                <w:sz w:val="22"/>
                <w:szCs w:val="22"/>
              </w:rPr>
            </w:pPr>
            <w:r>
              <w:rPr>
                <w:rFonts w:ascii="Calibri" w:hAnsi="Calibri" w:cs="Calibri"/>
                <w:b/>
                <w:bCs/>
                <w:sz w:val="22"/>
                <w:szCs w:val="22"/>
              </w:rPr>
              <w:t> </w:t>
            </w:r>
          </w:p>
        </w:tc>
        <w:tc>
          <w:tcPr>
            <w:tcW w:w="222" w:type="dxa"/>
            <w:vAlign w:val="center"/>
            <w:hideMark/>
          </w:tcPr>
          <w:p w14:paraId="0AB7E1BF" w14:textId="77777777" w:rsidR="00DB0966" w:rsidRDefault="00DB0966">
            <w:pPr>
              <w:rPr>
                <w:sz w:val="20"/>
                <w:szCs w:val="20"/>
              </w:rPr>
            </w:pPr>
          </w:p>
        </w:tc>
      </w:tr>
      <w:tr w:rsidR="00DB0966" w14:paraId="2BE0DACC" w14:textId="77777777" w:rsidTr="00DB0966">
        <w:trPr>
          <w:trHeight w:val="290"/>
          <w:jc w:val="center"/>
        </w:trPr>
        <w:tc>
          <w:tcPr>
            <w:tcW w:w="665" w:type="dxa"/>
            <w:tcBorders>
              <w:top w:val="nil"/>
              <w:left w:val="single" w:sz="4" w:space="0" w:color="auto"/>
              <w:bottom w:val="single" w:sz="4" w:space="0" w:color="auto"/>
              <w:right w:val="single" w:sz="4" w:space="0" w:color="auto"/>
            </w:tcBorders>
            <w:noWrap/>
            <w:vAlign w:val="bottom"/>
            <w:hideMark/>
          </w:tcPr>
          <w:p w14:paraId="26DEF731"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3111</w:t>
            </w:r>
          </w:p>
        </w:tc>
        <w:tc>
          <w:tcPr>
            <w:tcW w:w="4433" w:type="dxa"/>
            <w:tcBorders>
              <w:top w:val="nil"/>
              <w:left w:val="nil"/>
              <w:bottom w:val="single" w:sz="4" w:space="0" w:color="auto"/>
              <w:right w:val="single" w:sz="4" w:space="0" w:color="auto"/>
            </w:tcBorders>
            <w:noWrap/>
            <w:vAlign w:val="bottom"/>
            <w:hideMark/>
          </w:tcPr>
          <w:p w14:paraId="52BDCE71" w14:textId="77777777" w:rsidR="00DB0966" w:rsidRDefault="00DB0966">
            <w:pPr>
              <w:rPr>
                <w:rFonts w:ascii="Calibri" w:hAnsi="Calibri" w:cs="Calibri"/>
                <w:color w:val="000000"/>
                <w:sz w:val="22"/>
                <w:szCs w:val="22"/>
              </w:rPr>
            </w:pPr>
            <w:r>
              <w:rPr>
                <w:rFonts w:ascii="Calibri" w:hAnsi="Calibri" w:cs="Calibri"/>
                <w:color w:val="000000"/>
                <w:sz w:val="22"/>
                <w:szCs w:val="22"/>
              </w:rPr>
              <w:t xml:space="preserve">Plaće </w:t>
            </w:r>
          </w:p>
        </w:tc>
        <w:tc>
          <w:tcPr>
            <w:tcW w:w="1506" w:type="dxa"/>
            <w:tcBorders>
              <w:top w:val="nil"/>
              <w:left w:val="nil"/>
              <w:bottom w:val="single" w:sz="4" w:space="0" w:color="auto"/>
              <w:right w:val="single" w:sz="4" w:space="0" w:color="auto"/>
            </w:tcBorders>
            <w:noWrap/>
            <w:vAlign w:val="bottom"/>
            <w:hideMark/>
          </w:tcPr>
          <w:p w14:paraId="56A5B55E" w14:textId="77777777" w:rsidR="00DB0966" w:rsidRDefault="00DB0966">
            <w:pPr>
              <w:jc w:val="right"/>
              <w:rPr>
                <w:rFonts w:ascii="Calibri" w:hAnsi="Calibri" w:cs="Calibri"/>
                <w:color w:val="000000"/>
                <w:sz w:val="22"/>
                <w:szCs w:val="22"/>
              </w:rPr>
            </w:pPr>
            <w:r>
              <w:rPr>
                <w:rFonts w:ascii="Calibri" w:hAnsi="Calibri" w:cs="Calibri"/>
                <w:color w:val="000000"/>
                <w:sz w:val="22"/>
                <w:szCs w:val="22"/>
              </w:rPr>
              <w:t>15.189.418,95</w:t>
            </w:r>
          </w:p>
        </w:tc>
        <w:tc>
          <w:tcPr>
            <w:tcW w:w="1506" w:type="dxa"/>
            <w:tcBorders>
              <w:top w:val="nil"/>
              <w:left w:val="nil"/>
              <w:bottom w:val="single" w:sz="4" w:space="0" w:color="auto"/>
              <w:right w:val="single" w:sz="4" w:space="0" w:color="auto"/>
            </w:tcBorders>
            <w:shd w:val="clear" w:color="000000" w:fill="FFFFFF"/>
            <w:vAlign w:val="bottom"/>
            <w:hideMark/>
          </w:tcPr>
          <w:p w14:paraId="2E2BBBB4" w14:textId="77777777" w:rsidR="00DB0966" w:rsidRDefault="00DB0966">
            <w:pPr>
              <w:jc w:val="right"/>
              <w:rPr>
                <w:rFonts w:ascii="Calibri" w:hAnsi="Calibri" w:cs="Calibri"/>
                <w:sz w:val="22"/>
                <w:szCs w:val="22"/>
              </w:rPr>
            </w:pPr>
            <w:r>
              <w:rPr>
                <w:rFonts w:ascii="Calibri" w:hAnsi="Calibri" w:cs="Calibri"/>
                <w:sz w:val="22"/>
                <w:szCs w:val="22"/>
              </w:rPr>
              <w:t> </w:t>
            </w:r>
          </w:p>
        </w:tc>
        <w:tc>
          <w:tcPr>
            <w:tcW w:w="1506" w:type="dxa"/>
            <w:tcBorders>
              <w:top w:val="nil"/>
              <w:left w:val="nil"/>
              <w:bottom w:val="single" w:sz="4" w:space="0" w:color="auto"/>
              <w:right w:val="single" w:sz="4" w:space="0" w:color="auto"/>
            </w:tcBorders>
            <w:vAlign w:val="bottom"/>
            <w:hideMark/>
          </w:tcPr>
          <w:p w14:paraId="5ECCB916" w14:textId="77777777" w:rsidR="00DB0966" w:rsidRDefault="00DB0966">
            <w:pPr>
              <w:jc w:val="right"/>
              <w:rPr>
                <w:rFonts w:ascii="Calibri" w:hAnsi="Calibri" w:cs="Calibri"/>
                <w:sz w:val="22"/>
                <w:szCs w:val="22"/>
              </w:rPr>
            </w:pPr>
            <w:r>
              <w:rPr>
                <w:rFonts w:ascii="Calibri" w:hAnsi="Calibri" w:cs="Calibri"/>
                <w:sz w:val="22"/>
                <w:szCs w:val="22"/>
              </w:rPr>
              <w:t>16.851.363,14</w:t>
            </w:r>
          </w:p>
        </w:tc>
        <w:tc>
          <w:tcPr>
            <w:tcW w:w="877" w:type="dxa"/>
            <w:tcBorders>
              <w:top w:val="nil"/>
              <w:left w:val="nil"/>
              <w:bottom w:val="single" w:sz="4" w:space="0" w:color="auto"/>
              <w:right w:val="single" w:sz="4" w:space="0" w:color="auto"/>
            </w:tcBorders>
            <w:noWrap/>
            <w:vAlign w:val="bottom"/>
            <w:hideMark/>
          </w:tcPr>
          <w:p w14:paraId="6EE572E1"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111%</w:t>
            </w:r>
          </w:p>
        </w:tc>
        <w:tc>
          <w:tcPr>
            <w:tcW w:w="804" w:type="dxa"/>
            <w:tcBorders>
              <w:top w:val="nil"/>
              <w:left w:val="nil"/>
              <w:bottom w:val="single" w:sz="4" w:space="0" w:color="auto"/>
              <w:right w:val="single" w:sz="4" w:space="0" w:color="auto"/>
            </w:tcBorders>
            <w:noWrap/>
            <w:vAlign w:val="bottom"/>
            <w:hideMark/>
          </w:tcPr>
          <w:p w14:paraId="73752589"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 </w:t>
            </w:r>
          </w:p>
        </w:tc>
        <w:tc>
          <w:tcPr>
            <w:tcW w:w="222" w:type="dxa"/>
            <w:vAlign w:val="center"/>
            <w:hideMark/>
          </w:tcPr>
          <w:p w14:paraId="702DE616" w14:textId="77777777" w:rsidR="00DB0966" w:rsidRDefault="00DB0966">
            <w:pPr>
              <w:rPr>
                <w:sz w:val="20"/>
                <w:szCs w:val="20"/>
              </w:rPr>
            </w:pPr>
          </w:p>
        </w:tc>
      </w:tr>
      <w:tr w:rsidR="00DB0966" w14:paraId="64639F48" w14:textId="77777777" w:rsidTr="00DB0966">
        <w:trPr>
          <w:trHeight w:val="290"/>
          <w:jc w:val="center"/>
        </w:trPr>
        <w:tc>
          <w:tcPr>
            <w:tcW w:w="665" w:type="dxa"/>
            <w:tcBorders>
              <w:top w:val="nil"/>
              <w:left w:val="single" w:sz="4" w:space="0" w:color="auto"/>
              <w:bottom w:val="single" w:sz="4" w:space="0" w:color="auto"/>
              <w:right w:val="single" w:sz="4" w:space="0" w:color="auto"/>
            </w:tcBorders>
            <w:noWrap/>
            <w:vAlign w:val="bottom"/>
            <w:hideMark/>
          </w:tcPr>
          <w:p w14:paraId="6C3680E0"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3113</w:t>
            </w:r>
          </w:p>
        </w:tc>
        <w:tc>
          <w:tcPr>
            <w:tcW w:w="4433" w:type="dxa"/>
            <w:tcBorders>
              <w:top w:val="nil"/>
              <w:left w:val="nil"/>
              <w:bottom w:val="single" w:sz="4" w:space="0" w:color="auto"/>
              <w:right w:val="single" w:sz="4" w:space="0" w:color="auto"/>
            </w:tcBorders>
            <w:noWrap/>
            <w:vAlign w:val="bottom"/>
            <w:hideMark/>
          </w:tcPr>
          <w:p w14:paraId="01FAF722" w14:textId="77777777" w:rsidR="00DB0966" w:rsidRDefault="00DB0966">
            <w:pPr>
              <w:rPr>
                <w:rFonts w:ascii="Calibri" w:hAnsi="Calibri" w:cs="Calibri"/>
                <w:color w:val="000000"/>
                <w:sz w:val="22"/>
                <w:szCs w:val="22"/>
              </w:rPr>
            </w:pPr>
            <w:r>
              <w:rPr>
                <w:rFonts w:ascii="Calibri" w:hAnsi="Calibri" w:cs="Calibri"/>
                <w:color w:val="000000"/>
                <w:sz w:val="22"/>
                <w:szCs w:val="22"/>
              </w:rPr>
              <w:t>Prekovremeni rad</w:t>
            </w:r>
          </w:p>
        </w:tc>
        <w:tc>
          <w:tcPr>
            <w:tcW w:w="1506" w:type="dxa"/>
            <w:tcBorders>
              <w:top w:val="nil"/>
              <w:left w:val="nil"/>
              <w:bottom w:val="single" w:sz="4" w:space="0" w:color="auto"/>
              <w:right w:val="single" w:sz="4" w:space="0" w:color="auto"/>
            </w:tcBorders>
            <w:noWrap/>
            <w:vAlign w:val="bottom"/>
            <w:hideMark/>
          </w:tcPr>
          <w:p w14:paraId="13E77A3E" w14:textId="77777777" w:rsidR="00DB0966" w:rsidRDefault="00DB0966">
            <w:pPr>
              <w:jc w:val="right"/>
              <w:rPr>
                <w:rFonts w:ascii="Calibri" w:hAnsi="Calibri" w:cs="Calibri"/>
                <w:color w:val="000000"/>
                <w:sz w:val="22"/>
                <w:szCs w:val="22"/>
              </w:rPr>
            </w:pPr>
            <w:r>
              <w:rPr>
                <w:rFonts w:ascii="Calibri" w:hAnsi="Calibri" w:cs="Calibri"/>
                <w:color w:val="000000"/>
                <w:sz w:val="22"/>
                <w:szCs w:val="22"/>
              </w:rPr>
              <w:t>408.526,60</w:t>
            </w:r>
          </w:p>
        </w:tc>
        <w:tc>
          <w:tcPr>
            <w:tcW w:w="1506" w:type="dxa"/>
            <w:tcBorders>
              <w:top w:val="nil"/>
              <w:left w:val="nil"/>
              <w:bottom w:val="single" w:sz="4" w:space="0" w:color="auto"/>
              <w:right w:val="single" w:sz="4" w:space="0" w:color="auto"/>
            </w:tcBorders>
            <w:shd w:val="clear" w:color="000000" w:fill="FFFFFF"/>
            <w:vAlign w:val="bottom"/>
            <w:hideMark/>
          </w:tcPr>
          <w:p w14:paraId="32495A6B" w14:textId="77777777" w:rsidR="00DB0966" w:rsidRDefault="00DB0966">
            <w:pPr>
              <w:jc w:val="right"/>
              <w:rPr>
                <w:rFonts w:ascii="Calibri" w:hAnsi="Calibri" w:cs="Calibri"/>
                <w:sz w:val="22"/>
                <w:szCs w:val="22"/>
              </w:rPr>
            </w:pPr>
            <w:r>
              <w:rPr>
                <w:rFonts w:ascii="Calibri" w:hAnsi="Calibri" w:cs="Calibri"/>
                <w:sz w:val="22"/>
                <w:szCs w:val="22"/>
              </w:rPr>
              <w:t> </w:t>
            </w:r>
          </w:p>
        </w:tc>
        <w:tc>
          <w:tcPr>
            <w:tcW w:w="1506" w:type="dxa"/>
            <w:tcBorders>
              <w:top w:val="nil"/>
              <w:left w:val="nil"/>
              <w:bottom w:val="single" w:sz="4" w:space="0" w:color="auto"/>
              <w:right w:val="single" w:sz="4" w:space="0" w:color="auto"/>
            </w:tcBorders>
            <w:vAlign w:val="bottom"/>
            <w:hideMark/>
          </w:tcPr>
          <w:p w14:paraId="431E86B3" w14:textId="77777777" w:rsidR="00DB0966" w:rsidRDefault="00DB0966">
            <w:pPr>
              <w:jc w:val="right"/>
              <w:rPr>
                <w:rFonts w:ascii="Calibri" w:hAnsi="Calibri" w:cs="Calibri"/>
                <w:sz w:val="22"/>
                <w:szCs w:val="22"/>
              </w:rPr>
            </w:pPr>
            <w:r>
              <w:rPr>
                <w:rFonts w:ascii="Calibri" w:hAnsi="Calibri" w:cs="Calibri"/>
                <w:sz w:val="22"/>
                <w:szCs w:val="22"/>
              </w:rPr>
              <w:t>458.910,58</w:t>
            </w:r>
          </w:p>
        </w:tc>
        <w:tc>
          <w:tcPr>
            <w:tcW w:w="877" w:type="dxa"/>
            <w:tcBorders>
              <w:top w:val="nil"/>
              <w:left w:val="nil"/>
              <w:bottom w:val="single" w:sz="4" w:space="0" w:color="auto"/>
              <w:right w:val="single" w:sz="4" w:space="0" w:color="auto"/>
            </w:tcBorders>
            <w:noWrap/>
            <w:vAlign w:val="bottom"/>
            <w:hideMark/>
          </w:tcPr>
          <w:p w14:paraId="052253FA"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112%</w:t>
            </w:r>
          </w:p>
        </w:tc>
        <w:tc>
          <w:tcPr>
            <w:tcW w:w="804" w:type="dxa"/>
            <w:tcBorders>
              <w:top w:val="nil"/>
              <w:left w:val="nil"/>
              <w:bottom w:val="single" w:sz="4" w:space="0" w:color="auto"/>
              <w:right w:val="single" w:sz="4" w:space="0" w:color="auto"/>
            </w:tcBorders>
            <w:noWrap/>
            <w:vAlign w:val="bottom"/>
            <w:hideMark/>
          </w:tcPr>
          <w:p w14:paraId="10FC5439"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 </w:t>
            </w:r>
          </w:p>
        </w:tc>
        <w:tc>
          <w:tcPr>
            <w:tcW w:w="222" w:type="dxa"/>
            <w:vAlign w:val="center"/>
            <w:hideMark/>
          </w:tcPr>
          <w:p w14:paraId="3B37BD3D" w14:textId="77777777" w:rsidR="00DB0966" w:rsidRDefault="00DB0966">
            <w:pPr>
              <w:rPr>
                <w:sz w:val="20"/>
                <w:szCs w:val="20"/>
              </w:rPr>
            </w:pPr>
          </w:p>
        </w:tc>
      </w:tr>
      <w:tr w:rsidR="00DB0966" w14:paraId="2C86B4FC" w14:textId="77777777" w:rsidTr="00DB0966">
        <w:trPr>
          <w:trHeight w:val="290"/>
          <w:jc w:val="center"/>
        </w:trPr>
        <w:tc>
          <w:tcPr>
            <w:tcW w:w="665" w:type="dxa"/>
            <w:tcBorders>
              <w:top w:val="nil"/>
              <w:left w:val="single" w:sz="4" w:space="0" w:color="auto"/>
              <w:bottom w:val="single" w:sz="4" w:space="0" w:color="auto"/>
              <w:right w:val="single" w:sz="4" w:space="0" w:color="auto"/>
            </w:tcBorders>
            <w:noWrap/>
            <w:vAlign w:val="bottom"/>
            <w:hideMark/>
          </w:tcPr>
          <w:p w14:paraId="5CE269FE"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3114</w:t>
            </w:r>
          </w:p>
        </w:tc>
        <w:tc>
          <w:tcPr>
            <w:tcW w:w="4433" w:type="dxa"/>
            <w:tcBorders>
              <w:top w:val="nil"/>
              <w:left w:val="nil"/>
              <w:bottom w:val="single" w:sz="4" w:space="0" w:color="auto"/>
              <w:right w:val="single" w:sz="4" w:space="0" w:color="auto"/>
            </w:tcBorders>
            <w:noWrap/>
            <w:vAlign w:val="bottom"/>
            <w:hideMark/>
          </w:tcPr>
          <w:p w14:paraId="75091122" w14:textId="77777777" w:rsidR="00DB0966" w:rsidRDefault="00DB0966">
            <w:pPr>
              <w:rPr>
                <w:rFonts w:ascii="Calibri" w:hAnsi="Calibri" w:cs="Calibri"/>
                <w:color w:val="000000"/>
                <w:sz w:val="22"/>
                <w:szCs w:val="22"/>
              </w:rPr>
            </w:pPr>
            <w:r>
              <w:rPr>
                <w:rFonts w:ascii="Calibri" w:hAnsi="Calibri" w:cs="Calibri"/>
                <w:color w:val="000000"/>
                <w:sz w:val="22"/>
                <w:szCs w:val="22"/>
              </w:rPr>
              <w:t>Plaća za posebne uvjete rada</w:t>
            </w:r>
          </w:p>
        </w:tc>
        <w:tc>
          <w:tcPr>
            <w:tcW w:w="1506" w:type="dxa"/>
            <w:tcBorders>
              <w:top w:val="nil"/>
              <w:left w:val="nil"/>
              <w:bottom w:val="single" w:sz="4" w:space="0" w:color="auto"/>
              <w:right w:val="single" w:sz="4" w:space="0" w:color="auto"/>
            </w:tcBorders>
            <w:noWrap/>
            <w:vAlign w:val="bottom"/>
            <w:hideMark/>
          </w:tcPr>
          <w:p w14:paraId="77E339B6" w14:textId="77777777" w:rsidR="00DB0966" w:rsidRDefault="00DB0966">
            <w:pPr>
              <w:jc w:val="right"/>
              <w:rPr>
                <w:rFonts w:ascii="Calibri" w:hAnsi="Calibri" w:cs="Calibri"/>
                <w:color w:val="000000"/>
                <w:sz w:val="22"/>
                <w:szCs w:val="22"/>
              </w:rPr>
            </w:pPr>
            <w:r>
              <w:rPr>
                <w:rFonts w:ascii="Calibri" w:hAnsi="Calibri" w:cs="Calibri"/>
                <w:color w:val="000000"/>
                <w:sz w:val="22"/>
                <w:szCs w:val="22"/>
              </w:rPr>
              <w:t>163.546,51</w:t>
            </w:r>
          </w:p>
        </w:tc>
        <w:tc>
          <w:tcPr>
            <w:tcW w:w="1506" w:type="dxa"/>
            <w:tcBorders>
              <w:top w:val="nil"/>
              <w:left w:val="nil"/>
              <w:bottom w:val="single" w:sz="4" w:space="0" w:color="auto"/>
              <w:right w:val="single" w:sz="4" w:space="0" w:color="auto"/>
            </w:tcBorders>
            <w:shd w:val="clear" w:color="000000" w:fill="FFFFFF"/>
            <w:vAlign w:val="bottom"/>
            <w:hideMark/>
          </w:tcPr>
          <w:p w14:paraId="6329FEC4" w14:textId="77777777" w:rsidR="00DB0966" w:rsidRDefault="00DB0966">
            <w:pPr>
              <w:jc w:val="right"/>
              <w:rPr>
                <w:rFonts w:ascii="Calibri" w:hAnsi="Calibri" w:cs="Calibri"/>
                <w:sz w:val="22"/>
                <w:szCs w:val="22"/>
              </w:rPr>
            </w:pPr>
            <w:r>
              <w:rPr>
                <w:rFonts w:ascii="Calibri" w:hAnsi="Calibri" w:cs="Calibri"/>
                <w:sz w:val="22"/>
                <w:szCs w:val="22"/>
              </w:rPr>
              <w:t> </w:t>
            </w:r>
          </w:p>
        </w:tc>
        <w:tc>
          <w:tcPr>
            <w:tcW w:w="1506" w:type="dxa"/>
            <w:tcBorders>
              <w:top w:val="nil"/>
              <w:left w:val="nil"/>
              <w:bottom w:val="single" w:sz="4" w:space="0" w:color="auto"/>
              <w:right w:val="single" w:sz="4" w:space="0" w:color="auto"/>
            </w:tcBorders>
            <w:vAlign w:val="bottom"/>
            <w:hideMark/>
          </w:tcPr>
          <w:p w14:paraId="5D1F8496" w14:textId="77777777" w:rsidR="00DB0966" w:rsidRDefault="00DB0966">
            <w:pPr>
              <w:jc w:val="right"/>
              <w:rPr>
                <w:rFonts w:ascii="Calibri" w:hAnsi="Calibri" w:cs="Calibri"/>
                <w:sz w:val="22"/>
                <w:szCs w:val="22"/>
              </w:rPr>
            </w:pPr>
            <w:r>
              <w:rPr>
                <w:rFonts w:ascii="Calibri" w:hAnsi="Calibri" w:cs="Calibri"/>
                <w:sz w:val="22"/>
                <w:szCs w:val="22"/>
              </w:rPr>
              <w:t>0,00</w:t>
            </w:r>
          </w:p>
        </w:tc>
        <w:tc>
          <w:tcPr>
            <w:tcW w:w="877" w:type="dxa"/>
            <w:tcBorders>
              <w:top w:val="nil"/>
              <w:left w:val="nil"/>
              <w:bottom w:val="single" w:sz="4" w:space="0" w:color="auto"/>
              <w:right w:val="single" w:sz="4" w:space="0" w:color="auto"/>
            </w:tcBorders>
            <w:noWrap/>
            <w:vAlign w:val="bottom"/>
            <w:hideMark/>
          </w:tcPr>
          <w:p w14:paraId="1D2E511A"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0%</w:t>
            </w:r>
          </w:p>
        </w:tc>
        <w:tc>
          <w:tcPr>
            <w:tcW w:w="804" w:type="dxa"/>
            <w:tcBorders>
              <w:top w:val="nil"/>
              <w:left w:val="nil"/>
              <w:bottom w:val="single" w:sz="4" w:space="0" w:color="auto"/>
              <w:right w:val="single" w:sz="4" w:space="0" w:color="auto"/>
            </w:tcBorders>
            <w:noWrap/>
            <w:vAlign w:val="bottom"/>
            <w:hideMark/>
          </w:tcPr>
          <w:p w14:paraId="14EA076C"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 </w:t>
            </w:r>
          </w:p>
        </w:tc>
        <w:tc>
          <w:tcPr>
            <w:tcW w:w="222" w:type="dxa"/>
            <w:vAlign w:val="center"/>
            <w:hideMark/>
          </w:tcPr>
          <w:p w14:paraId="712B7DD1" w14:textId="77777777" w:rsidR="00DB0966" w:rsidRDefault="00DB0966">
            <w:pPr>
              <w:rPr>
                <w:sz w:val="20"/>
                <w:szCs w:val="20"/>
              </w:rPr>
            </w:pPr>
          </w:p>
        </w:tc>
      </w:tr>
      <w:tr w:rsidR="00DB0966" w14:paraId="4323B29A" w14:textId="77777777" w:rsidTr="00DB0966">
        <w:trPr>
          <w:trHeight w:val="290"/>
          <w:jc w:val="center"/>
        </w:trPr>
        <w:tc>
          <w:tcPr>
            <w:tcW w:w="665" w:type="dxa"/>
            <w:tcBorders>
              <w:top w:val="nil"/>
              <w:left w:val="single" w:sz="4" w:space="0" w:color="auto"/>
              <w:bottom w:val="single" w:sz="4" w:space="0" w:color="auto"/>
              <w:right w:val="single" w:sz="4" w:space="0" w:color="auto"/>
            </w:tcBorders>
            <w:noWrap/>
            <w:vAlign w:val="bottom"/>
            <w:hideMark/>
          </w:tcPr>
          <w:p w14:paraId="46D9FD57" w14:textId="77777777" w:rsidR="00DB0966" w:rsidRDefault="00DB0966">
            <w:pPr>
              <w:jc w:val="center"/>
              <w:rPr>
                <w:rFonts w:ascii="Calibri" w:hAnsi="Calibri" w:cs="Calibri"/>
                <w:b/>
                <w:bCs/>
                <w:color w:val="000000"/>
                <w:sz w:val="22"/>
                <w:szCs w:val="22"/>
              </w:rPr>
            </w:pPr>
            <w:r>
              <w:rPr>
                <w:rFonts w:ascii="Calibri" w:hAnsi="Calibri" w:cs="Calibri"/>
                <w:b/>
                <w:bCs/>
                <w:color w:val="000000"/>
                <w:sz w:val="22"/>
                <w:szCs w:val="22"/>
              </w:rPr>
              <w:t>312</w:t>
            </w:r>
          </w:p>
        </w:tc>
        <w:tc>
          <w:tcPr>
            <w:tcW w:w="4433" w:type="dxa"/>
            <w:tcBorders>
              <w:top w:val="nil"/>
              <w:left w:val="nil"/>
              <w:bottom w:val="single" w:sz="4" w:space="0" w:color="auto"/>
              <w:right w:val="single" w:sz="4" w:space="0" w:color="auto"/>
            </w:tcBorders>
            <w:noWrap/>
            <w:vAlign w:val="bottom"/>
            <w:hideMark/>
          </w:tcPr>
          <w:p w14:paraId="33D8CB9F" w14:textId="77777777" w:rsidR="00DB0966" w:rsidRDefault="00DB0966">
            <w:pPr>
              <w:rPr>
                <w:rFonts w:ascii="Calibri" w:hAnsi="Calibri" w:cs="Calibri"/>
                <w:b/>
                <w:bCs/>
                <w:color w:val="000000"/>
                <w:sz w:val="22"/>
                <w:szCs w:val="22"/>
              </w:rPr>
            </w:pPr>
            <w:r>
              <w:rPr>
                <w:rFonts w:ascii="Calibri" w:hAnsi="Calibri" w:cs="Calibri"/>
                <w:b/>
                <w:bCs/>
                <w:color w:val="000000"/>
                <w:sz w:val="22"/>
                <w:szCs w:val="22"/>
              </w:rPr>
              <w:t xml:space="preserve">Ostali rashodi za zaposlene </w:t>
            </w:r>
          </w:p>
        </w:tc>
        <w:tc>
          <w:tcPr>
            <w:tcW w:w="1506" w:type="dxa"/>
            <w:tcBorders>
              <w:top w:val="nil"/>
              <w:left w:val="nil"/>
              <w:bottom w:val="single" w:sz="4" w:space="0" w:color="auto"/>
              <w:right w:val="single" w:sz="4" w:space="0" w:color="auto"/>
            </w:tcBorders>
            <w:noWrap/>
            <w:vAlign w:val="bottom"/>
            <w:hideMark/>
          </w:tcPr>
          <w:p w14:paraId="1F086483" w14:textId="77777777" w:rsidR="00DB0966" w:rsidRDefault="00DB0966">
            <w:pPr>
              <w:jc w:val="right"/>
              <w:rPr>
                <w:rFonts w:ascii="Calibri" w:hAnsi="Calibri" w:cs="Calibri"/>
                <w:b/>
                <w:bCs/>
                <w:color w:val="000000"/>
                <w:sz w:val="22"/>
                <w:szCs w:val="22"/>
              </w:rPr>
            </w:pPr>
            <w:r>
              <w:rPr>
                <w:rFonts w:ascii="Calibri" w:hAnsi="Calibri" w:cs="Calibri"/>
                <w:b/>
                <w:bCs/>
                <w:color w:val="000000"/>
                <w:sz w:val="22"/>
                <w:szCs w:val="22"/>
              </w:rPr>
              <w:t>1.015.263,25</w:t>
            </w:r>
          </w:p>
        </w:tc>
        <w:tc>
          <w:tcPr>
            <w:tcW w:w="1506" w:type="dxa"/>
            <w:tcBorders>
              <w:top w:val="nil"/>
              <w:left w:val="nil"/>
              <w:bottom w:val="single" w:sz="4" w:space="0" w:color="auto"/>
              <w:right w:val="single" w:sz="4" w:space="0" w:color="auto"/>
            </w:tcBorders>
            <w:noWrap/>
            <w:vAlign w:val="bottom"/>
            <w:hideMark/>
          </w:tcPr>
          <w:p w14:paraId="2004AF96" w14:textId="77777777" w:rsidR="00DB0966" w:rsidRDefault="00DB0966">
            <w:pPr>
              <w:rPr>
                <w:rFonts w:ascii="Calibri" w:hAnsi="Calibri" w:cs="Calibri"/>
                <w:b/>
                <w:bCs/>
                <w:color w:val="000000"/>
                <w:sz w:val="22"/>
                <w:szCs w:val="22"/>
              </w:rPr>
            </w:pPr>
            <w:r>
              <w:rPr>
                <w:rFonts w:ascii="Calibri" w:hAnsi="Calibri" w:cs="Calibri"/>
                <w:b/>
                <w:bCs/>
                <w:color w:val="000000"/>
                <w:sz w:val="22"/>
                <w:szCs w:val="22"/>
              </w:rPr>
              <w:t> </w:t>
            </w:r>
          </w:p>
        </w:tc>
        <w:tc>
          <w:tcPr>
            <w:tcW w:w="1506" w:type="dxa"/>
            <w:tcBorders>
              <w:top w:val="nil"/>
              <w:left w:val="nil"/>
              <w:bottom w:val="single" w:sz="4" w:space="0" w:color="auto"/>
              <w:right w:val="single" w:sz="4" w:space="0" w:color="auto"/>
            </w:tcBorders>
            <w:noWrap/>
            <w:vAlign w:val="bottom"/>
            <w:hideMark/>
          </w:tcPr>
          <w:p w14:paraId="6ED0D798" w14:textId="77777777" w:rsidR="00DB0966" w:rsidRDefault="00DB0966">
            <w:pPr>
              <w:jc w:val="right"/>
              <w:rPr>
                <w:rFonts w:ascii="Calibri" w:hAnsi="Calibri" w:cs="Calibri"/>
                <w:b/>
                <w:bCs/>
                <w:color w:val="000000"/>
                <w:sz w:val="22"/>
                <w:szCs w:val="22"/>
              </w:rPr>
            </w:pPr>
            <w:r>
              <w:rPr>
                <w:rFonts w:ascii="Calibri" w:hAnsi="Calibri" w:cs="Calibri"/>
                <w:b/>
                <w:bCs/>
                <w:color w:val="000000"/>
                <w:sz w:val="22"/>
                <w:szCs w:val="22"/>
              </w:rPr>
              <w:t>1.002.115,05</w:t>
            </w:r>
          </w:p>
        </w:tc>
        <w:tc>
          <w:tcPr>
            <w:tcW w:w="877" w:type="dxa"/>
            <w:tcBorders>
              <w:top w:val="nil"/>
              <w:left w:val="nil"/>
              <w:bottom w:val="single" w:sz="4" w:space="0" w:color="auto"/>
              <w:right w:val="single" w:sz="4" w:space="0" w:color="auto"/>
            </w:tcBorders>
            <w:noWrap/>
            <w:vAlign w:val="bottom"/>
            <w:hideMark/>
          </w:tcPr>
          <w:p w14:paraId="5CEBD4B5"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99%</w:t>
            </w:r>
          </w:p>
        </w:tc>
        <w:tc>
          <w:tcPr>
            <w:tcW w:w="804" w:type="dxa"/>
            <w:tcBorders>
              <w:top w:val="nil"/>
              <w:left w:val="nil"/>
              <w:bottom w:val="single" w:sz="4" w:space="0" w:color="auto"/>
              <w:right w:val="single" w:sz="4" w:space="0" w:color="auto"/>
            </w:tcBorders>
            <w:noWrap/>
            <w:vAlign w:val="bottom"/>
            <w:hideMark/>
          </w:tcPr>
          <w:p w14:paraId="5E4C1292" w14:textId="77777777" w:rsidR="00DB0966" w:rsidRDefault="00DB0966">
            <w:pPr>
              <w:jc w:val="center"/>
              <w:rPr>
                <w:rFonts w:ascii="Calibri" w:hAnsi="Calibri" w:cs="Calibri"/>
                <w:b/>
                <w:bCs/>
                <w:color w:val="000000"/>
                <w:sz w:val="22"/>
                <w:szCs w:val="22"/>
              </w:rPr>
            </w:pPr>
            <w:r>
              <w:rPr>
                <w:rFonts w:ascii="Calibri" w:hAnsi="Calibri" w:cs="Calibri"/>
                <w:b/>
                <w:bCs/>
                <w:color w:val="000000"/>
                <w:sz w:val="22"/>
                <w:szCs w:val="22"/>
              </w:rPr>
              <w:t> </w:t>
            </w:r>
          </w:p>
        </w:tc>
        <w:tc>
          <w:tcPr>
            <w:tcW w:w="222" w:type="dxa"/>
            <w:vAlign w:val="center"/>
            <w:hideMark/>
          </w:tcPr>
          <w:p w14:paraId="27715DAE" w14:textId="77777777" w:rsidR="00DB0966" w:rsidRDefault="00DB0966">
            <w:pPr>
              <w:rPr>
                <w:sz w:val="20"/>
                <w:szCs w:val="20"/>
              </w:rPr>
            </w:pPr>
          </w:p>
        </w:tc>
      </w:tr>
      <w:tr w:rsidR="00DB0966" w14:paraId="7A76333A" w14:textId="77777777" w:rsidTr="00DB0966">
        <w:trPr>
          <w:trHeight w:val="290"/>
          <w:jc w:val="center"/>
        </w:trPr>
        <w:tc>
          <w:tcPr>
            <w:tcW w:w="665" w:type="dxa"/>
            <w:tcBorders>
              <w:top w:val="nil"/>
              <w:left w:val="single" w:sz="4" w:space="0" w:color="auto"/>
              <w:bottom w:val="single" w:sz="4" w:space="0" w:color="auto"/>
              <w:right w:val="single" w:sz="4" w:space="0" w:color="auto"/>
            </w:tcBorders>
            <w:noWrap/>
            <w:vAlign w:val="bottom"/>
            <w:hideMark/>
          </w:tcPr>
          <w:p w14:paraId="4B87A858"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3121</w:t>
            </w:r>
          </w:p>
        </w:tc>
        <w:tc>
          <w:tcPr>
            <w:tcW w:w="4433" w:type="dxa"/>
            <w:tcBorders>
              <w:top w:val="nil"/>
              <w:left w:val="nil"/>
              <w:bottom w:val="single" w:sz="4" w:space="0" w:color="auto"/>
              <w:right w:val="single" w:sz="4" w:space="0" w:color="auto"/>
            </w:tcBorders>
            <w:vAlign w:val="bottom"/>
            <w:hideMark/>
          </w:tcPr>
          <w:p w14:paraId="2E520F1D" w14:textId="77777777" w:rsidR="00DB0966" w:rsidRDefault="00DB0966">
            <w:pPr>
              <w:rPr>
                <w:rFonts w:ascii="Calibri" w:hAnsi="Calibri" w:cs="Calibri"/>
                <w:color w:val="000000"/>
                <w:sz w:val="22"/>
                <w:szCs w:val="22"/>
              </w:rPr>
            </w:pPr>
            <w:r>
              <w:rPr>
                <w:rFonts w:ascii="Calibri" w:hAnsi="Calibri" w:cs="Calibri"/>
                <w:color w:val="000000"/>
                <w:sz w:val="22"/>
                <w:szCs w:val="22"/>
              </w:rPr>
              <w:t xml:space="preserve">Ostali rashodi za zaposlene </w:t>
            </w:r>
          </w:p>
        </w:tc>
        <w:tc>
          <w:tcPr>
            <w:tcW w:w="1506" w:type="dxa"/>
            <w:tcBorders>
              <w:top w:val="nil"/>
              <w:left w:val="nil"/>
              <w:bottom w:val="single" w:sz="4" w:space="0" w:color="auto"/>
              <w:right w:val="single" w:sz="4" w:space="0" w:color="auto"/>
            </w:tcBorders>
            <w:vAlign w:val="bottom"/>
            <w:hideMark/>
          </w:tcPr>
          <w:p w14:paraId="1D1A8887" w14:textId="77777777" w:rsidR="00DB0966" w:rsidRDefault="00DB0966">
            <w:pPr>
              <w:jc w:val="right"/>
              <w:rPr>
                <w:rFonts w:ascii="Calibri" w:hAnsi="Calibri" w:cs="Calibri"/>
                <w:color w:val="000000"/>
                <w:sz w:val="22"/>
                <w:szCs w:val="22"/>
              </w:rPr>
            </w:pPr>
            <w:r>
              <w:rPr>
                <w:rFonts w:ascii="Calibri" w:hAnsi="Calibri" w:cs="Calibri"/>
                <w:color w:val="000000"/>
                <w:sz w:val="22"/>
                <w:szCs w:val="22"/>
              </w:rPr>
              <w:t>1.015.263,25</w:t>
            </w:r>
          </w:p>
        </w:tc>
        <w:tc>
          <w:tcPr>
            <w:tcW w:w="1506" w:type="dxa"/>
            <w:tcBorders>
              <w:top w:val="nil"/>
              <w:left w:val="nil"/>
              <w:bottom w:val="single" w:sz="4" w:space="0" w:color="auto"/>
              <w:right w:val="single" w:sz="4" w:space="0" w:color="auto"/>
            </w:tcBorders>
            <w:shd w:val="clear" w:color="000000" w:fill="FFFFFF"/>
            <w:vAlign w:val="bottom"/>
            <w:hideMark/>
          </w:tcPr>
          <w:p w14:paraId="1DF47757" w14:textId="77777777" w:rsidR="00DB0966" w:rsidRDefault="00DB0966">
            <w:pPr>
              <w:jc w:val="right"/>
              <w:rPr>
                <w:rFonts w:ascii="Calibri" w:hAnsi="Calibri" w:cs="Calibri"/>
                <w:sz w:val="22"/>
                <w:szCs w:val="22"/>
              </w:rPr>
            </w:pPr>
            <w:r>
              <w:rPr>
                <w:rFonts w:ascii="Calibri" w:hAnsi="Calibri" w:cs="Calibri"/>
                <w:sz w:val="22"/>
                <w:szCs w:val="22"/>
              </w:rPr>
              <w:t> </w:t>
            </w:r>
          </w:p>
        </w:tc>
        <w:tc>
          <w:tcPr>
            <w:tcW w:w="1506" w:type="dxa"/>
            <w:tcBorders>
              <w:top w:val="nil"/>
              <w:left w:val="nil"/>
              <w:bottom w:val="single" w:sz="4" w:space="0" w:color="auto"/>
              <w:right w:val="single" w:sz="4" w:space="0" w:color="auto"/>
            </w:tcBorders>
            <w:vAlign w:val="bottom"/>
            <w:hideMark/>
          </w:tcPr>
          <w:p w14:paraId="46930558" w14:textId="77777777" w:rsidR="00DB0966" w:rsidRDefault="00DB0966">
            <w:pPr>
              <w:jc w:val="right"/>
              <w:rPr>
                <w:rFonts w:ascii="Calibri" w:hAnsi="Calibri" w:cs="Calibri"/>
                <w:sz w:val="22"/>
                <w:szCs w:val="22"/>
              </w:rPr>
            </w:pPr>
            <w:r>
              <w:rPr>
                <w:rFonts w:ascii="Calibri" w:hAnsi="Calibri" w:cs="Calibri"/>
                <w:sz w:val="22"/>
                <w:szCs w:val="22"/>
              </w:rPr>
              <w:t>1.002.115,05</w:t>
            </w:r>
          </w:p>
        </w:tc>
        <w:tc>
          <w:tcPr>
            <w:tcW w:w="877" w:type="dxa"/>
            <w:tcBorders>
              <w:top w:val="nil"/>
              <w:left w:val="nil"/>
              <w:bottom w:val="single" w:sz="4" w:space="0" w:color="auto"/>
              <w:right w:val="single" w:sz="4" w:space="0" w:color="auto"/>
            </w:tcBorders>
            <w:noWrap/>
            <w:vAlign w:val="bottom"/>
            <w:hideMark/>
          </w:tcPr>
          <w:p w14:paraId="1140D86A"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99%</w:t>
            </w:r>
          </w:p>
        </w:tc>
        <w:tc>
          <w:tcPr>
            <w:tcW w:w="804" w:type="dxa"/>
            <w:tcBorders>
              <w:top w:val="nil"/>
              <w:left w:val="nil"/>
              <w:bottom w:val="single" w:sz="4" w:space="0" w:color="auto"/>
              <w:right w:val="single" w:sz="4" w:space="0" w:color="auto"/>
            </w:tcBorders>
            <w:noWrap/>
            <w:vAlign w:val="bottom"/>
            <w:hideMark/>
          </w:tcPr>
          <w:p w14:paraId="7FBB0D02"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 </w:t>
            </w:r>
          </w:p>
        </w:tc>
        <w:tc>
          <w:tcPr>
            <w:tcW w:w="222" w:type="dxa"/>
            <w:vAlign w:val="center"/>
            <w:hideMark/>
          </w:tcPr>
          <w:p w14:paraId="45EEEFE6" w14:textId="77777777" w:rsidR="00DB0966" w:rsidRDefault="00DB0966">
            <w:pPr>
              <w:rPr>
                <w:sz w:val="20"/>
                <w:szCs w:val="20"/>
              </w:rPr>
            </w:pPr>
          </w:p>
        </w:tc>
      </w:tr>
      <w:tr w:rsidR="00DB0966" w14:paraId="34813820" w14:textId="77777777" w:rsidTr="00DB0966">
        <w:trPr>
          <w:trHeight w:val="290"/>
          <w:jc w:val="center"/>
        </w:trPr>
        <w:tc>
          <w:tcPr>
            <w:tcW w:w="665" w:type="dxa"/>
            <w:tcBorders>
              <w:top w:val="nil"/>
              <w:left w:val="single" w:sz="4" w:space="0" w:color="auto"/>
              <w:bottom w:val="single" w:sz="4" w:space="0" w:color="auto"/>
              <w:right w:val="single" w:sz="4" w:space="0" w:color="auto"/>
            </w:tcBorders>
            <w:noWrap/>
            <w:vAlign w:val="bottom"/>
            <w:hideMark/>
          </w:tcPr>
          <w:p w14:paraId="23982EC2" w14:textId="77777777" w:rsidR="00DB0966" w:rsidRDefault="00DB0966">
            <w:pPr>
              <w:jc w:val="center"/>
              <w:rPr>
                <w:rFonts w:ascii="Calibri" w:hAnsi="Calibri" w:cs="Calibri"/>
                <w:b/>
                <w:bCs/>
                <w:color w:val="000000"/>
                <w:sz w:val="22"/>
                <w:szCs w:val="22"/>
              </w:rPr>
            </w:pPr>
            <w:r>
              <w:rPr>
                <w:rFonts w:ascii="Calibri" w:hAnsi="Calibri" w:cs="Calibri"/>
                <w:b/>
                <w:bCs/>
                <w:color w:val="000000"/>
                <w:sz w:val="22"/>
                <w:szCs w:val="22"/>
              </w:rPr>
              <w:t>313</w:t>
            </w:r>
          </w:p>
        </w:tc>
        <w:tc>
          <w:tcPr>
            <w:tcW w:w="4433" w:type="dxa"/>
            <w:tcBorders>
              <w:top w:val="nil"/>
              <w:left w:val="nil"/>
              <w:bottom w:val="single" w:sz="4" w:space="0" w:color="auto"/>
              <w:right w:val="single" w:sz="4" w:space="0" w:color="auto"/>
            </w:tcBorders>
            <w:noWrap/>
            <w:vAlign w:val="bottom"/>
            <w:hideMark/>
          </w:tcPr>
          <w:p w14:paraId="20469787" w14:textId="77777777" w:rsidR="00DB0966" w:rsidRDefault="00DB0966">
            <w:pPr>
              <w:rPr>
                <w:rFonts w:ascii="Calibri" w:hAnsi="Calibri" w:cs="Calibri"/>
                <w:b/>
                <w:bCs/>
                <w:color w:val="000000"/>
                <w:sz w:val="22"/>
                <w:szCs w:val="22"/>
              </w:rPr>
            </w:pPr>
            <w:r>
              <w:rPr>
                <w:rFonts w:ascii="Calibri" w:hAnsi="Calibri" w:cs="Calibri"/>
                <w:b/>
                <w:bCs/>
                <w:color w:val="000000"/>
                <w:sz w:val="22"/>
                <w:szCs w:val="22"/>
              </w:rPr>
              <w:t>Doprinosi na plaće</w:t>
            </w:r>
          </w:p>
        </w:tc>
        <w:tc>
          <w:tcPr>
            <w:tcW w:w="1506" w:type="dxa"/>
            <w:tcBorders>
              <w:top w:val="nil"/>
              <w:left w:val="nil"/>
              <w:bottom w:val="single" w:sz="4" w:space="0" w:color="auto"/>
              <w:right w:val="single" w:sz="4" w:space="0" w:color="auto"/>
            </w:tcBorders>
            <w:vAlign w:val="bottom"/>
            <w:hideMark/>
          </w:tcPr>
          <w:p w14:paraId="4F2FE1B8" w14:textId="77777777" w:rsidR="00DB0966" w:rsidRDefault="00DB0966">
            <w:pPr>
              <w:jc w:val="right"/>
              <w:rPr>
                <w:rFonts w:ascii="Calibri" w:hAnsi="Calibri" w:cs="Calibri"/>
                <w:b/>
                <w:bCs/>
                <w:color w:val="000000"/>
                <w:sz w:val="22"/>
                <w:szCs w:val="22"/>
              </w:rPr>
            </w:pPr>
            <w:r>
              <w:rPr>
                <w:rFonts w:ascii="Calibri" w:hAnsi="Calibri" w:cs="Calibri"/>
                <w:b/>
                <w:bCs/>
                <w:color w:val="000000"/>
                <w:sz w:val="22"/>
                <w:szCs w:val="22"/>
              </w:rPr>
              <w:t>2.527.679,57</w:t>
            </w:r>
          </w:p>
        </w:tc>
        <w:tc>
          <w:tcPr>
            <w:tcW w:w="1506" w:type="dxa"/>
            <w:tcBorders>
              <w:top w:val="nil"/>
              <w:left w:val="nil"/>
              <w:bottom w:val="single" w:sz="4" w:space="0" w:color="auto"/>
              <w:right w:val="single" w:sz="4" w:space="0" w:color="auto"/>
            </w:tcBorders>
            <w:vAlign w:val="bottom"/>
            <w:hideMark/>
          </w:tcPr>
          <w:p w14:paraId="7AF33B36" w14:textId="77777777" w:rsidR="00DB0966" w:rsidRDefault="00DB0966">
            <w:pPr>
              <w:rPr>
                <w:rFonts w:ascii="Calibri" w:hAnsi="Calibri" w:cs="Calibri"/>
                <w:b/>
                <w:bCs/>
                <w:color w:val="000000"/>
                <w:sz w:val="22"/>
                <w:szCs w:val="22"/>
              </w:rPr>
            </w:pPr>
            <w:r>
              <w:rPr>
                <w:rFonts w:ascii="Calibri" w:hAnsi="Calibri" w:cs="Calibri"/>
                <w:b/>
                <w:bCs/>
                <w:color w:val="000000"/>
                <w:sz w:val="22"/>
                <w:szCs w:val="22"/>
              </w:rPr>
              <w:t> </w:t>
            </w:r>
          </w:p>
        </w:tc>
        <w:tc>
          <w:tcPr>
            <w:tcW w:w="1506" w:type="dxa"/>
            <w:tcBorders>
              <w:top w:val="nil"/>
              <w:left w:val="nil"/>
              <w:bottom w:val="single" w:sz="4" w:space="0" w:color="auto"/>
              <w:right w:val="single" w:sz="4" w:space="0" w:color="auto"/>
            </w:tcBorders>
            <w:vAlign w:val="bottom"/>
            <w:hideMark/>
          </w:tcPr>
          <w:p w14:paraId="603391FB" w14:textId="77777777" w:rsidR="00DB0966" w:rsidRDefault="00DB0966">
            <w:pPr>
              <w:jc w:val="right"/>
              <w:rPr>
                <w:rFonts w:ascii="Calibri" w:hAnsi="Calibri" w:cs="Calibri"/>
                <w:b/>
                <w:bCs/>
                <w:color w:val="000000"/>
                <w:sz w:val="22"/>
                <w:szCs w:val="22"/>
              </w:rPr>
            </w:pPr>
            <w:r>
              <w:rPr>
                <w:rFonts w:ascii="Calibri" w:hAnsi="Calibri" w:cs="Calibri"/>
                <w:b/>
                <w:bCs/>
                <w:color w:val="000000"/>
                <w:sz w:val="22"/>
                <w:szCs w:val="22"/>
              </w:rPr>
              <w:t>2.812.788,51</w:t>
            </w:r>
          </w:p>
        </w:tc>
        <w:tc>
          <w:tcPr>
            <w:tcW w:w="877" w:type="dxa"/>
            <w:tcBorders>
              <w:top w:val="nil"/>
              <w:left w:val="nil"/>
              <w:bottom w:val="single" w:sz="4" w:space="0" w:color="auto"/>
              <w:right w:val="single" w:sz="4" w:space="0" w:color="auto"/>
            </w:tcBorders>
            <w:noWrap/>
            <w:vAlign w:val="bottom"/>
            <w:hideMark/>
          </w:tcPr>
          <w:p w14:paraId="357444B1" w14:textId="77777777" w:rsidR="00DB0966" w:rsidRDefault="00DB0966">
            <w:pPr>
              <w:jc w:val="center"/>
              <w:rPr>
                <w:rFonts w:ascii="Calibri" w:hAnsi="Calibri" w:cs="Calibri"/>
                <w:b/>
                <w:bCs/>
                <w:color w:val="000000"/>
                <w:sz w:val="22"/>
                <w:szCs w:val="22"/>
              </w:rPr>
            </w:pPr>
            <w:r>
              <w:rPr>
                <w:rFonts w:ascii="Calibri" w:hAnsi="Calibri" w:cs="Calibri"/>
                <w:b/>
                <w:bCs/>
                <w:color w:val="000000"/>
                <w:sz w:val="22"/>
                <w:szCs w:val="22"/>
              </w:rPr>
              <w:t>111%</w:t>
            </w:r>
          </w:p>
        </w:tc>
        <w:tc>
          <w:tcPr>
            <w:tcW w:w="804" w:type="dxa"/>
            <w:tcBorders>
              <w:top w:val="nil"/>
              <w:left w:val="nil"/>
              <w:bottom w:val="single" w:sz="4" w:space="0" w:color="auto"/>
              <w:right w:val="single" w:sz="4" w:space="0" w:color="auto"/>
            </w:tcBorders>
            <w:noWrap/>
            <w:vAlign w:val="bottom"/>
            <w:hideMark/>
          </w:tcPr>
          <w:p w14:paraId="487C1377" w14:textId="77777777" w:rsidR="00DB0966" w:rsidRDefault="00DB0966">
            <w:pPr>
              <w:jc w:val="center"/>
              <w:rPr>
                <w:rFonts w:ascii="Calibri" w:hAnsi="Calibri" w:cs="Calibri"/>
                <w:b/>
                <w:bCs/>
                <w:color w:val="000000"/>
                <w:sz w:val="22"/>
                <w:szCs w:val="22"/>
              </w:rPr>
            </w:pPr>
            <w:r>
              <w:rPr>
                <w:rFonts w:ascii="Calibri" w:hAnsi="Calibri" w:cs="Calibri"/>
                <w:b/>
                <w:bCs/>
                <w:color w:val="000000"/>
                <w:sz w:val="22"/>
                <w:szCs w:val="22"/>
              </w:rPr>
              <w:t> </w:t>
            </w:r>
          </w:p>
        </w:tc>
        <w:tc>
          <w:tcPr>
            <w:tcW w:w="222" w:type="dxa"/>
            <w:vAlign w:val="center"/>
            <w:hideMark/>
          </w:tcPr>
          <w:p w14:paraId="5B039BEA" w14:textId="77777777" w:rsidR="00DB0966" w:rsidRDefault="00DB0966">
            <w:pPr>
              <w:rPr>
                <w:sz w:val="20"/>
                <w:szCs w:val="20"/>
              </w:rPr>
            </w:pPr>
          </w:p>
        </w:tc>
      </w:tr>
      <w:tr w:rsidR="00DB0966" w14:paraId="4B4A4FAE" w14:textId="77777777" w:rsidTr="00DB0966">
        <w:trPr>
          <w:trHeight w:val="290"/>
          <w:jc w:val="center"/>
        </w:trPr>
        <w:tc>
          <w:tcPr>
            <w:tcW w:w="665" w:type="dxa"/>
            <w:tcBorders>
              <w:top w:val="nil"/>
              <w:left w:val="single" w:sz="4" w:space="0" w:color="auto"/>
              <w:bottom w:val="single" w:sz="4" w:space="0" w:color="auto"/>
              <w:right w:val="single" w:sz="4" w:space="0" w:color="auto"/>
            </w:tcBorders>
            <w:noWrap/>
            <w:vAlign w:val="bottom"/>
            <w:hideMark/>
          </w:tcPr>
          <w:p w14:paraId="5C52EE7A"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3132</w:t>
            </w:r>
          </w:p>
        </w:tc>
        <w:tc>
          <w:tcPr>
            <w:tcW w:w="4433" w:type="dxa"/>
            <w:tcBorders>
              <w:top w:val="nil"/>
              <w:left w:val="nil"/>
              <w:bottom w:val="single" w:sz="4" w:space="0" w:color="auto"/>
              <w:right w:val="single" w:sz="4" w:space="0" w:color="auto"/>
            </w:tcBorders>
            <w:noWrap/>
            <w:vAlign w:val="bottom"/>
            <w:hideMark/>
          </w:tcPr>
          <w:p w14:paraId="7493A9C4" w14:textId="77777777" w:rsidR="00DB0966" w:rsidRDefault="00DB0966">
            <w:pPr>
              <w:rPr>
                <w:rFonts w:ascii="Calibri" w:hAnsi="Calibri" w:cs="Calibri"/>
                <w:color w:val="000000"/>
                <w:sz w:val="22"/>
                <w:szCs w:val="22"/>
              </w:rPr>
            </w:pPr>
            <w:r>
              <w:rPr>
                <w:rFonts w:ascii="Calibri" w:hAnsi="Calibri" w:cs="Calibri"/>
                <w:color w:val="000000"/>
                <w:sz w:val="22"/>
                <w:szCs w:val="22"/>
              </w:rPr>
              <w:t>Doprinosi na plaće</w:t>
            </w:r>
          </w:p>
        </w:tc>
        <w:tc>
          <w:tcPr>
            <w:tcW w:w="1506" w:type="dxa"/>
            <w:tcBorders>
              <w:top w:val="nil"/>
              <w:left w:val="nil"/>
              <w:bottom w:val="single" w:sz="4" w:space="0" w:color="auto"/>
              <w:right w:val="single" w:sz="4" w:space="0" w:color="auto"/>
            </w:tcBorders>
            <w:noWrap/>
            <w:vAlign w:val="bottom"/>
            <w:hideMark/>
          </w:tcPr>
          <w:p w14:paraId="5FE4B02C" w14:textId="77777777" w:rsidR="00DB0966" w:rsidRDefault="00DB0966">
            <w:pPr>
              <w:jc w:val="right"/>
              <w:rPr>
                <w:rFonts w:ascii="Calibri" w:hAnsi="Calibri" w:cs="Calibri"/>
                <w:color w:val="000000"/>
                <w:sz w:val="22"/>
                <w:szCs w:val="22"/>
              </w:rPr>
            </w:pPr>
            <w:r>
              <w:rPr>
                <w:rFonts w:ascii="Calibri" w:hAnsi="Calibri" w:cs="Calibri"/>
                <w:color w:val="000000"/>
                <w:sz w:val="22"/>
                <w:szCs w:val="22"/>
              </w:rPr>
              <w:t>2.527.645,08</w:t>
            </w:r>
          </w:p>
        </w:tc>
        <w:tc>
          <w:tcPr>
            <w:tcW w:w="1506" w:type="dxa"/>
            <w:tcBorders>
              <w:top w:val="nil"/>
              <w:left w:val="nil"/>
              <w:bottom w:val="single" w:sz="4" w:space="0" w:color="auto"/>
              <w:right w:val="single" w:sz="4" w:space="0" w:color="auto"/>
            </w:tcBorders>
            <w:shd w:val="clear" w:color="000000" w:fill="FFFFFF"/>
            <w:vAlign w:val="bottom"/>
            <w:hideMark/>
          </w:tcPr>
          <w:p w14:paraId="63477E72" w14:textId="77777777" w:rsidR="00DB0966" w:rsidRDefault="00DB0966">
            <w:pPr>
              <w:jc w:val="right"/>
              <w:rPr>
                <w:rFonts w:ascii="Calibri" w:hAnsi="Calibri" w:cs="Calibri"/>
                <w:sz w:val="22"/>
                <w:szCs w:val="22"/>
              </w:rPr>
            </w:pPr>
            <w:r>
              <w:rPr>
                <w:rFonts w:ascii="Calibri" w:hAnsi="Calibri" w:cs="Calibri"/>
                <w:sz w:val="22"/>
                <w:szCs w:val="22"/>
              </w:rPr>
              <w:t> </w:t>
            </w:r>
          </w:p>
        </w:tc>
        <w:tc>
          <w:tcPr>
            <w:tcW w:w="1506" w:type="dxa"/>
            <w:tcBorders>
              <w:top w:val="nil"/>
              <w:left w:val="nil"/>
              <w:bottom w:val="single" w:sz="4" w:space="0" w:color="auto"/>
              <w:right w:val="single" w:sz="4" w:space="0" w:color="auto"/>
            </w:tcBorders>
            <w:vAlign w:val="bottom"/>
            <w:hideMark/>
          </w:tcPr>
          <w:p w14:paraId="48CABBEC" w14:textId="77777777" w:rsidR="00DB0966" w:rsidRDefault="00DB0966">
            <w:pPr>
              <w:jc w:val="right"/>
              <w:rPr>
                <w:rFonts w:ascii="Calibri" w:hAnsi="Calibri" w:cs="Calibri"/>
                <w:sz w:val="22"/>
                <w:szCs w:val="22"/>
              </w:rPr>
            </w:pPr>
            <w:r>
              <w:rPr>
                <w:rFonts w:ascii="Calibri" w:hAnsi="Calibri" w:cs="Calibri"/>
                <w:sz w:val="22"/>
                <w:szCs w:val="22"/>
              </w:rPr>
              <w:t>2.812.750,42</w:t>
            </w:r>
          </w:p>
        </w:tc>
        <w:tc>
          <w:tcPr>
            <w:tcW w:w="877" w:type="dxa"/>
            <w:tcBorders>
              <w:top w:val="nil"/>
              <w:left w:val="nil"/>
              <w:bottom w:val="single" w:sz="4" w:space="0" w:color="auto"/>
              <w:right w:val="single" w:sz="4" w:space="0" w:color="auto"/>
            </w:tcBorders>
            <w:noWrap/>
            <w:vAlign w:val="bottom"/>
            <w:hideMark/>
          </w:tcPr>
          <w:p w14:paraId="249824C7"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111%</w:t>
            </w:r>
          </w:p>
        </w:tc>
        <w:tc>
          <w:tcPr>
            <w:tcW w:w="804" w:type="dxa"/>
            <w:tcBorders>
              <w:top w:val="nil"/>
              <w:left w:val="nil"/>
              <w:bottom w:val="single" w:sz="4" w:space="0" w:color="auto"/>
              <w:right w:val="single" w:sz="4" w:space="0" w:color="auto"/>
            </w:tcBorders>
            <w:noWrap/>
            <w:vAlign w:val="bottom"/>
            <w:hideMark/>
          </w:tcPr>
          <w:p w14:paraId="7BC7AA2D"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 </w:t>
            </w:r>
          </w:p>
        </w:tc>
        <w:tc>
          <w:tcPr>
            <w:tcW w:w="222" w:type="dxa"/>
            <w:vAlign w:val="center"/>
            <w:hideMark/>
          </w:tcPr>
          <w:p w14:paraId="35D86FEB" w14:textId="77777777" w:rsidR="00DB0966" w:rsidRDefault="00DB0966">
            <w:pPr>
              <w:rPr>
                <w:sz w:val="20"/>
                <w:szCs w:val="20"/>
              </w:rPr>
            </w:pPr>
          </w:p>
        </w:tc>
      </w:tr>
      <w:tr w:rsidR="00DB0966" w14:paraId="33973916" w14:textId="77777777" w:rsidTr="00DB0966">
        <w:trPr>
          <w:trHeight w:val="290"/>
          <w:jc w:val="center"/>
        </w:trPr>
        <w:tc>
          <w:tcPr>
            <w:tcW w:w="665" w:type="dxa"/>
            <w:tcBorders>
              <w:top w:val="nil"/>
              <w:left w:val="single" w:sz="4" w:space="0" w:color="auto"/>
              <w:bottom w:val="single" w:sz="4" w:space="0" w:color="auto"/>
              <w:right w:val="single" w:sz="4" w:space="0" w:color="auto"/>
            </w:tcBorders>
            <w:noWrap/>
            <w:vAlign w:val="bottom"/>
            <w:hideMark/>
          </w:tcPr>
          <w:p w14:paraId="7CDFA0B9"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3133</w:t>
            </w:r>
          </w:p>
        </w:tc>
        <w:tc>
          <w:tcPr>
            <w:tcW w:w="4433" w:type="dxa"/>
            <w:tcBorders>
              <w:top w:val="nil"/>
              <w:left w:val="nil"/>
              <w:bottom w:val="single" w:sz="4" w:space="0" w:color="auto"/>
              <w:right w:val="single" w:sz="4" w:space="0" w:color="auto"/>
            </w:tcBorders>
            <w:noWrap/>
            <w:vAlign w:val="bottom"/>
            <w:hideMark/>
          </w:tcPr>
          <w:p w14:paraId="2A25C33B" w14:textId="77777777" w:rsidR="00DB0966" w:rsidRDefault="00DB0966">
            <w:pPr>
              <w:rPr>
                <w:rFonts w:ascii="Calibri" w:hAnsi="Calibri" w:cs="Calibri"/>
                <w:color w:val="000000"/>
                <w:sz w:val="22"/>
                <w:szCs w:val="22"/>
              </w:rPr>
            </w:pPr>
            <w:r>
              <w:rPr>
                <w:rFonts w:ascii="Calibri" w:hAnsi="Calibri" w:cs="Calibri"/>
                <w:color w:val="000000"/>
                <w:sz w:val="22"/>
                <w:szCs w:val="22"/>
              </w:rPr>
              <w:t>Doprinosi za zapošljavanje</w:t>
            </w:r>
          </w:p>
        </w:tc>
        <w:tc>
          <w:tcPr>
            <w:tcW w:w="1506" w:type="dxa"/>
            <w:tcBorders>
              <w:top w:val="nil"/>
              <w:left w:val="nil"/>
              <w:bottom w:val="single" w:sz="4" w:space="0" w:color="auto"/>
              <w:right w:val="single" w:sz="4" w:space="0" w:color="auto"/>
            </w:tcBorders>
            <w:noWrap/>
            <w:vAlign w:val="bottom"/>
            <w:hideMark/>
          </w:tcPr>
          <w:p w14:paraId="05BF892D" w14:textId="77777777" w:rsidR="00DB0966" w:rsidRDefault="00DB0966">
            <w:pPr>
              <w:jc w:val="right"/>
              <w:rPr>
                <w:rFonts w:ascii="Calibri" w:hAnsi="Calibri" w:cs="Calibri"/>
                <w:color w:val="000000"/>
                <w:sz w:val="22"/>
                <w:szCs w:val="22"/>
              </w:rPr>
            </w:pPr>
            <w:r>
              <w:rPr>
                <w:rFonts w:ascii="Calibri" w:hAnsi="Calibri" w:cs="Calibri"/>
                <w:color w:val="000000"/>
                <w:sz w:val="22"/>
                <w:szCs w:val="22"/>
              </w:rPr>
              <w:t>34,49</w:t>
            </w:r>
          </w:p>
        </w:tc>
        <w:tc>
          <w:tcPr>
            <w:tcW w:w="1506" w:type="dxa"/>
            <w:tcBorders>
              <w:top w:val="nil"/>
              <w:left w:val="nil"/>
              <w:bottom w:val="single" w:sz="4" w:space="0" w:color="auto"/>
              <w:right w:val="single" w:sz="4" w:space="0" w:color="auto"/>
            </w:tcBorders>
            <w:shd w:val="clear" w:color="000000" w:fill="FFFFFF"/>
            <w:vAlign w:val="bottom"/>
            <w:hideMark/>
          </w:tcPr>
          <w:p w14:paraId="1FFE358D" w14:textId="77777777" w:rsidR="00DB0966" w:rsidRDefault="00DB0966">
            <w:pPr>
              <w:jc w:val="right"/>
              <w:rPr>
                <w:rFonts w:ascii="Calibri" w:hAnsi="Calibri" w:cs="Calibri"/>
                <w:sz w:val="22"/>
                <w:szCs w:val="22"/>
              </w:rPr>
            </w:pPr>
            <w:r>
              <w:rPr>
                <w:rFonts w:ascii="Calibri" w:hAnsi="Calibri" w:cs="Calibri"/>
                <w:sz w:val="22"/>
                <w:szCs w:val="22"/>
              </w:rPr>
              <w:t> </w:t>
            </w:r>
          </w:p>
        </w:tc>
        <w:tc>
          <w:tcPr>
            <w:tcW w:w="1506" w:type="dxa"/>
            <w:tcBorders>
              <w:top w:val="nil"/>
              <w:left w:val="nil"/>
              <w:bottom w:val="single" w:sz="4" w:space="0" w:color="auto"/>
              <w:right w:val="single" w:sz="4" w:space="0" w:color="auto"/>
            </w:tcBorders>
            <w:vAlign w:val="bottom"/>
            <w:hideMark/>
          </w:tcPr>
          <w:p w14:paraId="76593085" w14:textId="77777777" w:rsidR="00DB0966" w:rsidRDefault="00DB0966">
            <w:pPr>
              <w:jc w:val="right"/>
              <w:rPr>
                <w:rFonts w:ascii="Calibri" w:hAnsi="Calibri" w:cs="Calibri"/>
                <w:sz w:val="22"/>
                <w:szCs w:val="22"/>
              </w:rPr>
            </w:pPr>
            <w:r>
              <w:rPr>
                <w:rFonts w:ascii="Calibri" w:hAnsi="Calibri" w:cs="Calibri"/>
                <w:sz w:val="22"/>
                <w:szCs w:val="22"/>
              </w:rPr>
              <w:t>38,09</w:t>
            </w:r>
          </w:p>
        </w:tc>
        <w:tc>
          <w:tcPr>
            <w:tcW w:w="877" w:type="dxa"/>
            <w:tcBorders>
              <w:top w:val="nil"/>
              <w:left w:val="nil"/>
              <w:bottom w:val="single" w:sz="4" w:space="0" w:color="auto"/>
              <w:right w:val="single" w:sz="4" w:space="0" w:color="auto"/>
            </w:tcBorders>
            <w:noWrap/>
            <w:vAlign w:val="bottom"/>
            <w:hideMark/>
          </w:tcPr>
          <w:p w14:paraId="56A75766"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110%</w:t>
            </w:r>
          </w:p>
        </w:tc>
        <w:tc>
          <w:tcPr>
            <w:tcW w:w="804" w:type="dxa"/>
            <w:tcBorders>
              <w:top w:val="nil"/>
              <w:left w:val="nil"/>
              <w:bottom w:val="single" w:sz="4" w:space="0" w:color="auto"/>
              <w:right w:val="single" w:sz="4" w:space="0" w:color="auto"/>
            </w:tcBorders>
            <w:noWrap/>
            <w:vAlign w:val="bottom"/>
            <w:hideMark/>
          </w:tcPr>
          <w:p w14:paraId="6CD0D246"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 </w:t>
            </w:r>
          </w:p>
        </w:tc>
        <w:tc>
          <w:tcPr>
            <w:tcW w:w="222" w:type="dxa"/>
            <w:vAlign w:val="center"/>
            <w:hideMark/>
          </w:tcPr>
          <w:p w14:paraId="221FA8B0" w14:textId="77777777" w:rsidR="00DB0966" w:rsidRDefault="00DB0966">
            <w:pPr>
              <w:rPr>
                <w:sz w:val="20"/>
                <w:szCs w:val="20"/>
              </w:rPr>
            </w:pPr>
          </w:p>
        </w:tc>
      </w:tr>
      <w:tr w:rsidR="00DB0966" w14:paraId="591E39FA" w14:textId="77777777" w:rsidTr="00DB0966">
        <w:trPr>
          <w:trHeight w:val="462"/>
          <w:jc w:val="center"/>
        </w:trPr>
        <w:tc>
          <w:tcPr>
            <w:tcW w:w="665" w:type="dxa"/>
            <w:tcBorders>
              <w:top w:val="nil"/>
              <w:left w:val="single" w:sz="4" w:space="0" w:color="auto"/>
              <w:bottom w:val="single" w:sz="4" w:space="0" w:color="auto"/>
              <w:right w:val="single" w:sz="4" w:space="0" w:color="auto"/>
            </w:tcBorders>
            <w:shd w:val="clear" w:color="000000" w:fill="D9D9D9"/>
            <w:noWrap/>
            <w:vAlign w:val="bottom"/>
            <w:hideMark/>
          </w:tcPr>
          <w:p w14:paraId="4B75CFF7" w14:textId="77777777" w:rsidR="00DB0966" w:rsidRDefault="00DB0966">
            <w:pPr>
              <w:jc w:val="center"/>
              <w:rPr>
                <w:rFonts w:ascii="Calibri" w:hAnsi="Calibri" w:cs="Calibri"/>
                <w:b/>
                <w:bCs/>
                <w:sz w:val="22"/>
                <w:szCs w:val="22"/>
              </w:rPr>
            </w:pPr>
            <w:r>
              <w:rPr>
                <w:rFonts w:ascii="Calibri" w:hAnsi="Calibri" w:cs="Calibri"/>
                <w:b/>
                <w:bCs/>
                <w:sz w:val="22"/>
                <w:szCs w:val="22"/>
              </w:rPr>
              <w:t>32</w:t>
            </w:r>
          </w:p>
        </w:tc>
        <w:tc>
          <w:tcPr>
            <w:tcW w:w="4433" w:type="dxa"/>
            <w:tcBorders>
              <w:top w:val="nil"/>
              <w:left w:val="nil"/>
              <w:bottom w:val="single" w:sz="4" w:space="0" w:color="auto"/>
              <w:right w:val="single" w:sz="4" w:space="0" w:color="auto"/>
            </w:tcBorders>
            <w:shd w:val="clear" w:color="000000" w:fill="D9D9D9"/>
            <w:vAlign w:val="bottom"/>
            <w:hideMark/>
          </w:tcPr>
          <w:p w14:paraId="01B821CF" w14:textId="77777777" w:rsidR="00DB0966" w:rsidRDefault="00DB0966">
            <w:pPr>
              <w:rPr>
                <w:rFonts w:ascii="Calibri" w:hAnsi="Calibri" w:cs="Calibri"/>
                <w:b/>
                <w:bCs/>
                <w:sz w:val="22"/>
                <w:szCs w:val="22"/>
              </w:rPr>
            </w:pPr>
            <w:r>
              <w:rPr>
                <w:rFonts w:ascii="Calibri" w:hAnsi="Calibri" w:cs="Calibri"/>
                <w:b/>
                <w:bCs/>
                <w:sz w:val="22"/>
                <w:szCs w:val="22"/>
              </w:rPr>
              <w:t>MATERIJALNI RASHODI</w:t>
            </w:r>
          </w:p>
        </w:tc>
        <w:tc>
          <w:tcPr>
            <w:tcW w:w="1506" w:type="dxa"/>
            <w:tcBorders>
              <w:top w:val="nil"/>
              <w:left w:val="nil"/>
              <w:bottom w:val="single" w:sz="4" w:space="0" w:color="auto"/>
              <w:right w:val="single" w:sz="4" w:space="0" w:color="auto"/>
            </w:tcBorders>
            <w:shd w:val="clear" w:color="000000" w:fill="D9D9D9"/>
            <w:noWrap/>
            <w:vAlign w:val="bottom"/>
            <w:hideMark/>
          </w:tcPr>
          <w:p w14:paraId="0FF5A4F8" w14:textId="77777777" w:rsidR="00DB0966" w:rsidRDefault="00DB0966">
            <w:pPr>
              <w:jc w:val="right"/>
              <w:rPr>
                <w:rFonts w:ascii="Calibri" w:hAnsi="Calibri" w:cs="Calibri"/>
                <w:sz w:val="22"/>
                <w:szCs w:val="22"/>
              </w:rPr>
            </w:pPr>
            <w:r>
              <w:rPr>
                <w:rFonts w:ascii="Calibri" w:hAnsi="Calibri" w:cs="Calibri"/>
                <w:sz w:val="22"/>
                <w:szCs w:val="22"/>
              </w:rPr>
              <w:t>12.457.937,59</w:t>
            </w:r>
          </w:p>
        </w:tc>
        <w:tc>
          <w:tcPr>
            <w:tcW w:w="1506" w:type="dxa"/>
            <w:tcBorders>
              <w:top w:val="nil"/>
              <w:left w:val="nil"/>
              <w:bottom w:val="single" w:sz="4" w:space="0" w:color="auto"/>
              <w:right w:val="single" w:sz="4" w:space="0" w:color="auto"/>
            </w:tcBorders>
            <w:shd w:val="clear" w:color="000000" w:fill="D9D9D9"/>
            <w:noWrap/>
            <w:vAlign w:val="bottom"/>
            <w:hideMark/>
          </w:tcPr>
          <w:p w14:paraId="5DC67C5C" w14:textId="77777777" w:rsidR="00DB0966" w:rsidRDefault="00DB0966">
            <w:pPr>
              <w:jc w:val="right"/>
              <w:rPr>
                <w:rFonts w:ascii="Calibri" w:hAnsi="Calibri" w:cs="Calibri"/>
                <w:sz w:val="22"/>
                <w:szCs w:val="22"/>
              </w:rPr>
            </w:pPr>
            <w:r>
              <w:rPr>
                <w:rFonts w:ascii="Calibri" w:hAnsi="Calibri" w:cs="Calibri"/>
                <w:sz w:val="22"/>
                <w:szCs w:val="22"/>
              </w:rPr>
              <w:t>12.846.500,00</w:t>
            </w:r>
          </w:p>
        </w:tc>
        <w:tc>
          <w:tcPr>
            <w:tcW w:w="1506" w:type="dxa"/>
            <w:tcBorders>
              <w:top w:val="nil"/>
              <w:left w:val="nil"/>
              <w:bottom w:val="single" w:sz="4" w:space="0" w:color="auto"/>
              <w:right w:val="single" w:sz="4" w:space="0" w:color="auto"/>
            </w:tcBorders>
            <w:shd w:val="clear" w:color="000000" w:fill="D9D9D9"/>
            <w:noWrap/>
            <w:vAlign w:val="bottom"/>
            <w:hideMark/>
          </w:tcPr>
          <w:p w14:paraId="229DC418" w14:textId="77777777" w:rsidR="00DB0966" w:rsidRDefault="00DB0966">
            <w:pPr>
              <w:jc w:val="right"/>
              <w:rPr>
                <w:rFonts w:ascii="Calibri" w:hAnsi="Calibri" w:cs="Calibri"/>
                <w:sz w:val="22"/>
                <w:szCs w:val="22"/>
              </w:rPr>
            </w:pPr>
            <w:r>
              <w:rPr>
                <w:rFonts w:ascii="Calibri" w:hAnsi="Calibri" w:cs="Calibri"/>
                <w:sz w:val="22"/>
                <w:szCs w:val="22"/>
              </w:rPr>
              <w:t>12.866.597,80</w:t>
            </w:r>
          </w:p>
        </w:tc>
        <w:tc>
          <w:tcPr>
            <w:tcW w:w="877" w:type="dxa"/>
            <w:tcBorders>
              <w:top w:val="nil"/>
              <w:left w:val="nil"/>
              <w:bottom w:val="single" w:sz="4" w:space="0" w:color="auto"/>
              <w:right w:val="single" w:sz="4" w:space="0" w:color="auto"/>
            </w:tcBorders>
            <w:shd w:val="clear" w:color="000000" w:fill="D9D9D9"/>
            <w:noWrap/>
            <w:vAlign w:val="bottom"/>
            <w:hideMark/>
          </w:tcPr>
          <w:p w14:paraId="19788B10" w14:textId="77777777" w:rsidR="00DB0966" w:rsidRDefault="00DB0966">
            <w:pPr>
              <w:jc w:val="center"/>
              <w:rPr>
                <w:rFonts w:ascii="Calibri" w:hAnsi="Calibri" w:cs="Calibri"/>
                <w:sz w:val="22"/>
                <w:szCs w:val="22"/>
              </w:rPr>
            </w:pPr>
            <w:r>
              <w:rPr>
                <w:rFonts w:ascii="Calibri" w:hAnsi="Calibri" w:cs="Calibri"/>
                <w:sz w:val="22"/>
                <w:szCs w:val="22"/>
              </w:rPr>
              <w:t>103%</w:t>
            </w:r>
          </w:p>
        </w:tc>
        <w:tc>
          <w:tcPr>
            <w:tcW w:w="804" w:type="dxa"/>
            <w:tcBorders>
              <w:top w:val="nil"/>
              <w:left w:val="nil"/>
              <w:bottom w:val="single" w:sz="4" w:space="0" w:color="auto"/>
              <w:right w:val="single" w:sz="4" w:space="0" w:color="auto"/>
            </w:tcBorders>
            <w:shd w:val="clear" w:color="000000" w:fill="D9D9D9"/>
            <w:noWrap/>
            <w:vAlign w:val="bottom"/>
            <w:hideMark/>
          </w:tcPr>
          <w:p w14:paraId="407B9D15" w14:textId="77777777" w:rsidR="00DB0966" w:rsidRDefault="00DB0966">
            <w:pPr>
              <w:jc w:val="center"/>
              <w:rPr>
                <w:rFonts w:ascii="Calibri" w:hAnsi="Calibri" w:cs="Calibri"/>
                <w:sz w:val="22"/>
                <w:szCs w:val="22"/>
              </w:rPr>
            </w:pPr>
            <w:r>
              <w:rPr>
                <w:rFonts w:ascii="Calibri" w:hAnsi="Calibri" w:cs="Calibri"/>
                <w:sz w:val="22"/>
                <w:szCs w:val="22"/>
              </w:rPr>
              <w:t>100%</w:t>
            </w:r>
          </w:p>
        </w:tc>
        <w:tc>
          <w:tcPr>
            <w:tcW w:w="222" w:type="dxa"/>
            <w:vAlign w:val="center"/>
            <w:hideMark/>
          </w:tcPr>
          <w:p w14:paraId="61461847" w14:textId="77777777" w:rsidR="00DB0966" w:rsidRDefault="00DB0966">
            <w:pPr>
              <w:rPr>
                <w:sz w:val="20"/>
                <w:szCs w:val="20"/>
              </w:rPr>
            </w:pPr>
          </w:p>
        </w:tc>
      </w:tr>
      <w:tr w:rsidR="00DB0966" w14:paraId="560DC881" w14:textId="77777777" w:rsidTr="00DB0966">
        <w:trPr>
          <w:trHeight w:val="290"/>
          <w:jc w:val="center"/>
        </w:trPr>
        <w:tc>
          <w:tcPr>
            <w:tcW w:w="665" w:type="dxa"/>
            <w:tcBorders>
              <w:top w:val="nil"/>
              <w:left w:val="single" w:sz="4" w:space="0" w:color="auto"/>
              <w:bottom w:val="single" w:sz="4" w:space="0" w:color="auto"/>
              <w:right w:val="single" w:sz="4" w:space="0" w:color="auto"/>
            </w:tcBorders>
            <w:noWrap/>
            <w:vAlign w:val="bottom"/>
            <w:hideMark/>
          </w:tcPr>
          <w:p w14:paraId="77A31205" w14:textId="77777777" w:rsidR="00DB0966" w:rsidRDefault="00DB0966">
            <w:pPr>
              <w:jc w:val="center"/>
              <w:rPr>
                <w:rFonts w:ascii="Calibri" w:hAnsi="Calibri" w:cs="Calibri"/>
                <w:b/>
                <w:bCs/>
                <w:sz w:val="22"/>
                <w:szCs w:val="22"/>
              </w:rPr>
            </w:pPr>
            <w:r>
              <w:rPr>
                <w:rFonts w:ascii="Calibri" w:hAnsi="Calibri" w:cs="Calibri"/>
                <w:b/>
                <w:bCs/>
                <w:sz w:val="22"/>
                <w:szCs w:val="22"/>
              </w:rPr>
              <w:t>321</w:t>
            </w:r>
          </w:p>
        </w:tc>
        <w:tc>
          <w:tcPr>
            <w:tcW w:w="4433" w:type="dxa"/>
            <w:tcBorders>
              <w:top w:val="nil"/>
              <w:left w:val="nil"/>
              <w:bottom w:val="single" w:sz="4" w:space="0" w:color="auto"/>
              <w:right w:val="single" w:sz="4" w:space="0" w:color="auto"/>
            </w:tcBorders>
            <w:vAlign w:val="bottom"/>
            <w:hideMark/>
          </w:tcPr>
          <w:p w14:paraId="45F740BA" w14:textId="77777777" w:rsidR="00DB0966" w:rsidRDefault="00DB0966">
            <w:pPr>
              <w:rPr>
                <w:rFonts w:ascii="Calibri" w:hAnsi="Calibri" w:cs="Calibri"/>
                <w:b/>
                <w:bCs/>
                <w:sz w:val="22"/>
                <w:szCs w:val="22"/>
              </w:rPr>
            </w:pPr>
            <w:r>
              <w:rPr>
                <w:rFonts w:ascii="Calibri" w:hAnsi="Calibri" w:cs="Calibri"/>
                <w:b/>
                <w:bCs/>
                <w:sz w:val="22"/>
                <w:szCs w:val="22"/>
              </w:rPr>
              <w:t>Naknade troškova zaposlenima</w:t>
            </w:r>
          </w:p>
        </w:tc>
        <w:tc>
          <w:tcPr>
            <w:tcW w:w="1506" w:type="dxa"/>
            <w:tcBorders>
              <w:top w:val="nil"/>
              <w:left w:val="nil"/>
              <w:bottom w:val="single" w:sz="4" w:space="0" w:color="auto"/>
              <w:right w:val="single" w:sz="4" w:space="0" w:color="auto"/>
            </w:tcBorders>
            <w:noWrap/>
            <w:vAlign w:val="bottom"/>
            <w:hideMark/>
          </w:tcPr>
          <w:p w14:paraId="397B039A" w14:textId="77777777" w:rsidR="00DB0966" w:rsidRDefault="00DB0966">
            <w:pPr>
              <w:jc w:val="right"/>
              <w:rPr>
                <w:rFonts w:ascii="Calibri" w:hAnsi="Calibri" w:cs="Calibri"/>
                <w:b/>
                <w:bCs/>
                <w:sz w:val="22"/>
                <w:szCs w:val="22"/>
              </w:rPr>
            </w:pPr>
            <w:r>
              <w:rPr>
                <w:rFonts w:ascii="Calibri" w:hAnsi="Calibri" w:cs="Calibri"/>
                <w:b/>
                <w:bCs/>
                <w:sz w:val="22"/>
                <w:szCs w:val="22"/>
              </w:rPr>
              <w:t>409.478,67</w:t>
            </w:r>
          </w:p>
        </w:tc>
        <w:tc>
          <w:tcPr>
            <w:tcW w:w="1506" w:type="dxa"/>
            <w:tcBorders>
              <w:top w:val="nil"/>
              <w:left w:val="nil"/>
              <w:bottom w:val="single" w:sz="4" w:space="0" w:color="auto"/>
              <w:right w:val="single" w:sz="4" w:space="0" w:color="auto"/>
            </w:tcBorders>
            <w:noWrap/>
            <w:vAlign w:val="bottom"/>
            <w:hideMark/>
          </w:tcPr>
          <w:p w14:paraId="3F45F13A" w14:textId="77777777" w:rsidR="00DB0966" w:rsidRDefault="00DB0966">
            <w:pPr>
              <w:jc w:val="right"/>
              <w:rPr>
                <w:rFonts w:ascii="Calibri" w:hAnsi="Calibri" w:cs="Calibri"/>
                <w:b/>
                <w:bCs/>
                <w:sz w:val="22"/>
                <w:szCs w:val="22"/>
              </w:rPr>
            </w:pPr>
            <w:r>
              <w:rPr>
                <w:rFonts w:ascii="Calibri" w:hAnsi="Calibri" w:cs="Calibri"/>
                <w:b/>
                <w:bCs/>
                <w:sz w:val="22"/>
                <w:szCs w:val="22"/>
              </w:rPr>
              <w:t> </w:t>
            </w:r>
          </w:p>
        </w:tc>
        <w:tc>
          <w:tcPr>
            <w:tcW w:w="1506" w:type="dxa"/>
            <w:tcBorders>
              <w:top w:val="nil"/>
              <w:left w:val="nil"/>
              <w:bottom w:val="single" w:sz="4" w:space="0" w:color="auto"/>
              <w:right w:val="single" w:sz="4" w:space="0" w:color="auto"/>
            </w:tcBorders>
            <w:noWrap/>
            <w:vAlign w:val="bottom"/>
            <w:hideMark/>
          </w:tcPr>
          <w:p w14:paraId="79442671" w14:textId="77777777" w:rsidR="00DB0966" w:rsidRDefault="00DB0966">
            <w:pPr>
              <w:jc w:val="right"/>
              <w:rPr>
                <w:rFonts w:ascii="Calibri" w:hAnsi="Calibri" w:cs="Calibri"/>
                <w:b/>
                <w:bCs/>
                <w:sz w:val="22"/>
                <w:szCs w:val="22"/>
              </w:rPr>
            </w:pPr>
            <w:r>
              <w:rPr>
                <w:rFonts w:ascii="Calibri" w:hAnsi="Calibri" w:cs="Calibri"/>
                <w:b/>
                <w:bCs/>
                <w:sz w:val="22"/>
                <w:szCs w:val="22"/>
              </w:rPr>
              <w:t>451.900,92</w:t>
            </w:r>
          </w:p>
        </w:tc>
        <w:tc>
          <w:tcPr>
            <w:tcW w:w="877" w:type="dxa"/>
            <w:tcBorders>
              <w:top w:val="nil"/>
              <w:left w:val="nil"/>
              <w:bottom w:val="single" w:sz="4" w:space="0" w:color="auto"/>
              <w:right w:val="single" w:sz="4" w:space="0" w:color="auto"/>
            </w:tcBorders>
            <w:noWrap/>
            <w:vAlign w:val="bottom"/>
            <w:hideMark/>
          </w:tcPr>
          <w:p w14:paraId="4683BE3A" w14:textId="77777777" w:rsidR="00DB0966" w:rsidRDefault="00DB0966">
            <w:pPr>
              <w:jc w:val="center"/>
              <w:rPr>
                <w:rFonts w:ascii="Calibri" w:hAnsi="Calibri" w:cs="Calibri"/>
                <w:b/>
                <w:bCs/>
                <w:color w:val="000000"/>
                <w:sz w:val="22"/>
                <w:szCs w:val="22"/>
              </w:rPr>
            </w:pPr>
            <w:r>
              <w:rPr>
                <w:rFonts w:ascii="Calibri" w:hAnsi="Calibri" w:cs="Calibri"/>
                <w:b/>
                <w:bCs/>
                <w:color w:val="000000"/>
                <w:sz w:val="22"/>
                <w:szCs w:val="22"/>
              </w:rPr>
              <w:t>110%</w:t>
            </w:r>
          </w:p>
        </w:tc>
        <w:tc>
          <w:tcPr>
            <w:tcW w:w="804" w:type="dxa"/>
            <w:tcBorders>
              <w:top w:val="nil"/>
              <w:left w:val="nil"/>
              <w:bottom w:val="single" w:sz="4" w:space="0" w:color="auto"/>
              <w:right w:val="single" w:sz="4" w:space="0" w:color="auto"/>
            </w:tcBorders>
            <w:noWrap/>
            <w:vAlign w:val="bottom"/>
            <w:hideMark/>
          </w:tcPr>
          <w:p w14:paraId="4725969B" w14:textId="77777777" w:rsidR="00DB0966" w:rsidRDefault="00DB0966">
            <w:pPr>
              <w:jc w:val="center"/>
              <w:rPr>
                <w:rFonts w:ascii="Calibri" w:hAnsi="Calibri" w:cs="Calibri"/>
                <w:b/>
                <w:bCs/>
                <w:color w:val="000000"/>
                <w:sz w:val="22"/>
                <w:szCs w:val="22"/>
              </w:rPr>
            </w:pPr>
            <w:r>
              <w:rPr>
                <w:rFonts w:ascii="Calibri" w:hAnsi="Calibri" w:cs="Calibri"/>
                <w:b/>
                <w:bCs/>
                <w:color w:val="000000"/>
                <w:sz w:val="22"/>
                <w:szCs w:val="22"/>
              </w:rPr>
              <w:t> </w:t>
            </w:r>
          </w:p>
        </w:tc>
        <w:tc>
          <w:tcPr>
            <w:tcW w:w="222" w:type="dxa"/>
            <w:vAlign w:val="center"/>
            <w:hideMark/>
          </w:tcPr>
          <w:p w14:paraId="080F827E" w14:textId="77777777" w:rsidR="00DB0966" w:rsidRDefault="00DB0966">
            <w:pPr>
              <w:rPr>
                <w:sz w:val="20"/>
                <w:szCs w:val="20"/>
              </w:rPr>
            </w:pPr>
          </w:p>
        </w:tc>
      </w:tr>
      <w:tr w:rsidR="00DB0966" w14:paraId="69057B81" w14:textId="77777777" w:rsidTr="00DB0966">
        <w:trPr>
          <w:trHeight w:val="290"/>
          <w:jc w:val="center"/>
        </w:trPr>
        <w:tc>
          <w:tcPr>
            <w:tcW w:w="665" w:type="dxa"/>
            <w:tcBorders>
              <w:top w:val="nil"/>
              <w:left w:val="single" w:sz="4" w:space="0" w:color="auto"/>
              <w:bottom w:val="single" w:sz="4" w:space="0" w:color="auto"/>
              <w:right w:val="single" w:sz="4" w:space="0" w:color="auto"/>
            </w:tcBorders>
            <w:noWrap/>
            <w:vAlign w:val="bottom"/>
            <w:hideMark/>
          </w:tcPr>
          <w:p w14:paraId="69D1E78F"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3211</w:t>
            </w:r>
          </w:p>
        </w:tc>
        <w:tc>
          <w:tcPr>
            <w:tcW w:w="4433" w:type="dxa"/>
            <w:tcBorders>
              <w:top w:val="nil"/>
              <w:left w:val="nil"/>
              <w:bottom w:val="single" w:sz="4" w:space="0" w:color="auto"/>
              <w:right w:val="single" w:sz="4" w:space="0" w:color="auto"/>
            </w:tcBorders>
            <w:noWrap/>
            <w:vAlign w:val="bottom"/>
            <w:hideMark/>
          </w:tcPr>
          <w:p w14:paraId="34AD4BF7" w14:textId="77777777" w:rsidR="00DB0966" w:rsidRDefault="00DB0966">
            <w:pPr>
              <w:rPr>
                <w:rFonts w:ascii="Calibri" w:hAnsi="Calibri" w:cs="Calibri"/>
                <w:color w:val="000000"/>
                <w:sz w:val="22"/>
                <w:szCs w:val="22"/>
              </w:rPr>
            </w:pPr>
            <w:r>
              <w:rPr>
                <w:rFonts w:ascii="Calibri" w:hAnsi="Calibri" w:cs="Calibri"/>
                <w:color w:val="000000"/>
                <w:sz w:val="22"/>
                <w:szCs w:val="22"/>
              </w:rPr>
              <w:t>Službena putovanja</w:t>
            </w:r>
          </w:p>
        </w:tc>
        <w:tc>
          <w:tcPr>
            <w:tcW w:w="1506" w:type="dxa"/>
            <w:tcBorders>
              <w:top w:val="nil"/>
              <w:left w:val="nil"/>
              <w:bottom w:val="single" w:sz="4" w:space="0" w:color="auto"/>
              <w:right w:val="single" w:sz="4" w:space="0" w:color="auto"/>
            </w:tcBorders>
            <w:noWrap/>
            <w:vAlign w:val="bottom"/>
            <w:hideMark/>
          </w:tcPr>
          <w:p w14:paraId="77481599" w14:textId="77777777" w:rsidR="00DB0966" w:rsidRDefault="00DB0966">
            <w:pPr>
              <w:jc w:val="right"/>
              <w:rPr>
                <w:rFonts w:ascii="Calibri" w:hAnsi="Calibri" w:cs="Calibri"/>
                <w:color w:val="000000"/>
                <w:sz w:val="22"/>
                <w:szCs w:val="22"/>
              </w:rPr>
            </w:pPr>
            <w:r>
              <w:rPr>
                <w:rFonts w:ascii="Calibri" w:hAnsi="Calibri" w:cs="Calibri"/>
                <w:color w:val="000000"/>
                <w:sz w:val="22"/>
                <w:szCs w:val="22"/>
              </w:rPr>
              <w:t>7.982,63</w:t>
            </w:r>
          </w:p>
        </w:tc>
        <w:tc>
          <w:tcPr>
            <w:tcW w:w="1506" w:type="dxa"/>
            <w:tcBorders>
              <w:top w:val="nil"/>
              <w:left w:val="nil"/>
              <w:bottom w:val="single" w:sz="4" w:space="0" w:color="auto"/>
              <w:right w:val="single" w:sz="4" w:space="0" w:color="auto"/>
            </w:tcBorders>
            <w:shd w:val="clear" w:color="000000" w:fill="FFFFFF"/>
            <w:vAlign w:val="bottom"/>
            <w:hideMark/>
          </w:tcPr>
          <w:p w14:paraId="23718ABE" w14:textId="77777777" w:rsidR="00DB0966" w:rsidRDefault="00DB0966">
            <w:pPr>
              <w:jc w:val="right"/>
              <w:rPr>
                <w:rFonts w:ascii="Calibri" w:hAnsi="Calibri" w:cs="Calibri"/>
                <w:sz w:val="20"/>
                <w:szCs w:val="20"/>
              </w:rPr>
            </w:pPr>
            <w:r>
              <w:rPr>
                <w:rFonts w:ascii="Calibri" w:hAnsi="Calibri" w:cs="Calibri"/>
                <w:sz w:val="20"/>
                <w:szCs w:val="20"/>
              </w:rPr>
              <w:t> </w:t>
            </w:r>
          </w:p>
        </w:tc>
        <w:tc>
          <w:tcPr>
            <w:tcW w:w="1506" w:type="dxa"/>
            <w:tcBorders>
              <w:top w:val="nil"/>
              <w:left w:val="nil"/>
              <w:bottom w:val="single" w:sz="4" w:space="0" w:color="auto"/>
              <w:right w:val="single" w:sz="4" w:space="0" w:color="auto"/>
            </w:tcBorders>
            <w:vAlign w:val="bottom"/>
            <w:hideMark/>
          </w:tcPr>
          <w:p w14:paraId="55E44DC0" w14:textId="77777777" w:rsidR="00DB0966" w:rsidRDefault="00DB0966">
            <w:pPr>
              <w:jc w:val="right"/>
              <w:rPr>
                <w:rFonts w:ascii="Calibri" w:hAnsi="Calibri" w:cs="Calibri"/>
                <w:sz w:val="22"/>
                <w:szCs w:val="22"/>
              </w:rPr>
            </w:pPr>
            <w:r>
              <w:rPr>
                <w:rFonts w:ascii="Calibri" w:hAnsi="Calibri" w:cs="Calibri"/>
                <w:sz w:val="22"/>
                <w:szCs w:val="22"/>
              </w:rPr>
              <w:t>8.398,59</w:t>
            </w:r>
          </w:p>
        </w:tc>
        <w:tc>
          <w:tcPr>
            <w:tcW w:w="877" w:type="dxa"/>
            <w:tcBorders>
              <w:top w:val="nil"/>
              <w:left w:val="nil"/>
              <w:bottom w:val="single" w:sz="4" w:space="0" w:color="auto"/>
              <w:right w:val="single" w:sz="4" w:space="0" w:color="auto"/>
            </w:tcBorders>
            <w:noWrap/>
            <w:vAlign w:val="bottom"/>
            <w:hideMark/>
          </w:tcPr>
          <w:p w14:paraId="32879777"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105%</w:t>
            </w:r>
          </w:p>
        </w:tc>
        <w:tc>
          <w:tcPr>
            <w:tcW w:w="804" w:type="dxa"/>
            <w:tcBorders>
              <w:top w:val="nil"/>
              <w:left w:val="nil"/>
              <w:bottom w:val="single" w:sz="4" w:space="0" w:color="auto"/>
              <w:right w:val="single" w:sz="4" w:space="0" w:color="auto"/>
            </w:tcBorders>
            <w:noWrap/>
            <w:vAlign w:val="bottom"/>
            <w:hideMark/>
          </w:tcPr>
          <w:p w14:paraId="16CA8C78"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 </w:t>
            </w:r>
          </w:p>
        </w:tc>
        <w:tc>
          <w:tcPr>
            <w:tcW w:w="222" w:type="dxa"/>
            <w:vAlign w:val="center"/>
            <w:hideMark/>
          </w:tcPr>
          <w:p w14:paraId="737BA212" w14:textId="77777777" w:rsidR="00DB0966" w:rsidRDefault="00DB0966">
            <w:pPr>
              <w:rPr>
                <w:sz w:val="20"/>
                <w:szCs w:val="20"/>
              </w:rPr>
            </w:pPr>
          </w:p>
        </w:tc>
      </w:tr>
      <w:tr w:rsidR="00DB0966" w14:paraId="0E3E5E1C" w14:textId="77777777" w:rsidTr="00DB0966">
        <w:trPr>
          <w:trHeight w:val="290"/>
          <w:jc w:val="center"/>
        </w:trPr>
        <w:tc>
          <w:tcPr>
            <w:tcW w:w="665" w:type="dxa"/>
            <w:tcBorders>
              <w:top w:val="nil"/>
              <w:left w:val="single" w:sz="4" w:space="0" w:color="auto"/>
              <w:bottom w:val="single" w:sz="4" w:space="0" w:color="auto"/>
              <w:right w:val="single" w:sz="4" w:space="0" w:color="auto"/>
            </w:tcBorders>
            <w:noWrap/>
            <w:vAlign w:val="bottom"/>
            <w:hideMark/>
          </w:tcPr>
          <w:p w14:paraId="12600485"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3212</w:t>
            </w:r>
          </w:p>
        </w:tc>
        <w:tc>
          <w:tcPr>
            <w:tcW w:w="4433" w:type="dxa"/>
            <w:tcBorders>
              <w:top w:val="nil"/>
              <w:left w:val="nil"/>
              <w:bottom w:val="single" w:sz="4" w:space="0" w:color="auto"/>
              <w:right w:val="single" w:sz="4" w:space="0" w:color="auto"/>
            </w:tcBorders>
            <w:noWrap/>
            <w:vAlign w:val="bottom"/>
            <w:hideMark/>
          </w:tcPr>
          <w:p w14:paraId="089A1113" w14:textId="77777777" w:rsidR="00DB0966" w:rsidRDefault="00DB0966">
            <w:pPr>
              <w:rPr>
                <w:rFonts w:ascii="Calibri" w:hAnsi="Calibri" w:cs="Calibri"/>
                <w:color w:val="000000"/>
                <w:sz w:val="22"/>
                <w:szCs w:val="22"/>
              </w:rPr>
            </w:pPr>
            <w:r>
              <w:rPr>
                <w:rFonts w:ascii="Calibri" w:hAnsi="Calibri" w:cs="Calibri"/>
                <w:color w:val="000000"/>
                <w:sz w:val="22"/>
                <w:szCs w:val="22"/>
              </w:rPr>
              <w:t xml:space="preserve">Naknade za prijevoz, </w:t>
            </w:r>
            <w:r w:rsidRPr="00DB0966">
              <w:rPr>
                <w:rFonts w:ascii="Calibri" w:hAnsi="Calibri" w:cs="Calibri"/>
                <w:color w:val="000000"/>
                <w:sz w:val="18"/>
                <w:szCs w:val="18"/>
              </w:rPr>
              <w:t>rad na terenu i odvojeni život</w:t>
            </w:r>
          </w:p>
        </w:tc>
        <w:tc>
          <w:tcPr>
            <w:tcW w:w="1506" w:type="dxa"/>
            <w:tcBorders>
              <w:top w:val="nil"/>
              <w:left w:val="nil"/>
              <w:bottom w:val="single" w:sz="4" w:space="0" w:color="auto"/>
              <w:right w:val="single" w:sz="4" w:space="0" w:color="auto"/>
            </w:tcBorders>
            <w:noWrap/>
            <w:vAlign w:val="bottom"/>
            <w:hideMark/>
          </w:tcPr>
          <w:p w14:paraId="198DC691" w14:textId="77777777" w:rsidR="00DB0966" w:rsidRDefault="00DB0966">
            <w:pPr>
              <w:jc w:val="right"/>
              <w:rPr>
                <w:rFonts w:ascii="Calibri" w:hAnsi="Calibri" w:cs="Calibri"/>
                <w:color w:val="000000"/>
                <w:sz w:val="22"/>
                <w:szCs w:val="22"/>
              </w:rPr>
            </w:pPr>
            <w:r>
              <w:rPr>
                <w:rFonts w:ascii="Calibri" w:hAnsi="Calibri" w:cs="Calibri"/>
                <w:color w:val="000000"/>
                <w:sz w:val="22"/>
                <w:szCs w:val="22"/>
              </w:rPr>
              <w:t>373.560,77</w:t>
            </w:r>
          </w:p>
        </w:tc>
        <w:tc>
          <w:tcPr>
            <w:tcW w:w="1506" w:type="dxa"/>
            <w:tcBorders>
              <w:top w:val="nil"/>
              <w:left w:val="nil"/>
              <w:bottom w:val="single" w:sz="4" w:space="0" w:color="auto"/>
              <w:right w:val="single" w:sz="4" w:space="0" w:color="auto"/>
            </w:tcBorders>
            <w:shd w:val="clear" w:color="000000" w:fill="FFFFFF"/>
            <w:vAlign w:val="bottom"/>
            <w:hideMark/>
          </w:tcPr>
          <w:p w14:paraId="6F077925" w14:textId="77777777" w:rsidR="00DB0966" w:rsidRDefault="00DB0966">
            <w:pPr>
              <w:jc w:val="right"/>
              <w:rPr>
                <w:rFonts w:ascii="Calibri" w:hAnsi="Calibri" w:cs="Calibri"/>
                <w:sz w:val="20"/>
                <w:szCs w:val="20"/>
              </w:rPr>
            </w:pPr>
            <w:r>
              <w:rPr>
                <w:rFonts w:ascii="Calibri" w:hAnsi="Calibri" w:cs="Calibri"/>
                <w:sz w:val="20"/>
                <w:szCs w:val="20"/>
              </w:rPr>
              <w:t> </w:t>
            </w:r>
          </w:p>
        </w:tc>
        <w:tc>
          <w:tcPr>
            <w:tcW w:w="1506" w:type="dxa"/>
            <w:tcBorders>
              <w:top w:val="nil"/>
              <w:left w:val="nil"/>
              <w:bottom w:val="single" w:sz="4" w:space="0" w:color="auto"/>
              <w:right w:val="single" w:sz="4" w:space="0" w:color="auto"/>
            </w:tcBorders>
            <w:vAlign w:val="bottom"/>
            <w:hideMark/>
          </w:tcPr>
          <w:p w14:paraId="0CBF83CB" w14:textId="77777777" w:rsidR="00DB0966" w:rsidRDefault="00DB0966">
            <w:pPr>
              <w:jc w:val="right"/>
              <w:rPr>
                <w:rFonts w:ascii="Calibri" w:hAnsi="Calibri" w:cs="Calibri"/>
                <w:sz w:val="22"/>
                <w:szCs w:val="22"/>
              </w:rPr>
            </w:pPr>
            <w:r>
              <w:rPr>
                <w:rFonts w:ascii="Calibri" w:hAnsi="Calibri" w:cs="Calibri"/>
                <w:sz w:val="22"/>
                <w:szCs w:val="22"/>
              </w:rPr>
              <w:t>406.601,61</w:t>
            </w:r>
          </w:p>
        </w:tc>
        <w:tc>
          <w:tcPr>
            <w:tcW w:w="877" w:type="dxa"/>
            <w:tcBorders>
              <w:top w:val="nil"/>
              <w:left w:val="nil"/>
              <w:bottom w:val="single" w:sz="4" w:space="0" w:color="auto"/>
              <w:right w:val="single" w:sz="4" w:space="0" w:color="auto"/>
            </w:tcBorders>
            <w:noWrap/>
            <w:vAlign w:val="bottom"/>
            <w:hideMark/>
          </w:tcPr>
          <w:p w14:paraId="2A2FC642"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109%</w:t>
            </w:r>
          </w:p>
        </w:tc>
        <w:tc>
          <w:tcPr>
            <w:tcW w:w="804" w:type="dxa"/>
            <w:tcBorders>
              <w:top w:val="nil"/>
              <w:left w:val="nil"/>
              <w:bottom w:val="single" w:sz="4" w:space="0" w:color="auto"/>
              <w:right w:val="single" w:sz="4" w:space="0" w:color="auto"/>
            </w:tcBorders>
            <w:noWrap/>
            <w:vAlign w:val="bottom"/>
            <w:hideMark/>
          </w:tcPr>
          <w:p w14:paraId="05D59EB5"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 </w:t>
            </w:r>
          </w:p>
        </w:tc>
        <w:tc>
          <w:tcPr>
            <w:tcW w:w="222" w:type="dxa"/>
            <w:vAlign w:val="center"/>
            <w:hideMark/>
          </w:tcPr>
          <w:p w14:paraId="6F36393A" w14:textId="77777777" w:rsidR="00DB0966" w:rsidRDefault="00DB0966">
            <w:pPr>
              <w:rPr>
                <w:sz w:val="20"/>
                <w:szCs w:val="20"/>
              </w:rPr>
            </w:pPr>
          </w:p>
        </w:tc>
      </w:tr>
      <w:tr w:rsidR="00DB0966" w14:paraId="4AF590A2" w14:textId="77777777" w:rsidTr="00DB0966">
        <w:trPr>
          <w:trHeight w:val="290"/>
          <w:jc w:val="center"/>
        </w:trPr>
        <w:tc>
          <w:tcPr>
            <w:tcW w:w="665" w:type="dxa"/>
            <w:tcBorders>
              <w:top w:val="nil"/>
              <w:left w:val="single" w:sz="4" w:space="0" w:color="auto"/>
              <w:bottom w:val="single" w:sz="4" w:space="0" w:color="auto"/>
              <w:right w:val="single" w:sz="4" w:space="0" w:color="auto"/>
            </w:tcBorders>
            <w:noWrap/>
            <w:vAlign w:val="bottom"/>
            <w:hideMark/>
          </w:tcPr>
          <w:p w14:paraId="09AD0B5A"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3213</w:t>
            </w:r>
          </w:p>
        </w:tc>
        <w:tc>
          <w:tcPr>
            <w:tcW w:w="4433" w:type="dxa"/>
            <w:tcBorders>
              <w:top w:val="nil"/>
              <w:left w:val="nil"/>
              <w:bottom w:val="single" w:sz="4" w:space="0" w:color="auto"/>
              <w:right w:val="single" w:sz="4" w:space="0" w:color="auto"/>
            </w:tcBorders>
            <w:noWrap/>
            <w:vAlign w:val="bottom"/>
            <w:hideMark/>
          </w:tcPr>
          <w:p w14:paraId="4E99317E" w14:textId="77777777" w:rsidR="00DB0966" w:rsidRDefault="00DB0966">
            <w:pPr>
              <w:rPr>
                <w:rFonts w:ascii="Calibri" w:hAnsi="Calibri" w:cs="Calibri"/>
                <w:color w:val="000000"/>
                <w:sz w:val="22"/>
                <w:szCs w:val="22"/>
              </w:rPr>
            </w:pPr>
            <w:r>
              <w:rPr>
                <w:rFonts w:ascii="Calibri" w:hAnsi="Calibri" w:cs="Calibri"/>
                <w:color w:val="000000"/>
                <w:sz w:val="22"/>
                <w:szCs w:val="22"/>
              </w:rPr>
              <w:t>Stručno usavršavanje zaposlenika</w:t>
            </w:r>
          </w:p>
        </w:tc>
        <w:tc>
          <w:tcPr>
            <w:tcW w:w="1506" w:type="dxa"/>
            <w:tcBorders>
              <w:top w:val="nil"/>
              <w:left w:val="nil"/>
              <w:bottom w:val="single" w:sz="4" w:space="0" w:color="auto"/>
              <w:right w:val="single" w:sz="4" w:space="0" w:color="auto"/>
            </w:tcBorders>
            <w:noWrap/>
            <w:vAlign w:val="bottom"/>
            <w:hideMark/>
          </w:tcPr>
          <w:p w14:paraId="660C98A5" w14:textId="77777777" w:rsidR="00DB0966" w:rsidRDefault="00DB0966">
            <w:pPr>
              <w:jc w:val="right"/>
              <w:rPr>
                <w:rFonts w:ascii="Calibri" w:hAnsi="Calibri" w:cs="Calibri"/>
                <w:color w:val="000000"/>
                <w:sz w:val="22"/>
                <w:szCs w:val="22"/>
              </w:rPr>
            </w:pPr>
            <w:r>
              <w:rPr>
                <w:rFonts w:ascii="Calibri" w:hAnsi="Calibri" w:cs="Calibri"/>
                <w:color w:val="000000"/>
                <w:sz w:val="22"/>
                <w:szCs w:val="22"/>
              </w:rPr>
              <w:t>26.901,39</w:t>
            </w:r>
          </w:p>
        </w:tc>
        <w:tc>
          <w:tcPr>
            <w:tcW w:w="1506" w:type="dxa"/>
            <w:tcBorders>
              <w:top w:val="nil"/>
              <w:left w:val="nil"/>
              <w:bottom w:val="single" w:sz="4" w:space="0" w:color="auto"/>
              <w:right w:val="single" w:sz="4" w:space="0" w:color="auto"/>
            </w:tcBorders>
            <w:shd w:val="clear" w:color="000000" w:fill="FFFFFF"/>
            <w:vAlign w:val="bottom"/>
            <w:hideMark/>
          </w:tcPr>
          <w:p w14:paraId="0C48E509" w14:textId="77777777" w:rsidR="00DB0966" w:rsidRDefault="00DB0966">
            <w:pPr>
              <w:jc w:val="right"/>
              <w:rPr>
                <w:rFonts w:ascii="Calibri" w:hAnsi="Calibri" w:cs="Calibri"/>
                <w:sz w:val="20"/>
                <w:szCs w:val="20"/>
              </w:rPr>
            </w:pPr>
            <w:r>
              <w:rPr>
                <w:rFonts w:ascii="Calibri" w:hAnsi="Calibri" w:cs="Calibri"/>
                <w:sz w:val="20"/>
                <w:szCs w:val="20"/>
              </w:rPr>
              <w:t> </w:t>
            </w:r>
          </w:p>
        </w:tc>
        <w:tc>
          <w:tcPr>
            <w:tcW w:w="1506" w:type="dxa"/>
            <w:tcBorders>
              <w:top w:val="nil"/>
              <w:left w:val="nil"/>
              <w:bottom w:val="single" w:sz="4" w:space="0" w:color="auto"/>
              <w:right w:val="single" w:sz="4" w:space="0" w:color="auto"/>
            </w:tcBorders>
            <w:vAlign w:val="bottom"/>
            <w:hideMark/>
          </w:tcPr>
          <w:p w14:paraId="63873DBE" w14:textId="77777777" w:rsidR="00DB0966" w:rsidRDefault="00DB0966">
            <w:pPr>
              <w:jc w:val="right"/>
              <w:rPr>
                <w:rFonts w:ascii="Calibri" w:hAnsi="Calibri" w:cs="Calibri"/>
                <w:sz w:val="22"/>
                <w:szCs w:val="22"/>
              </w:rPr>
            </w:pPr>
            <w:r>
              <w:rPr>
                <w:rFonts w:ascii="Calibri" w:hAnsi="Calibri" w:cs="Calibri"/>
                <w:sz w:val="22"/>
                <w:szCs w:val="22"/>
              </w:rPr>
              <w:t>36.537,67</w:t>
            </w:r>
          </w:p>
        </w:tc>
        <w:tc>
          <w:tcPr>
            <w:tcW w:w="877" w:type="dxa"/>
            <w:tcBorders>
              <w:top w:val="nil"/>
              <w:left w:val="nil"/>
              <w:bottom w:val="single" w:sz="4" w:space="0" w:color="auto"/>
              <w:right w:val="single" w:sz="4" w:space="0" w:color="auto"/>
            </w:tcBorders>
            <w:noWrap/>
            <w:vAlign w:val="bottom"/>
            <w:hideMark/>
          </w:tcPr>
          <w:p w14:paraId="56589A0F"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136%</w:t>
            </w:r>
          </w:p>
        </w:tc>
        <w:tc>
          <w:tcPr>
            <w:tcW w:w="804" w:type="dxa"/>
            <w:tcBorders>
              <w:top w:val="nil"/>
              <w:left w:val="nil"/>
              <w:bottom w:val="single" w:sz="4" w:space="0" w:color="auto"/>
              <w:right w:val="single" w:sz="4" w:space="0" w:color="auto"/>
            </w:tcBorders>
            <w:noWrap/>
            <w:vAlign w:val="bottom"/>
            <w:hideMark/>
          </w:tcPr>
          <w:p w14:paraId="201B0AD7"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 </w:t>
            </w:r>
          </w:p>
        </w:tc>
        <w:tc>
          <w:tcPr>
            <w:tcW w:w="222" w:type="dxa"/>
            <w:vAlign w:val="center"/>
            <w:hideMark/>
          </w:tcPr>
          <w:p w14:paraId="487BA855" w14:textId="77777777" w:rsidR="00DB0966" w:rsidRDefault="00DB0966">
            <w:pPr>
              <w:rPr>
                <w:sz w:val="20"/>
                <w:szCs w:val="20"/>
              </w:rPr>
            </w:pPr>
          </w:p>
        </w:tc>
      </w:tr>
      <w:tr w:rsidR="00DB0966" w14:paraId="1CC7EB25" w14:textId="77777777" w:rsidTr="00DB0966">
        <w:trPr>
          <w:trHeight w:val="290"/>
          <w:jc w:val="center"/>
        </w:trPr>
        <w:tc>
          <w:tcPr>
            <w:tcW w:w="665" w:type="dxa"/>
            <w:tcBorders>
              <w:top w:val="nil"/>
              <w:left w:val="single" w:sz="4" w:space="0" w:color="auto"/>
              <w:bottom w:val="single" w:sz="4" w:space="0" w:color="auto"/>
              <w:right w:val="single" w:sz="4" w:space="0" w:color="auto"/>
            </w:tcBorders>
            <w:noWrap/>
            <w:vAlign w:val="bottom"/>
            <w:hideMark/>
          </w:tcPr>
          <w:p w14:paraId="49BA62D4"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3214</w:t>
            </w:r>
          </w:p>
        </w:tc>
        <w:tc>
          <w:tcPr>
            <w:tcW w:w="4433" w:type="dxa"/>
            <w:tcBorders>
              <w:top w:val="nil"/>
              <w:left w:val="nil"/>
              <w:bottom w:val="single" w:sz="4" w:space="0" w:color="auto"/>
              <w:right w:val="single" w:sz="4" w:space="0" w:color="auto"/>
            </w:tcBorders>
            <w:noWrap/>
            <w:vAlign w:val="bottom"/>
            <w:hideMark/>
          </w:tcPr>
          <w:p w14:paraId="0E6E3FE7" w14:textId="77777777" w:rsidR="00DB0966" w:rsidRDefault="00DB0966">
            <w:pPr>
              <w:rPr>
                <w:rFonts w:ascii="Calibri" w:hAnsi="Calibri" w:cs="Calibri"/>
                <w:color w:val="000000"/>
                <w:sz w:val="22"/>
                <w:szCs w:val="22"/>
              </w:rPr>
            </w:pPr>
            <w:r>
              <w:rPr>
                <w:rFonts w:ascii="Calibri" w:hAnsi="Calibri" w:cs="Calibri"/>
                <w:color w:val="000000"/>
                <w:sz w:val="22"/>
                <w:szCs w:val="22"/>
              </w:rPr>
              <w:t>Ostale naknade troškova zaposlenika</w:t>
            </w:r>
            <w:r>
              <w:rPr>
                <w:rFonts w:ascii="Calibri" w:hAnsi="Calibri" w:cs="Calibri"/>
                <w:color w:val="FF0000"/>
                <w:sz w:val="22"/>
                <w:szCs w:val="22"/>
              </w:rPr>
              <w:t xml:space="preserve"> </w:t>
            </w:r>
          </w:p>
        </w:tc>
        <w:tc>
          <w:tcPr>
            <w:tcW w:w="1506" w:type="dxa"/>
            <w:tcBorders>
              <w:top w:val="nil"/>
              <w:left w:val="nil"/>
              <w:bottom w:val="single" w:sz="4" w:space="0" w:color="auto"/>
              <w:right w:val="single" w:sz="4" w:space="0" w:color="auto"/>
            </w:tcBorders>
            <w:noWrap/>
            <w:vAlign w:val="bottom"/>
            <w:hideMark/>
          </w:tcPr>
          <w:p w14:paraId="36962F13" w14:textId="77777777" w:rsidR="00DB0966" w:rsidRDefault="00DB0966">
            <w:pPr>
              <w:jc w:val="right"/>
              <w:rPr>
                <w:rFonts w:ascii="Calibri" w:hAnsi="Calibri" w:cs="Calibri"/>
                <w:color w:val="000000"/>
                <w:sz w:val="22"/>
                <w:szCs w:val="22"/>
              </w:rPr>
            </w:pPr>
            <w:r>
              <w:rPr>
                <w:rFonts w:ascii="Calibri" w:hAnsi="Calibri" w:cs="Calibri"/>
                <w:color w:val="000000"/>
                <w:sz w:val="22"/>
                <w:szCs w:val="22"/>
              </w:rPr>
              <w:t>1.033,88</w:t>
            </w:r>
          </w:p>
        </w:tc>
        <w:tc>
          <w:tcPr>
            <w:tcW w:w="1506" w:type="dxa"/>
            <w:tcBorders>
              <w:top w:val="nil"/>
              <w:left w:val="nil"/>
              <w:bottom w:val="single" w:sz="4" w:space="0" w:color="auto"/>
              <w:right w:val="single" w:sz="4" w:space="0" w:color="auto"/>
            </w:tcBorders>
            <w:shd w:val="clear" w:color="000000" w:fill="FFFFFF"/>
            <w:vAlign w:val="bottom"/>
            <w:hideMark/>
          </w:tcPr>
          <w:p w14:paraId="3A98C18C" w14:textId="77777777" w:rsidR="00DB0966" w:rsidRDefault="00DB0966">
            <w:pPr>
              <w:jc w:val="right"/>
              <w:rPr>
                <w:rFonts w:ascii="Calibri" w:hAnsi="Calibri" w:cs="Calibri"/>
                <w:sz w:val="20"/>
                <w:szCs w:val="20"/>
              </w:rPr>
            </w:pPr>
            <w:r>
              <w:rPr>
                <w:rFonts w:ascii="Calibri" w:hAnsi="Calibri" w:cs="Calibri"/>
                <w:sz w:val="20"/>
                <w:szCs w:val="20"/>
              </w:rPr>
              <w:t> </w:t>
            </w:r>
          </w:p>
        </w:tc>
        <w:tc>
          <w:tcPr>
            <w:tcW w:w="1506" w:type="dxa"/>
            <w:tcBorders>
              <w:top w:val="nil"/>
              <w:left w:val="nil"/>
              <w:bottom w:val="single" w:sz="4" w:space="0" w:color="auto"/>
              <w:right w:val="single" w:sz="4" w:space="0" w:color="auto"/>
            </w:tcBorders>
            <w:vAlign w:val="bottom"/>
            <w:hideMark/>
          </w:tcPr>
          <w:p w14:paraId="1145E2F1" w14:textId="77777777" w:rsidR="00DB0966" w:rsidRDefault="00DB0966">
            <w:pPr>
              <w:jc w:val="right"/>
              <w:rPr>
                <w:rFonts w:ascii="Calibri" w:hAnsi="Calibri" w:cs="Calibri"/>
                <w:sz w:val="22"/>
                <w:szCs w:val="22"/>
              </w:rPr>
            </w:pPr>
            <w:r>
              <w:rPr>
                <w:rFonts w:ascii="Calibri" w:hAnsi="Calibri" w:cs="Calibri"/>
                <w:sz w:val="22"/>
                <w:szCs w:val="22"/>
              </w:rPr>
              <w:t>363,05</w:t>
            </w:r>
          </w:p>
        </w:tc>
        <w:tc>
          <w:tcPr>
            <w:tcW w:w="877" w:type="dxa"/>
            <w:tcBorders>
              <w:top w:val="nil"/>
              <w:left w:val="nil"/>
              <w:bottom w:val="single" w:sz="4" w:space="0" w:color="auto"/>
              <w:right w:val="single" w:sz="4" w:space="0" w:color="auto"/>
            </w:tcBorders>
            <w:noWrap/>
            <w:vAlign w:val="bottom"/>
            <w:hideMark/>
          </w:tcPr>
          <w:p w14:paraId="411FEB2D"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35%</w:t>
            </w:r>
          </w:p>
        </w:tc>
        <w:tc>
          <w:tcPr>
            <w:tcW w:w="804" w:type="dxa"/>
            <w:tcBorders>
              <w:top w:val="nil"/>
              <w:left w:val="nil"/>
              <w:bottom w:val="single" w:sz="4" w:space="0" w:color="auto"/>
              <w:right w:val="single" w:sz="4" w:space="0" w:color="auto"/>
            </w:tcBorders>
            <w:noWrap/>
            <w:vAlign w:val="bottom"/>
            <w:hideMark/>
          </w:tcPr>
          <w:p w14:paraId="008DFCF6"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 </w:t>
            </w:r>
          </w:p>
        </w:tc>
        <w:tc>
          <w:tcPr>
            <w:tcW w:w="222" w:type="dxa"/>
            <w:vAlign w:val="center"/>
            <w:hideMark/>
          </w:tcPr>
          <w:p w14:paraId="622E1426" w14:textId="77777777" w:rsidR="00DB0966" w:rsidRDefault="00DB0966">
            <w:pPr>
              <w:rPr>
                <w:sz w:val="20"/>
                <w:szCs w:val="20"/>
              </w:rPr>
            </w:pPr>
          </w:p>
        </w:tc>
      </w:tr>
      <w:tr w:rsidR="00DB0966" w14:paraId="3B6F29C9" w14:textId="77777777" w:rsidTr="00DB0966">
        <w:trPr>
          <w:trHeight w:val="290"/>
          <w:jc w:val="center"/>
        </w:trPr>
        <w:tc>
          <w:tcPr>
            <w:tcW w:w="665" w:type="dxa"/>
            <w:tcBorders>
              <w:top w:val="nil"/>
              <w:left w:val="single" w:sz="4" w:space="0" w:color="auto"/>
              <w:bottom w:val="single" w:sz="4" w:space="0" w:color="auto"/>
              <w:right w:val="single" w:sz="4" w:space="0" w:color="auto"/>
            </w:tcBorders>
            <w:noWrap/>
            <w:vAlign w:val="bottom"/>
            <w:hideMark/>
          </w:tcPr>
          <w:p w14:paraId="3C94BA9D" w14:textId="77777777" w:rsidR="00DB0966" w:rsidRDefault="00DB0966">
            <w:pPr>
              <w:jc w:val="center"/>
              <w:rPr>
                <w:rFonts w:ascii="Calibri" w:hAnsi="Calibri" w:cs="Calibri"/>
                <w:b/>
                <w:bCs/>
                <w:sz w:val="22"/>
                <w:szCs w:val="22"/>
              </w:rPr>
            </w:pPr>
            <w:r>
              <w:rPr>
                <w:rFonts w:ascii="Calibri" w:hAnsi="Calibri" w:cs="Calibri"/>
                <w:b/>
                <w:bCs/>
                <w:sz w:val="22"/>
                <w:szCs w:val="22"/>
              </w:rPr>
              <w:lastRenderedPageBreak/>
              <w:t>322</w:t>
            </w:r>
          </w:p>
        </w:tc>
        <w:tc>
          <w:tcPr>
            <w:tcW w:w="4433" w:type="dxa"/>
            <w:tcBorders>
              <w:top w:val="nil"/>
              <w:left w:val="nil"/>
              <w:bottom w:val="single" w:sz="4" w:space="0" w:color="auto"/>
              <w:right w:val="single" w:sz="4" w:space="0" w:color="auto"/>
            </w:tcBorders>
            <w:vAlign w:val="bottom"/>
            <w:hideMark/>
          </w:tcPr>
          <w:p w14:paraId="30C80083" w14:textId="77777777" w:rsidR="00DB0966" w:rsidRDefault="00DB0966">
            <w:pPr>
              <w:rPr>
                <w:rFonts w:ascii="Calibri" w:hAnsi="Calibri" w:cs="Calibri"/>
                <w:b/>
                <w:bCs/>
                <w:sz w:val="22"/>
                <w:szCs w:val="22"/>
              </w:rPr>
            </w:pPr>
            <w:r>
              <w:rPr>
                <w:rFonts w:ascii="Calibri" w:hAnsi="Calibri" w:cs="Calibri"/>
                <w:b/>
                <w:bCs/>
                <w:sz w:val="22"/>
                <w:szCs w:val="22"/>
              </w:rPr>
              <w:t>Rashodi za materijal i energiju</w:t>
            </w:r>
          </w:p>
        </w:tc>
        <w:tc>
          <w:tcPr>
            <w:tcW w:w="1506" w:type="dxa"/>
            <w:tcBorders>
              <w:top w:val="nil"/>
              <w:left w:val="nil"/>
              <w:bottom w:val="single" w:sz="4" w:space="0" w:color="auto"/>
              <w:right w:val="single" w:sz="4" w:space="0" w:color="auto"/>
            </w:tcBorders>
            <w:noWrap/>
            <w:vAlign w:val="bottom"/>
            <w:hideMark/>
          </w:tcPr>
          <w:p w14:paraId="03C87583" w14:textId="77777777" w:rsidR="00DB0966" w:rsidRDefault="00DB0966">
            <w:pPr>
              <w:jc w:val="right"/>
              <w:rPr>
                <w:rFonts w:ascii="Calibri" w:hAnsi="Calibri" w:cs="Calibri"/>
                <w:b/>
                <w:bCs/>
                <w:sz w:val="22"/>
                <w:szCs w:val="22"/>
              </w:rPr>
            </w:pPr>
            <w:r>
              <w:rPr>
                <w:rFonts w:ascii="Calibri" w:hAnsi="Calibri" w:cs="Calibri"/>
                <w:b/>
                <w:bCs/>
                <w:sz w:val="22"/>
                <w:szCs w:val="22"/>
              </w:rPr>
              <w:t>8.743.656,08</w:t>
            </w:r>
          </w:p>
        </w:tc>
        <w:tc>
          <w:tcPr>
            <w:tcW w:w="1506" w:type="dxa"/>
            <w:tcBorders>
              <w:top w:val="nil"/>
              <w:left w:val="nil"/>
              <w:bottom w:val="single" w:sz="4" w:space="0" w:color="auto"/>
              <w:right w:val="single" w:sz="4" w:space="0" w:color="auto"/>
            </w:tcBorders>
            <w:noWrap/>
            <w:vAlign w:val="bottom"/>
            <w:hideMark/>
          </w:tcPr>
          <w:p w14:paraId="3C50E6DA" w14:textId="77777777" w:rsidR="00DB0966" w:rsidRDefault="00DB0966">
            <w:pPr>
              <w:jc w:val="right"/>
              <w:rPr>
                <w:rFonts w:ascii="Calibri" w:hAnsi="Calibri" w:cs="Calibri"/>
                <w:b/>
                <w:bCs/>
                <w:sz w:val="22"/>
                <w:szCs w:val="22"/>
              </w:rPr>
            </w:pPr>
            <w:r>
              <w:rPr>
                <w:rFonts w:ascii="Calibri" w:hAnsi="Calibri" w:cs="Calibri"/>
                <w:b/>
                <w:bCs/>
                <w:sz w:val="22"/>
                <w:szCs w:val="22"/>
              </w:rPr>
              <w:t> </w:t>
            </w:r>
          </w:p>
        </w:tc>
        <w:tc>
          <w:tcPr>
            <w:tcW w:w="1506" w:type="dxa"/>
            <w:tcBorders>
              <w:top w:val="nil"/>
              <w:left w:val="nil"/>
              <w:bottom w:val="single" w:sz="4" w:space="0" w:color="auto"/>
              <w:right w:val="single" w:sz="4" w:space="0" w:color="auto"/>
            </w:tcBorders>
            <w:noWrap/>
            <w:vAlign w:val="bottom"/>
            <w:hideMark/>
          </w:tcPr>
          <w:p w14:paraId="06B4FEE2" w14:textId="77777777" w:rsidR="00DB0966" w:rsidRDefault="00DB0966">
            <w:pPr>
              <w:jc w:val="right"/>
              <w:rPr>
                <w:rFonts w:ascii="Calibri" w:hAnsi="Calibri" w:cs="Calibri"/>
                <w:b/>
                <w:bCs/>
                <w:sz w:val="22"/>
                <w:szCs w:val="22"/>
              </w:rPr>
            </w:pPr>
            <w:r>
              <w:rPr>
                <w:rFonts w:ascii="Calibri" w:hAnsi="Calibri" w:cs="Calibri"/>
                <w:b/>
                <w:bCs/>
                <w:sz w:val="22"/>
                <w:szCs w:val="22"/>
              </w:rPr>
              <w:t>7.904.214,89</w:t>
            </w:r>
          </w:p>
        </w:tc>
        <w:tc>
          <w:tcPr>
            <w:tcW w:w="877" w:type="dxa"/>
            <w:tcBorders>
              <w:top w:val="nil"/>
              <w:left w:val="nil"/>
              <w:bottom w:val="single" w:sz="4" w:space="0" w:color="auto"/>
              <w:right w:val="single" w:sz="4" w:space="0" w:color="auto"/>
            </w:tcBorders>
            <w:noWrap/>
            <w:vAlign w:val="bottom"/>
            <w:hideMark/>
          </w:tcPr>
          <w:p w14:paraId="68A2D4BA" w14:textId="77777777" w:rsidR="00DB0966" w:rsidRDefault="00DB0966">
            <w:pPr>
              <w:jc w:val="center"/>
              <w:rPr>
                <w:rFonts w:ascii="Calibri" w:hAnsi="Calibri" w:cs="Calibri"/>
                <w:b/>
                <w:bCs/>
                <w:color w:val="000000"/>
                <w:sz w:val="22"/>
                <w:szCs w:val="22"/>
              </w:rPr>
            </w:pPr>
            <w:r>
              <w:rPr>
                <w:rFonts w:ascii="Calibri" w:hAnsi="Calibri" w:cs="Calibri"/>
                <w:b/>
                <w:bCs/>
                <w:color w:val="000000"/>
                <w:sz w:val="22"/>
                <w:szCs w:val="22"/>
              </w:rPr>
              <w:t>90%</w:t>
            </w:r>
          </w:p>
        </w:tc>
        <w:tc>
          <w:tcPr>
            <w:tcW w:w="804" w:type="dxa"/>
            <w:tcBorders>
              <w:top w:val="nil"/>
              <w:left w:val="nil"/>
              <w:bottom w:val="single" w:sz="4" w:space="0" w:color="auto"/>
              <w:right w:val="single" w:sz="4" w:space="0" w:color="auto"/>
            </w:tcBorders>
            <w:noWrap/>
            <w:vAlign w:val="bottom"/>
            <w:hideMark/>
          </w:tcPr>
          <w:p w14:paraId="49C7DF5A" w14:textId="77777777" w:rsidR="00DB0966" w:rsidRDefault="00DB0966">
            <w:pPr>
              <w:jc w:val="center"/>
              <w:rPr>
                <w:rFonts w:ascii="Calibri" w:hAnsi="Calibri" w:cs="Calibri"/>
                <w:b/>
                <w:bCs/>
                <w:color w:val="000000"/>
                <w:sz w:val="22"/>
                <w:szCs w:val="22"/>
              </w:rPr>
            </w:pPr>
            <w:r>
              <w:rPr>
                <w:rFonts w:ascii="Calibri" w:hAnsi="Calibri" w:cs="Calibri"/>
                <w:b/>
                <w:bCs/>
                <w:color w:val="000000"/>
                <w:sz w:val="22"/>
                <w:szCs w:val="22"/>
              </w:rPr>
              <w:t> </w:t>
            </w:r>
          </w:p>
        </w:tc>
        <w:tc>
          <w:tcPr>
            <w:tcW w:w="222" w:type="dxa"/>
            <w:vAlign w:val="center"/>
            <w:hideMark/>
          </w:tcPr>
          <w:p w14:paraId="13D05C3C" w14:textId="77777777" w:rsidR="00DB0966" w:rsidRDefault="00DB0966">
            <w:pPr>
              <w:rPr>
                <w:sz w:val="20"/>
                <w:szCs w:val="20"/>
              </w:rPr>
            </w:pPr>
          </w:p>
        </w:tc>
      </w:tr>
      <w:tr w:rsidR="00DB0966" w14:paraId="5DA5933F" w14:textId="77777777" w:rsidTr="00DB0966">
        <w:trPr>
          <w:trHeight w:val="290"/>
          <w:jc w:val="center"/>
        </w:trPr>
        <w:tc>
          <w:tcPr>
            <w:tcW w:w="665" w:type="dxa"/>
            <w:tcBorders>
              <w:top w:val="nil"/>
              <w:left w:val="single" w:sz="4" w:space="0" w:color="auto"/>
              <w:bottom w:val="single" w:sz="4" w:space="0" w:color="auto"/>
              <w:right w:val="single" w:sz="4" w:space="0" w:color="auto"/>
            </w:tcBorders>
            <w:noWrap/>
            <w:vAlign w:val="bottom"/>
            <w:hideMark/>
          </w:tcPr>
          <w:p w14:paraId="32A2E281"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3221</w:t>
            </w:r>
          </w:p>
        </w:tc>
        <w:tc>
          <w:tcPr>
            <w:tcW w:w="4433" w:type="dxa"/>
            <w:tcBorders>
              <w:top w:val="nil"/>
              <w:left w:val="nil"/>
              <w:bottom w:val="single" w:sz="4" w:space="0" w:color="auto"/>
              <w:right w:val="single" w:sz="4" w:space="0" w:color="auto"/>
            </w:tcBorders>
            <w:noWrap/>
            <w:vAlign w:val="bottom"/>
            <w:hideMark/>
          </w:tcPr>
          <w:p w14:paraId="2DD84A94" w14:textId="77777777" w:rsidR="00DB0966" w:rsidRDefault="00DB0966">
            <w:pPr>
              <w:rPr>
                <w:rFonts w:ascii="Calibri" w:hAnsi="Calibri" w:cs="Calibri"/>
                <w:sz w:val="22"/>
                <w:szCs w:val="22"/>
              </w:rPr>
            </w:pPr>
            <w:r>
              <w:rPr>
                <w:rFonts w:ascii="Calibri" w:hAnsi="Calibri" w:cs="Calibri"/>
                <w:sz w:val="22"/>
                <w:szCs w:val="22"/>
              </w:rPr>
              <w:t>Uredski materijal i ostali mat. rashodi</w:t>
            </w:r>
          </w:p>
        </w:tc>
        <w:tc>
          <w:tcPr>
            <w:tcW w:w="1506" w:type="dxa"/>
            <w:tcBorders>
              <w:top w:val="nil"/>
              <w:left w:val="nil"/>
              <w:bottom w:val="single" w:sz="4" w:space="0" w:color="auto"/>
              <w:right w:val="single" w:sz="4" w:space="0" w:color="auto"/>
            </w:tcBorders>
            <w:noWrap/>
            <w:vAlign w:val="bottom"/>
            <w:hideMark/>
          </w:tcPr>
          <w:p w14:paraId="5DB1CFD4" w14:textId="77777777" w:rsidR="00DB0966" w:rsidRDefault="00DB0966">
            <w:pPr>
              <w:jc w:val="right"/>
              <w:rPr>
                <w:rFonts w:ascii="Calibri" w:hAnsi="Calibri" w:cs="Calibri"/>
                <w:sz w:val="22"/>
                <w:szCs w:val="22"/>
              </w:rPr>
            </w:pPr>
            <w:r>
              <w:rPr>
                <w:rFonts w:ascii="Calibri" w:hAnsi="Calibri" w:cs="Calibri"/>
                <w:sz w:val="22"/>
                <w:szCs w:val="22"/>
              </w:rPr>
              <w:t>138.177,30</w:t>
            </w:r>
          </w:p>
        </w:tc>
        <w:tc>
          <w:tcPr>
            <w:tcW w:w="1506" w:type="dxa"/>
            <w:tcBorders>
              <w:top w:val="nil"/>
              <w:left w:val="nil"/>
              <w:bottom w:val="single" w:sz="4" w:space="0" w:color="auto"/>
              <w:right w:val="single" w:sz="4" w:space="0" w:color="auto"/>
            </w:tcBorders>
            <w:shd w:val="clear" w:color="000000" w:fill="FFFFFF"/>
            <w:vAlign w:val="bottom"/>
            <w:hideMark/>
          </w:tcPr>
          <w:p w14:paraId="097EDD79" w14:textId="77777777" w:rsidR="00DB0966" w:rsidRDefault="00DB0966">
            <w:pPr>
              <w:jc w:val="right"/>
              <w:rPr>
                <w:rFonts w:ascii="Calibri" w:hAnsi="Calibri" w:cs="Calibri"/>
                <w:sz w:val="20"/>
                <w:szCs w:val="20"/>
              </w:rPr>
            </w:pPr>
            <w:r>
              <w:rPr>
                <w:rFonts w:ascii="Calibri" w:hAnsi="Calibri" w:cs="Calibri"/>
                <w:sz w:val="20"/>
                <w:szCs w:val="20"/>
              </w:rPr>
              <w:t> </w:t>
            </w:r>
          </w:p>
        </w:tc>
        <w:tc>
          <w:tcPr>
            <w:tcW w:w="1506" w:type="dxa"/>
            <w:tcBorders>
              <w:top w:val="nil"/>
              <w:left w:val="nil"/>
              <w:bottom w:val="single" w:sz="4" w:space="0" w:color="auto"/>
              <w:right w:val="single" w:sz="4" w:space="0" w:color="auto"/>
            </w:tcBorders>
            <w:vAlign w:val="bottom"/>
            <w:hideMark/>
          </w:tcPr>
          <w:p w14:paraId="63031C2F" w14:textId="77777777" w:rsidR="00DB0966" w:rsidRDefault="00DB0966">
            <w:pPr>
              <w:jc w:val="right"/>
              <w:rPr>
                <w:rFonts w:ascii="Calibri" w:hAnsi="Calibri" w:cs="Calibri"/>
                <w:sz w:val="22"/>
                <w:szCs w:val="22"/>
              </w:rPr>
            </w:pPr>
            <w:r>
              <w:rPr>
                <w:rFonts w:ascii="Calibri" w:hAnsi="Calibri" w:cs="Calibri"/>
                <w:sz w:val="22"/>
                <w:szCs w:val="22"/>
              </w:rPr>
              <w:t>146.309,52</w:t>
            </w:r>
          </w:p>
        </w:tc>
        <w:tc>
          <w:tcPr>
            <w:tcW w:w="877" w:type="dxa"/>
            <w:tcBorders>
              <w:top w:val="nil"/>
              <w:left w:val="nil"/>
              <w:bottom w:val="single" w:sz="4" w:space="0" w:color="auto"/>
              <w:right w:val="single" w:sz="4" w:space="0" w:color="auto"/>
            </w:tcBorders>
            <w:noWrap/>
            <w:vAlign w:val="bottom"/>
            <w:hideMark/>
          </w:tcPr>
          <w:p w14:paraId="095D1DE1"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106%</w:t>
            </w:r>
          </w:p>
        </w:tc>
        <w:tc>
          <w:tcPr>
            <w:tcW w:w="804" w:type="dxa"/>
            <w:tcBorders>
              <w:top w:val="nil"/>
              <w:left w:val="nil"/>
              <w:bottom w:val="single" w:sz="4" w:space="0" w:color="auto"/>
              <w:right w:val="single" w:sz="4" w:space="0" w:color="auto"/>
            </w:tcBorders>
            <w:noWrap/>
            <w:vAlign w:val="bottom"/>
            <w:hideMark/>
          </w:tcPr>
          <w:p w14:paraId="544FFC4E"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 </w:t>
            </w:r>
          </w:p>
        </w:tc>
        <w:tc>
          <w:tcPr>
            <w:tcW w:w="222" w:type="dxa"/>
            <w:vAlign w:val="center"/>
            <w:hideMark/>
          </w:tcPr>
          <w:p w14:paraId="1B8F25B0" w14:textId="77777777" w:rsidR="00DB0966" w:rsidRDefault="00DB0966">
            <w:pPr>
              <w:rPr>
                <w:sz w:val="20"/>
                <w:szCs w:val="20"/>
              </w:rPr>
            </w:pPr>
          </w:p>
        </w:tc>
      </w:tr>
      <w:tr w:rsidR="00DB0966" w14:paraId="049D1292" w14:textId="77777777" w:rsidTr="00DB0966">
        <w:trPr>
          <w:trHeight w:val="290"/>
          <w:jc w:val="center"/>
        </w:trPr>
        <w:tc>
          <w:tcPr>
            <w:tcW w:w="665" w:type="dxa"/>
            <w:tcBorders>
              <w:top w:val="nil"/>
              <w:left w:val="single" w:sz="4" w:space="0" w:color="auto"/>
              <w:bottom w:val="single" w:sz="4" w:space="0" w:color="auto"/>
              <w:right w:val="single" w:sz="4" w:space="0" w:color="auto"/>
            </w:tcBorders>
            <w:noWrap/>
            <w:vAlign w:val="bottom"/>
            <w:hideMark/>
          </w:tcPr>
          <w:p w14:paraId="340ECE93"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3222</w:t>
            </w:r>
          </w:p>
        </w:tc>
        <w:tc>
          <w:tcPr>
            <w:tcW w:w="4433" w:type="dxa"/>
            <w:tcBorders>
              <w:top w:val="nil"/>
              <w:left w:val="nil"/>
              <w:bottom w:val="single" w:sz="4" w:space="0" w:color="auto"/>
              <w:right w:val="single" w:sz="4" w:space="0" w:color="auto"/>
            </w:tcBorders>
            <w:noWrap/>
            <w:vAlign w:val="bottom"/>
            <w:hideMark/>
          </w:tcPr>
          <w:p w14:paraId="3717AC74" w14:textId="77777777" w:rsidR="00DB0966" w:rsidRDefault="00DB0966">
            <w:pPr>
              <w:rPr>
                <w:rFonts w:ascii="Calibri" w:hAnsi="Calibri" w:cs="Calibri"/>
                <w:color w:val="000000"/>
                <w:sz w:val="22"/>
                <w:szCs w:val="22"/>
              </w:rPr>
            </w:pPr>
            <w:r>
              <w:rPr>
                <w:rFonts w:ascii="Calibri" w:hAnsi="Calibri" w:cs="Calibri"/>
                <w:color w:val="000000"/>
                <w:sz w:val="22"/>
                <w:szCs w:val="22"/>
              </w:rPr>
              <w:t>Materijal i sirovine</w:t>
            </w:r>
          </w:p>
        </w:tc>
        <w:tc>
          <w:tcPr>
            <w:tcW w:w="1506" w:type="dxa"/>
            <w:tcBorders>
              <w:top w:val="nil"/>
              <w:left w:val="nil"/>
              <w:bottom w:val="single" w:sz="4" w:space="0" w:color="auto"/>
              <w:right w:val="single" w:sz="4" w:space="0" w:color="auto"/>
            </w:tcBorders>
            <w:noWrap/>
            <w:vAlign w:val="bottom"/>
            <w:hideMark/>
          </w:tcPr>
          <w:p w14:paraId="223FA9D2" w14:textId="77777777" w:rsidR="00DB0966" w:rsidRDefault="00DB0966">
            <w:pPr>
              <w:jc w:val="right"/>
              <w:rPr>
                <w:rFonts w:ascii="Calibri" w:hAnsi="Calibri" w:cs="Calibri"/>
                <w:color w:val="000000"/>
                <w:sz w:val="22"/>
                <w:szCs w:val="22"/>
              </w:rPr>
            </w:pPr>
            <w:r>
              <w:rPr>
                <w:rFonts w:ascii="Calibri" w:hAnsi="Calibri" w:cs="Calibri"/>
                <w:color w:val="000000"/>
                <w:sz w:val="22"/>
                <w:szCs w:val="22"/>
              </w:rPr>
              <w:t>7.920.433,85</w:t>
            </w:r>
          </w:p>
        </w:tc>
        <w:tc>
          <w:tcPr>
            <w:tcW w:w="1506" w:type="dxa"/>
            <w:tcBorders>
              <w:top w:val="nil"/>
              <w:left w:val="nil"/>
              <w:bottom w:val="single" w:sz="4" w:space="0" w:color="auto"/>
              <w:right w:val="single" w:sz="4" w:space="0" w:color="auto"/>
            </w:tcBorders>
            <w:shd w:val="clear" w:color="000000" w:fill="FFFFFF"/>
            <w:vAlign w:val="bottom"/>
            <w:hideMark/>
          </w:tcPr>
          <w:p w14:paraId="7F62A24B" w14:textId="77777777" w:rsidR="00DB0966" w:rsidRDefault="00DB0966">
            <w:pPr>
              <w:jc w:val="right"/>
              <w:rPr>
                <w:rFonts w:ascii="Calibri" w:hAnsi="Calibri" w:cs="Calibri"/>
                <w:sz w:val="20"/>
                <w:szCs w:val="20"/>
              </w:rPr>
            </w:pPr>
            <w:r>
              <w:rPr>
                <w:rFonts w:ascii="Calibri" w:hAnsi="Calibri" w:cs="Calibri"/>
                <w:sz w:val="20"/>
                <w:szCs w:val="20"/>
              </w:rPr>
              <w:t> </w:t>
            </w:r>
          </w:p>
        </w:tc>
        <w:tc>
          <w:tcPr>
            <w:tcW w:w="1506" w:type="dxa"/>
            <w:tcBorders>
              <w:top w:val="nil"/>
              <w:left w:val="nil"/>
              <w:bottom w:val="single" w:sz="4" w:space="0" w:color="auto"/>
              <w:right w:val="single" w:sz="4" w:space="0" w:color="auto"/>
            </w:tcBorders>
            <w:vAlign w:val="bottom"/>
            <w:hideMark/>
          </w:tcPr>
          <w:p w14:paraId="05F9229E" w14:textId="77777777" w:rsidR="00DB0966" w:rsidRDefault="00DB0966">
            <w:pPr>
              <w:jc w:val="right"/>
              <w:rPr>
                <w:rFonts w:ascii="Calibri" w:hAnsi="Calibri" w:cs="Calibri"/>
                <w:sz w:val="22"/>
                <w:szCs w:val="22"/>
              </w:rPr>
            </w:pPr>
            <w:r>
              <w:rPr>
                <w:rFonts w:ascii="Calibri" w:hAnsi="Calibri" w:cs="Calibri"/>
                <w:sz w:val="22"/>
                <w:szCs w:val="22"/>
              </w:rPr>
              <w:t>7.092.038,41</w:t>
            </w:r>
          </w:p>
        </w:tc>
        <w:tc>
          <w:tcPr>
            <w:tcW w:w="877" w:type="dxa"/>
            <w:tcBorders>
              <w:top w:val="nil"/>
              <w:left w:val="nil"/>
              <w:bottom w:val="single" w:sz="4" w:space="0" w:color="auto"/>
              <w:right w:val="single" w:sz="4" w:space="0" w:color="auto"/>
            </w:tcBorders>
            <w:noWrap/>
            <w:vAlign w:val="bottom"/>
            <w:hideMark/>
          </w:tcPr>
          <w:p w14:paraId="41B1B52E"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90%</w:t>
            </w:r>
          </w:p>
        </w:tc>
        <w:tc>
          <w:tcPr>
            <w:tcW w:w="804" w:type="dxa"/>
            <w:tcBorders>
              <w:top w:val="nil"/>
              <w:left w:val="nil"/>
              <w:bottom w:val="single" w:sz="4" w:space="0" w:color="auto"/>
              <w:right w:val="single" w:sz="4" w:space="0" w:color="auto"/>
            </w:tcBorders>
            <w:noWrap/>
            <w:vAlign w:val="bottom"/>
            <w:hideMark/>
          </w:tcPr>
          <w:p w14:paraId="59807EE0"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 </w:t>
            </w:r>
          </w:p>
        </w:tc>
        <w:tc>
          <w:tcPr>
            <w:tcW w:w="222" w:type="dxa"/>
            <w:vAlign w:val="center"/>
            <w:hideMark/>
          </w:tcPr>
          <w:p w14:paraId="3190370F" w14:textId="77777777" w:rsidR="00DB0966" w:rsidRDefault="00DB0966">
            <w:pPr>
              <w:rPr>
                <w:sz w:val="20"/>
                <w:szCs w:val="20"/>
              </w:rPr>
            </w:pPr>
          </w:p>
        </w:tc>
      </w:tr>
      <w:tr w:rsidR="00DB0966" w14:paraId="0ACBCDE1" w14:textId="77777777" w:rsidTr="00DB0966">
        <w:trPr>
          <w:trHeight w:val="290"/>
          <w:jc w:val="center"/>
        </w:trPr>
        <w:tc>
          <w:tcPr>
            <w:tcW w:w="665" w:type="dxa"/>
            <w:tcBorders>
              <w:top w:val="nil"/>
              <w:left w:val="single" w:sz="4" w:space="0" w:color="auto"/>
              <w:bottom w:val="single" w:sz="4" w:space="0" w:color="auto"/>
              <w:right w:val="single" w:sz="4" w:space="0" w:color="auto"/>
            </w:tcBorders>
            <w:noWrap/>
            <w:vAlign w:val="bottom"/>
            <w:hideMark/>
          </w:tcPr>
          <w:p w14:paraId="18DE0F88"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3223</w:t>
            </w:r>
          </w:p>
        </w:tc>
        <w:tc>
          <w:tcPr>
            <w:tcW w:w="4433" w:type="dxa"/>
            <w:tcBorders>
              <w:top w:val="nil"/>
              <w:left w:val="nil"/>
              <w:bottom w:val="single" w:sz="4" w:space="0" w:color="auto"/>
              <w:right w:val="single" w:sz="4" w:space="0" w:color="auto"/>
            </w:tcBorders>
            <w:noWrap/>
            <w:vAlign w:val="bottom"/>
            <w:hideMark/>
          </w:tcPr>
          <w:p w14:paraId="1A06997E" w14:textId="77777777" w:rsidR="00DB0966" w:rsidRDefault="00DB0966">
            <w:pPr>
              <w:rPr>
                <w:rFonts w:ascii="Calibri" w:hAnsi="Calibri" w:cs="Calibri"/>
                <w:sz w:val="22"/>
                <w:szCs w:val="22"/>
              </w:rPr>
            </w:pPr>
            <w:r>
              <w:rPr>
                <w:rFonts w:ascii="Calibri" w:hAnsi="Calibri" w:cs="Calibri"/>
                <w:sz w:val="22"/>
                <w:szCs w:val="22"/>
              </w:rPr>
              <w:t>Energija</w:t>
            </w:r>
          </w:p>
        </w:tc>
        <w:tc>
          <w:tcPr>
            <w:tcW w:w="1506" w:type="dxa"/>
            <w:tcBorders>
              <w:top w:val="nil"/>
              <w:left w:val="nil"/>
              <w:bottom w:val="single" w:sz="4" w:space="0" w:color="auto"/>
              <w:right w:val="single" w:sz="4" w:space="0" w:color="auto"/>
            </w:tcBorders>
            <w:noWrap/>
            <w:vAlign w:val="bottom"/>
            <w:hideMark/>
          </w:tcPr>
          <w:p w14:paraId="0A3B3C63" w14:textId="77777777" w:rsidR="00DB0966" w:rsidRDefault="00DB0966">
            <w:pPr>
              <w:jc w:val="right"/>
              <w:rPr>
                <w:rFonts w:ascii="Calibri" w:hAnsi="Calibri" w:cs="Calibri"/>
                <w:sz w:val="22"/>
                <w:szCs w:val="22"/>
              </w:rPr>
            </w:pPr>
            <w:r>
              <w:rPr>
                <w:rFonts w:ascii="Calibri" w:hAnsi="Calibri" w:cs="Calibri"/>
                <w:sz w:val="22"/>
                <w:szCs w:val="22"/>
              </w:rPr>
              <w:t>567.091,22</w:t>
            </w:r>
          </w:p>
        </w:tc>
        <w:tc>
          <w:tcPr>
            <w:tcW w:w="1506" w:type="dxa"/>
            <w:tcBorders>
              <w:top w:val="nil"/>
              <w:left w:val="nil"/>
              <w:bottom w:val="single" w:sz="4" w:space="0" w:color="auto"/>
              <w:right w:val="single" w:sz="4" w:space="0" w:color="auto"/>
            </w:tcBorders>
            <w:shd w:val="clear" w:color="000000" w:fill="FFFFFF"/>
            <w:vAlign w:val="bottom"/>
            <w:hideMark/>
          </w:tcPr>
          <w:p w14:paraId="1D884BA1" w14:textId="77777777" w:rsidR="00DB0966" w:rsidRDefault="00DB0966">
            <w:pPr>
              <w:jc w:val="right"/>
              <w:rPr>
                <w:rFonts w:ascii="Calibri" w:hAnsi="Calibri" w:cs="Calibri"/>
                <w:sz w:val="20"/>
                <w:szCs w:val="20"/>
              </w:rPr>
            </w:pPr>
            <w:r>
              <w:rPr>
                <w:rFonts w:ascii="Calibri" w:hAnsi="Calibri" w:cs="Calibri"/>
                <w:sz w:val="20"/>
                <w:szCs w:val="20"/>
              </w:rPr>
              <w:t> </w:t>
            </w:r>
          </w:p>
        </w:tc>
        <w:tc>
          <w:tcPr>
            <w:tcW w:w="1506" w:type="dxa"/>
            <w:tcBorders>
              <w:top w:val="nil"/>
              <w:left w:val="nil"/>
              <w:bottom w:val="single" w:sz="4" w:space="0" w:color="auto"/>
              <w:right w:val="single" w:sz="4" w:space="0" w:color="auto"/>
            </w:tcBorders>
            <w:vAlign w:val="bottom"/>
            <w:hideMark/>
          </w:tcPr>
          <w:p w14:paraId="10CA12AB" w14:textId="77777777" w:rsidR="00DB0966" w:rsidRDefault="00DB0966">
            <w:pPr>
              <w:jc w:val="right"/>
              <w:rPr>
                <w:rFonts w:ascii="Calibri" w:hAnsi="Calibri" w:cs="Calibri"/>
                <w:sz w:val="22"/>
                <w:szCs w:val="22"/>
              </w:rPr>
            </w:pPr>
            <w:r>
              <w:rPr>
                <w:rFonts w:ascii="Calibri" w:hAnsi="Calibri" w:cs="Calibri"/>
                <w:sz w:val="22"/>
                <w:szCs w:val="22"/>
              </w:rPr>
              <w:t>559.908,86</w:t>
            </w:r>
          </w:p>
        </w:tc>
        <w:tc>
          <w:tcPr>
            <w:tcW w:w="877" w:type="dxa"/>
            <w:tcBorders>
              <w:top w:val="nil"/>
              <w:left w:val="nil"/>
              <w:bottom w:val="single" w:sz="4" w:space="0" w:color="auto"/>
              <w:right w:val="single" w:sz="4" w:space="0" w:color="auto"/>
            </w:tcBorders>
            <w:noWrap/>
            <w:vAlign w:val="bottom"/>
            <w:hideMark/>
          </w:tcPr>
          <w:p w14:paraId="333ADFEC"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99%</w:t>
            </w:r>
          </w:p>
        </w:tc>
        <w:tc>
          <w:tcPr>
            <w:tcW w:w="804" w:type="dxa"/>
            <w:tcBorders>
              <w:top w:val="nil"/>
              <w:left w:val="nil"/>
              <w:bottom w:val="single" w:sz="4" w:space="0" w:color="auto"/>
              <w:right w:val="single" w:sz="4" w:space="0" w:color="auto"/>
            </w:tcBorders>
            <w:noWrap/>
            <w:vAlign w:val="bottom"/>
            <w:hideMark/>
          </w:tcPr>
          <w:p w14:paraId="74AD243E"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 </w:t>
            </w:r>
          </w:p>
        </w:tc>
        <w:tc>
          <w:tcPr>
            <w:tcW w:w="222" w:type="dxa"/>
            <w:vAlign w:val="center"/>
            <w:hideMark/>
          </w:tcPr>
          <w:p w14:paraId="3154519D" w14:textId="77777777" w:rsidR="00DB0966" w:rsidRDefault="00DB0966">
            <w:pPr>
              <w:rPr>
                <w:sz w:val="20"/>
                <w:szCs w:val="20"/>
              </w:rPr>
            </w:pPr>
          </w:p>
        </w:tc>
      </w:tr>
      <w:tr w:rsidR="00DB0966" w14:paraId="1D1FB26C" w14:textId="77777777" w:rsidTr="00DB0966">
        <w:trPr>
          <w:trHeight w:val="290"/>
          <w:jc w:val="center"/>
        </w:trPr>
        <w:tc>
          <w:tcPr>
            <w:tcW w:w="665" w:type="dxa"/>
            <w:tcBorders>
              <w:top w:val="nil"/>
              <w:left w:val="single" w:sz="4" w:space="0" w:color="auto"/>
              <w:bottom w:val="single" w:sz="4" w:space="0" w:color="auto"/>
              <w:right w:val="single" w:sz="4" w:space="0" w:color="auto"/>
            </w:tcBorders>
            <w:noWrap/>
            <w:vAlign w:val="bottom"/>
            <w:hideMark/>
          </w:tcPr>
          <w:p w14:paraId="47A5DC0C"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3224</w:t>
            </w:r>
          </w:p>
        </w:tc>
        <w:tc>
          <w:tcPr>
            <w:tcW w:w="4433" w:type="dxa"/>
            <w:tcBorders>
              <w:top w:val="nil"/>
              <w:left w:val="nil"/>
              <w:bottom w:val="single" w:sz="4" w:space="0" w:color="auto"/>
              <w:right w:val="single" w:sz="4" w:space="0" w:color="auto"/>
            </w:tcBorders>
            <w:noWrap/>
            <w:vAlign w:val="bottom"/>
            <w:hideMark/>
          </w:tcPr>
          <w:p w14:paraId="40F791C0" w14:textId="6794E3DF" w:rsidR="00DB0966" w:rsidRDefault="00DB0966">
            <w:pPr>
              <w:rPr>
                <w:rFonts w:ascii="Calibri" w:hAnsi="Calibri" w:cs="Calibri"/>
                <w:color w:val="000000"/>
                <w:sz w:val="22"/>
                <w:szCs w:val="22"/>
              </w:rPr>
            </w:pPr>
            <w:r>
              <w:rPr>
                <w:rFonts w:ascii="Calibri" w:hAnsi="Calibri" w:cs="Calibri"/>
                <w:color w:val="000000"/>
                <w:sz w:val="22"/>
                <w:szCs w:val="22"/>
              </w:rPr>
              <w:t xml:space="preserve">Materijal i dijelovi za tekuće i </w:t>
            </w:r>
            <w:proofErr w:type="spellStart"/>
            <w:r>
              <w:rPr>
                <w:rFonts w:ascii="Calibri" w:hAnsi="Calibri" w:cs="Calibri"/>
                <w:color w:val="000000"/>
                <w:sz w:val="22"/>
                <w:szCs w:val="22"/>
              </w:rPr>
              <w:t>invest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održ</w:t>
            </w:r>
            <w:proofErr w:type="spellEnd"/>
            <w:r>
              <w:rPr>
                <w:rFonts w:ascii="Calibri" w:hAnsi="Calibri" w:cs="Calibri"/>
                <w:color w:val="000000"/>
                <w:sz w:val="22"/>
                <w:szCs w:val="22"/>
              </w:rPr>
              <w:t>.</w:t>
            </w:r>
          </w:p>
        </w:tc>
        <w:tc>
          <w:tcPr>
            <w:tcW w:w="1506" w:type="dxa"/>
            <w:tcBorders>
              <w:top w:val="nil"/>
              <w:left w:val="nil"/>
              <w:bottom w:val="single" w:sz="4" w:space="0" w:color="auto"/>
              <w:right w:val="single" w:sz="4" w:space="0" w:color="auto"/>
            </w:tcBorders>
            <w:noWrap/>
            <w:vAlign w:val="bottom"/>
            <w:hideMark/>
          </w:tcPr>
          <w:p w14:paraId="749F40F9" w14:textId="77777777" w:rsidR="00DB0966" w:rsidRDefault="00DB0966">
            <w:pPr>
              <w:jc w:val="right"/>
              <w:rPr>
                <w:rFonts w:ascii="Calibri" w:hAnsi="Calibri" w:cs="Calibri"/>
                <w:color w:val="000000"/>
                <w:sz w:val="22"/>
                <w:szCs w:val="22"/>
              </w:rPr>
            </w:pPr>
            <w:r>
              <w:rPr>
                <w:rFonts w:ascii="Calibri" w:hAnsi="Calibri" w:cs="Calibri"/>
                <w:color w:val="000000"/>
                <w:sz w:val="22"/>
                <w:szCs w:val="22"/>
              </w:rPr>
              <w:t>51.030,17</w:t>
            </w:r>
          </w:p>
        </w:tc>
        <w:tc>
          <w:tcPr>
            <w:tcW w:w="1506" w:type="dxa"/>
            <w:tcBorders>
              <w:top w:val="nil"/>
              <w:left w:val="nil"/>
              <w:bottom w:val="single" w:sz="4" w:space="0" w:color="auto"/>
              <w:right w:val="single" w:sz="4" w:space="0" w:color="auto"/>
            </w:tcBorders>
            <w:shd w:val="clear" w:color="000000" w:fill="FFFFFF"/>
            <w:vAlign w:val="bottom"/>
            <w:hideMark/>
          </w:tcPr>
          <w:p w14:paraId="1C8C8293" w14:textId="77777777" w:rsidR="00DB0966" w:rsidRDefault="00DB0966">
            <w:pPr>
              <w:jc w:val="right"/>
              <w:rPr>
                <w:rFonts w:ascii="Calibri" w:hAnsi="Calibri" w:cs="Calibri"/>
                <w:sz w:val="20"/>
                <w:szCs w:val="20"/>
              </w:rPr>
            </w:pPr>
            <w:r>
              <w:rPr>
                <w:rFonts w:ascii="Calibri" w:hAnsi="Calibri" w:cs="Calibri"/>
                <w:sz w:val="20"/>
                <w:szCs w:val="20"/>
              </w:rPr>
              <w:t> </w:t>
            </w:r>
          </w:p>
        </w:tc>
        <w:tc>
          <w:tcPr>
            <w:tcW w:w="1506" w:type="dxa"/>
            <w:tcBorders>
              <w:top w:val="nil"/>
              <w:left w:val="nil"/>
              <w:bottom w:val="single" w:sz="4" w:space="0" w:color="auto"/>
              <w:right w:val="single" w:sz="4" w:space="0" w:color="auto"/>
            </w:tcBorders>
            <w:vAlign w:val="bottom"/>
            <w:hideMark/>
          </w:tcPr>
          <w:p w14:paraId="557A0D74" w14:textId="77777777" w:rsidR="00DB0966" w:rsidRDefault="00DB0966">
            <w:pPr>
              <w:jc w:val="right"/>
              <w:rPr>
                <w:rFonts w:ascii="Calibri" w:hAnsi="Calibri" w:cs="Calibri"/>
                <w:sz w:val="22"/>
                <w:szCs w:val="22"/>
              </w:rPr>
            </w:pPr>
            <w:r>
              <w:rPr>
                <w:rFonts w:ascii="Calibri" w:hAnsi="Calibri" w:cs="Calibri"/>
                <w:sz w:val="22"/>
                <w:szCs w:val="22"/>
              </w:rPr>
              <w:t>50.814,91</w:t>
            </w:r>
          </w:p>
        </w:tc>
        <w:tc>
          <w:tcPr>
            <w:tcW w:w="877" w:type="dxa"/>
            <w:tcBorders>
              <w:top w:val="nil"/>
              <w:left w:val="nil"/>
              <w:bottom w:val="single" w:sz="4" w:space="0" w:color="auto"/>
              <w:right w:val="single" w:sz="4" w:space="0" w:color="auto"/>
            </w:tcBorders>
            <w:noWrap/>
            <w:vAlign w:val="bottom"/>
            <w:hideMark/>
          </w:tcPr>
          <w:p w14:paraId="466302FE"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100%</w:t>
            </w:r>
          </w:p>
        </w:tc>
        <w:tc>
          <w:tcPr>
            <w:tcW w:w="804" w:type="dxa"/>
            <w:tcBorders>
              <w:top w:val="nil"/>
              <w:left w:val="nil"/>
              <w:bottom w:val="single" w:sz="4" w:space="0" w:color="auto"/>
              <w:right w:val="single" w:sz="4" w:space="0" w:color="auto"/>
            </w:tcBorders>
            <w:noWrap/>
            <w:vAlign w:val="bottom"/>
            <w:hideMark/>
          </w:tcPr>
          <w:p w14:paraId="5F769AAB"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 </w:t>
            </w:r>
          </w:p>
        </w:tc>
        <w:tc>
          <w:tcPr>
            <w:tcW w:w="222" w:type="dxa"/>
            <w:vAlign w:val="center"/>
            <w:hideMark/>
          </w:tcPr>
          <w:p w14:paraId="64188E80" w14:textId="77777777" w:rsidR="00DB0966" w:rsidRDefault="00DB0966">
            <w:pPr>
              <w:rPr>
                <w:sz w:val="20"/>
                <w:szCs w:val="20"/>
              </w:rPr>
            </w:pPr>
          </w:p>
        </w:tc>
      </w:tr>
      <w:tr w:rsidR="00DB0966" w14:paraId="24A95C91" w14:textId="77777777" w:rsidTr="00DB0966">
        <w:trPr>
          <w:trHeight w:val="290"/>
          <w:jc w:val="center"/>
        </w:trPr>
        <w:tc>
          <w:tcPr>
            <w:tcW w:w="665" w:type="dxa"/>
            <w:tcBorders>
              <w:top w:val="nil"/>
              <w:left w:val="single" w:sz="4" w:space="0" w:color="auto"/>
              <w:bottom w:val="single" w:sz="4" w:space="0" w:color="auto"/>
              <w:right w:val="single" w:sz="4" w:space="0" w:color="auto"/>
            </w:tcBorders>
            <w:noWrap/>
            <w:vAlign w:val="bottom"/>
            <w:hideMark/>
          </w:tcPr>
          <w:p w14:paraId="640C9E9E"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3225</w:t>
            </w:r>
          </w:p>
        </w:tc>
        <w:tc>
          <w:tcPr>
            <w:tcW w:w="4433" w:type="dxa"/>
            <w:tcBorders>
              <w:top w:val="nil"/>
              <w:left w:val="nil"/>
              <w:bottom w:val="single" w:sz="4" w:space="0" w:color="auto"/>
              <w:right w:val="single" w:sz="4" w:space="0" w:color="auto"/>
            </w:tcBorders>
            <w:noWrap/>
            <w:vAlign w:val="bottom"/>
            <w:hideMark/>
          </w:tcPr>
          <w:p w14:paraId="532DF4E1" w14:textId="77777777" w:rsidR="00DB0966" w:rsidRDefault="00DB0966">
            <w:pPr>
              <w:rPr>
                <w:rFonts w:ascii="Calibri" w:hAnsi="Calibri" w:cs="Calibri"/>
                <w:sz w:val="22"/>
                <w:szCs w:val="22"/>
              </w:rPr>
            </w:pPr>
            <w:r>
              <w:rPr>
                <w:rFonts w:ascii="Calibri" w:hAnsi="Calibri" w:cs="Calibri"/>
                <w:sz w:val="22"/>
                <w:szCs w:val="22"/>
              </w:rPr>
              <w:t>Sitni inventar i auto gume</w:t>
            </w:r>
          </w:p>
        </w:tc>
        <w:tc>
          <w:tcPr>
            <w:tcW w:w="1506" w:type="dxa"/>
            <w:tcBorders>
              <w:top w:val="nil"/>
              <w:left w:val="nil"/>
              <w:bottom w:val="single" w:sz="4" w:space="0" w:color="auto"/>
              <w:right w:val="single" w:sz="4" w:space="0" w:color="auto"/>
            </w:tcBorders>
            <w:noWrap/>
            <w:vAlign w:val="bottom"/>
            <w:hideMark/>
          </w:tcPr>
          <w:p w14:paraId="251841A5" w14:textId="77777777" w:rsidR="00DB0966" w:rsidRDefault="00DB0966">
            <w:pPr>
              <w:jc w:val="right"/>
              <w:rPr>
                <w:rFonts w:ascii="Calibri" w:hAnsi="Calibri" w:cs="Calibri"/>
                <w:sz w:val="22"/>
                <w:szCs w:val="22"/>
              </w:rPr>
            </w:pPr>
            <w:r>
              <w:rPr>
                <w:rFonts w:ascii="Calibri" w:hAnsi="Calibri" w:cs="Calibri"/>
                <w:sz w:val="22"/>
                <w:szCs w:val="22"/>
              </w:rPr>
              <w:t>44.031,11</w:t>
            </w:r>
          </w:p>
        </w:tc>
        <w:tc>
          <w:tcPr>
            <w:tcW w:w="1506" w:type="dxa"/>
            <w:tcBorders>
              <w:top w:val="nil"/>
              <w:left w:val="nil"/>
              <w:bottom w:val="single" w:sz="4" w:space="0" w:color="auto"/>
              <w:right w:val="single" w:sz="4" w:space="0" w:color="auto"/>
            </w:tcBorders>
            <w:shd w:val="clear" w:color="000000" w:fill="FFFFFF"/>
            <w:vAlign w:val="bottom"/>
            <w:hideMark/>
          </w:tcPr>
          <w:p w14:paraId="2E9B0B9E" w14:textId="77777777" w:rsidR="00DB0966" w:rsidRDefault="00DB0966">
            <w:pPr>
              <w:jc w:val="right"/>
              <w:rPr>
                <w:rFonts w:ascii="Calibri" w:hAnsi="Calibri" w:cs="Calibri"/>
                <w:sz w:val="20"/>
                <w:szCs w:val="20"/>
              </w:rPr>
            </w:pPr>
            <w:r>
              <w:rPr>
                <w:rFonts w:ascii="Calibri" w:hAnsi="Calibri" w:cs="Calibri"/>
                <w:sz w:val="20"/>
                <w:szCs w:val="20"/>
              </w:rPr>
              <w:t> </w:t>
            </w:r>
          </w:p>
        </w:tc>
        <w:tc>
          <w:tcPr>
            <w:tcW w:w="1506" w:type="dxa"/>
            <w:tcBorders>
              <w:top w:val="nil"/>
              <w:left w:val="nil"/>
              <w:bottom w:val="single" w:sz="4" w:space="0" w:color="auto"/>
              <w:right w:val="single" w:sz="4" w:space="0" w:color="auto"/>
            </w:tcBorders>
            <w:vAlign w:val="bottom"/>
            <w:hideMark/>
          </w:tcPr>
          <w:p w14:paraId="0D197A7A" w14:textId="77777777" w:rsidR="00DB0966" w:rsidRDefault="00DB0966">
            <w:pPr>
              <w:jc w:val="right"/>
              <w:rPr>
                <w:rFonts w:ascii="Calibri" w:hAnsi="Calibri" w:cs="Calibri"/>
                <w:sz w:val="22"/>
                <w:szCs w:val="22"/>
              </w:rPr>
            </w:pPr>
            <w:r>
              <w:rPr>
                <w:rFonts w:ascii="Calibri" w:hAnsi="Calibri" w:cs="Calibri"/>
                <w:sz w:val="22"/>
                <w:szCs w:val="22"/>
              </w:rPr>
              <w:t>47.872,07</w:t>
            </w:r>
          </w:p>
        </w:tc>
        <w:tc>
          <w:tcPr>
            <w:tcW w:w="877" w:type="dxa"/>
            <w:tcBorders>
              <w:top w:val="nil"/>
              <w:left w:val="nil"/>
              <w:bottom w:val="single" w:sz="4" w:space="0" w:color="auto"/>
              <w:right w:val="single" w:sz="4" w:space="0" w:color="auto"/>
            </w:tcBorders>
            <w:noWrap/>
            <w:vAlign w:val="bottom"/>
            <w:hideMark/>
          </w:tcPr>
          <w:p w14:paraId="257C5823"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109%</w:t>
            </w:r>
          </w:p>
        </w:tc>
        <w:tc>
          <w:tcPr>
            <w:tcW w:w="804" w:type="dxa"/>
            <w:tcBorders>
              <w:top w:val="nil"/>
              <w:left w:val="nil"/>
              <w:bottom w:val="single" w:sz="4" w:space="0" w:color="auto"/>
              <w:right w:val="single" w:sz="4" w:space="0" w:color="auto"/>
            </w:tcBorders>
            <w:noWrap/>
            <w:vAlign w:val="bottom"/>
            <w:hideMark/>
          </w:tcPr>
          <w:p w14:paraId="2E4E0AF0"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 </w:t>
            </w:r>
          </w:p>
        </w:tc>
        <w:tc>
          <w:tcPr>
            <w:tcW w:w="222" w:type="dxa"/>
            <w:vAlign w:val="center"/>
            <w:hideMark/>
          </w:tcPr>
          <w:p w14:paraId="030652F6" w14:textId="77777777" w:rsidR="00DB0966" w:rsidRDefault="00DB0966">
            <w:pPr>
              <w:rPr>
                <w:sz w:val="20"/>
                <w:szCs w:val="20"/>
              </w:rPr>
            </w:pPr>
          </w:p>
        </w:tc>
      </w:tr>
      <w:tr w:rsidR="00DB0966" w14:paraId="0093AE7A" w14:textId="77777777" w:rsidTr="00DB0966">
        <w:trPr>
          <w:trHeight w:val="290"/>
          <w:jc w:val="center"/>
        </w:trPr>
        <w:tc>
          <w:tcPr>
            <w:tcW w:w="665" w:type="dxa"/>
            <w:tcBorders>
              <w:top w:val="nil"/>
              <w:left w:val="single" w:sz="4" w:space="0" w:color="auto"/>
              <w:bottom w:val="single" w:sz="4" w:space="0" w:color="auto"/>
              <w:right w:val="single" w:sz="4" w:space="0" w:color="auto"/>
            </w:tcBorders>
            <w:noWrap/>
            <w:vAlign w:val="bottom"/>
            <w:hideMark/>
          </w:tcPr>
          <w:p w14:paraId="1050FF2C"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3227</w:t>
            </w:r>
          </w:p>
        </w:tc>
        <w:tc>
          <w:tcPr>
            <w:tcW w:w="4433" w:type="dxa"/>
            <w:tcBorders>
              <w:top w:val="nil"/>
              <w:left w:val="nil"/>
              <w:bottom w:val="single" w:sz="4" w:space="0" w:color="auto"/>
              <w:right w:val="single" w:sz="4" w:space="0" w:color="auto"/>
            </w:tcBorders>
            <w:noWrap/>
            <w:vAlign w:val="bottom"/>
            <w:hideMark/>
          </w:tcPr>
          <w:p w14:paraId="0E59F2F6" w14:textId="77777777" w:rsidR="00DB0966" w:rsidRDefault="00DB0966">
            <w:pPr>
              <w:rPr>
                <w:rFonts w:ascii="Calibri" w:hAnsi="Calibri" w:cs="Calibri"/>
                <w:color w:val="000000"/>
                <w:sz w:val="22"/>
                <w:szCs w:val="22"/>
              </w:rPr>
            </w:pPr>
            <w:r>
              <w:rPr>
                <w:rFonts w:ascii="Calibri" w:hAnsi="Calibri" w:cs="Calibri"/>
                <w:color w:val="000000"/>
                <w:sz w:val="22"/>
                <w:szCs w:val="22"/>
              </w:rPr>
              <w:t xml:space="preserve">Službena, radna i zaštitna odjeća i obuća </w:t>
            </w:r>
          </w:p>
        </w:tc>
        <w:tc>
          <w:tcPr>
            <w:tcW w:w="1506" w:type="dxa"/>
            <w:tcBorders>
              <w:top w:val="nil"/>
              <w:left w:val="nil"/>
              <w:bottom w:val="single" w:sz="4" w:space="0" w:color="auto"/>
              <w:right w:val="single" w:sz="4" w:space="0" w:color="auto"/>
            </w:tcBorders>
            <w:noWrap/>
            <w:vAlign w:val="bottom"/>
            <w:hideMark/>
          </w:tcPr>
          <w:p w14:paraId="2BCA6EC8" w14:textId="77777777" w:rsidR="00DB0966" w:rsidRDefault="00DB0966">
            <w:pPr>
              <w:jc w:val="right"/>
              <w:rPr>
                <w:rFonts w:ascii="Calibri" w:hAnsi="Calibri" w:cs="Calibri"/>
                <w:color w:val="000000"/>
                <w:sz w:val="22"/>
                <w:szCs w:val="22"/>
              </w:rPr>
            </w:pPr>
            <w:r>
              <w:rPr>
                <w:rFonts w:ascii="Calibri" w:hAnsi="Calibri" w:cs="Calibri"/>
                <w:color w:val="000000"/>
                <w:sz w:val="22"/>
                <w:szCs w:val="22"/>
              </w:rPr>
              <w:t>22.892,43</w:t>
            </w:r>
          </w:p>
        </w:tc>
        <w:tc>
          <w:tcPr>
            <w:tcW w:w="1506" w:type="dxa"/>
            <w:tcBorders>
              <w:top w:val="nil"/>
              <w:left w:val="nil"/>
              <w:bottom w:val="single" w:sz="4" w:space="0" w:color="auto"/>
              <w:right w:val="single" w:sz="4" w:space="0" w:color="auto"/>
            </w:tcBorders>
            <w:shd w:val="clear" w:color="000000" w:fill="FFFFFF"/>
            <w:vAlign w:val="bottom"/>
            <w:hideMark/>
          </w:tcPr>
          <w:p w14:paraId="1008B6F7" w14:textId="77777777" w:rsidR="00DB0966" w:rsidRDefault="00DB0966">
            <w:pPr>
              <w:jc w:val="right"/>
              <w:rPr>
                <w:rFonts w:ascii="Calibri" w:hAnsi="Calibri" w:cs="Calibri"/>
                <w:sz w:val="20"/>
                <w:szCs w:val="20"/>
              </w:rPr>
            </w:pPr>
            <w:r>
              <w:rPr>
                <w:rFonts w:ascii="Calibri" w:hAnsi="Calibri" w:cs="Calibri"/>
                <w:sz w:val="20"/>
                <w:szCs w:val="20"/>
              </w:rPr>
              <w:t> </w:t>
            </w:r>
          </w:p>
        </w:tc>
        <w:tc>
          <w:tcPr>
            <w:tcW w:w="1506" w:type="dxa"/>
            <w:tcBorders>
              <w:top w:val="nil"/>
              <w:left w:val="nil"/>
              <w:bottom w:val="single" w:sz="4" w:space="0" w:color="auto"/>
              <w:right w:val="single" w:sz="4" w:space="0" w:color="auto"/>
            </w:tcBorders>
            <w:vAlign w:val="bottom"/>
            <w:hideMark/>
          </w:tcPr>
          <w:p w14:paraId="395FE012" w14:textId="77777777" w:rsidR="00DB0966" w:rsidRDefault="00DB0966">
            <w:pPr>
              <w:jc w:val="right"/>
              <w:rPr>
                <w:rFonts w:ascii="Calibri" w:hAnsi="Calibri" w:cs="Calibri"/>
                <w:sz w:val="22"/>
                <w:szCs w:val="22"/>
              </w:rPr>
            </w:pPr>
            <w:r>
              <w:rPr>
                <w:rFonts w:ascii="Calibri" w:hAnsi="Calibri" w:cs="Calibri"/>
                <w:sz w:val="22"/>
                <w:szCs w:val="22"/>
              </w:rPr>
              <w:t>7.271,12</w:t>
            </w:r>
          </w:p>
        </w:tc>
        <w:tc>
          <w:tcPr>
            <w:tcW w:w="877" w:type="dxa"/>
            <w:tcBorders>
              <w:top w:val="nil"/>
              <w:left w:val="nil"/>
              <w:bottom w:val="single" w:sz="4" w:space="0" w:color="auto"/>
              <w:right w:val="single" w:sz="4" w:space="0" w:color="auto"/>
            </w:tcBorders>
            <w:noWrap/>
            <w:vAlign w:val="bottom"/>
            <w:hideMark/>
          </w:tcPr>
          <w:p w14:paraId="2E23F12D"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32%</w:t>
            </w:r>
          </w:p>
        </w:tc>
        <w:tc>
          <w:tcPr>
            <w:tcW w:w="804" w:type="dxa"/>
            <w:tcBorders>
              <w:top w:val="nil"/>
              <w:left w:val="nil"/>
              <w:bottom w:val="single" w:sz="4" w:space="0" w:color="auto"/>
              <w:right w:val="single" w:sz="4" w:space="0" w:color="auto"/>
            </w:tcBorders>
            <w:noWrap/>
            <w:vAlign w:val="bottom"/>
            <w:hideMark/>
          </w:tcPr>
          <w:p w14:paraId="33E80EA2"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 </w:t>
            </w:r>
          </w:p>
        </w:tc>
        <w:tc>
          <w:tcPr>
            <w:tcW w:w="222" w:type="dxa"/>
            <w:vAlign w:val="center"/>
            <w:hideMark/>
          </w:tcPr>
          <w:p w14:paraId="68863B09" w14:textId="77777777" w:rsidR="00DB0966" w:rsidRDefault="00DB0966">
            <w:pPr>
              <w:rPr>
                <w:sz w:val="20"/>
                <w:szCs w:val="20"/>
              </w:rPr>
            </w:pPr>
          </w:p>
        </w:tc>
      </w:tr>
      <w:tr w:rsidR="00DB0966" w14:paraId="12BABE6D" w14:textId="77777777" w:rsidTr="00DB0966">
        <w:trPr>
          <w:trHeight w:val="290"/>
          <w:jc w:val="center"/>
        </w:trPr>
        <w:tc>
          <w:tcPr>
            <w:tcW w:w="665" w:type="dxa"/>
            <w:tcBorders>
              <w:top w:val="nil"/>
              <w:left w:val="single" w:sz="4" w:space="0" w:color="auto"/>
              <w:bottom w:val="single" w:sz="4" w:space="0" w:color="auto"/>
              <w:right w:val="single" w:sz="4" w:space="0" w:color="auto"/>
            </w:tcBorders>
            <w:noWrap/>
            <w:vAlign w:val="bottom"/>
            <w:hideMark/>
          </w:tcPr>
          <w:p w14:paraId="3C992881" w14:textId="77777777" w:rsidR="00DB0966" w:rsidRDefault="00DB0966">
            <w:pPr>
              <w:jc w:val="center"/>
              <w:rPr>
                <w:rFonts w:ascii="Calibri" w:hAnsi="Calibri" w:cs="Calibri"/>
                <w:b/>
                <w:bCs/>
                <w:sz w:val="22"/>
                <w:szCs w:val="22"/>
              </w:rPr>
            </w:pPr>
            <w:r>
              <w:rPr>
                <w:rFonts w:ascii="Calibri" w:hAnsi="Calibri" w:cs="Calibri"/>
                <w:b/>
                <w:bCs/>
                <w:sz w:val="22"/>
                <w:szCs w:val="22"/>
              </w:rPr>
              <w:t>323</w:t>
            </w:r>
          </w:p>
        </w:tc>
        <w:tc>
          <w:tcPr>
            <w:tcW w:w="4433" w:type="dxa"/>
            <w:tcBorders>
              <w:top w:val="nil"/>
              <w:left w:val="nil"/>
              <w:bottom w:val="single" w:sz="4" w:space="0" w:color="auto"/>
              <w:right w:val="single" w:sz="4" w:space="0" w:color="auto"/>
            </w:tcBorders>
            <w:vAlign w:val="bottom"/>
            <w:hideMark/>
          </w:tcPr>
          <w:p w14:paraId="5AB3C0D1" w14:textId="77777777" w:rsidR="00DB0966" w:rsidRDefault="00DB0966">
            <w:pPr>
              <w:rPr>
                <w:rFonts w:ascii="Calibri" w:hAnsi="Calibri" w:cs="Calibri"/>
                <w:b/>
                <w:bCs/>
                <w:sz w:val="22"/>
                <w:szCs w:val="22"/>
              </w:rPr>
            </w:pPr>
            <w:r>
              <w:rPr>
                <w:rFonts w:ascii="Calibri" w:hAnsi="Calibri" w:cs="Calibri"/>
                <w:b/>
                <w:bCs/>
                <w:sz w:val="22"/>
                <w:szCs w:val="22"/>
              </w:rPr>
              <w:t>Rashodi za usluge</w:t>
            </w:r>
          </w:p>
        </w:tc>
        <w:tc>
          <w:tcPr>
            <w:tcW w:w="1506" w:type="dxa"/>
            <w:tcBorders>
              <w:top w:val="nil"/>
              <w:left w:val="nil"/>
              <w:bottom w:val="single" w:sz="4" w:space="0" w:color="auto"/>
              <w:right w:val="single" w:sz="4" w:space="0" w:color="auto"/>
            </w:tcBorders>
            <w:noWrap/>
            <w:vAlign w:val="bottom"/>
            <w:hideMark/>
          </w:tcPr>
          <w:p w14:paraId="3CF90311" w14:textId="77777777" w:rsidR="00DB0966" w:rsidRDefault="00DB0966">
            <w:pPr>
              <w:jc w:val="right"/>
              <w:rPr>
                <w:rFonts w:ascii="Calibri" w:hAnsi="Calibri" w:cs="Calibri"/>
                <w:b/>
                <w:bCs/>
                <w:sz w:val="22"/>
                <w:szCs w:val="22"/>
              </w:rPr>
            </w:pPr>
            <w:r>
              <w:rPr>
                <w:rFonts w:ascii="Calibri" w:hAnsi="Calibri" w:cs="Calibri"/>
                <w:b/>
                <w:bCs/>
                <w:sz w:val="22"/>
                <w:szCs w:val="22"/>
              </w:rPr>
              <w:t>3.106.650,70</w:t>
            </w:r>
          </w:p>
        </w:tc>
        <w:tc>
          <w:tcPr>
            <w:tcW w:w="1506" w:type="dxa"/>
            <w:tcBorders>
              <w:top w:val="nil"/>
              <w:left w:val="nil"/>
              <w:bottom w:val="single" w:sz="4" w:space="0" w:color="auto"/>
              <w:right w:val="single" w:sz="4" w:space="0" w:color="auto"/>
            </w:tcBorders>
            <w:noWrap/>
            <w:vAlign w:val="bottom"/>
            <w:hideMark/>
          </w:tcPr>
          <w:p w14:paraId="37F787A8" w14:textId="77777777" w:rsidR="00DB0966" w:rsidRDefault="00DB0966">
            <w:pPr>
              <w:jc w:val="right"/>
              <w:rPr>
                <w:rFonts w:ascii="Calibri" w:hAnsi="Calibri" w:cs="Calibri"/>
                <w:b/>
                <w:bCs/>
                <w:sz w:val="22"/>
                <w:szCs w:val="22"/>
              </w:rPr>
            </w:pPr>
            <w:r>
              <w:rPr>
                <w:rFonts w:ascii="Calibri" w:hAnsi="Calibri" w:cs="Calibri"/>
                <w:b/>
                <w:bCs/>
                <w:sz w:val="22"/>
                <w:szCs w:val="22"/>
              </w:rPr>
              <w:t> </w:t>
            </w:r>
          </w:p>
        </w:tc>
        <w:tc>
          <w:tcPr>
            <w:tcW w:w="1506" w:type="dxa"/>
            <w:tcBorders>
              <w:top w:val="nil"/>
              <w:left w:val="nil"/>
              <w:bottom w:val="single" w:sz="4" w:space="0" w:color="auto"/>
              <w:right w:val="single" w:sz="4" w:space="0" w:color="auto"/>
            </w:tcBorders>
            <w:noWrap/>
            <w:vAlign w:val="bottom"/>
            <w:hideMark/>
          </w:tcPr>
          <w:p w14:paraId="2E1C01C3" w14:textId="77777777" w:rsidR="00DB0966" w:rsidRDefault="00DB0966">
            <w:pPr>
              <w:jc w:val="right"/>
              <w:rPr>
                <w:rFonts w:ascii="Calibri" w:hAnsi="Calibri" w:cs="Calibri"/>
                <w:b/>
                <w:bCs/>
                <w:sz w:val="22"/>
                <w:szCs w:val="22"/>
              </w:rPr>
            </w:pPr>
            <w:r>
              <w:rPr>
                <w:rFonts w:ascii="Calibri" w:hAnsi="Calibri" w:cs="Calibri"/>
                <w:b/>
                <w:bCs/>
                <w:sz w:val="22"/>
                <w:szCs w:val="22"/>
              </w:rPr>
              <w:t>3.064.958,88</w:t>
            </w:r>
          </w:p>
        </w:tc>
        <w:tc>
          <w:tcPr>
            <w:tcW w:w="877" w:type="dxa"/>
            <w:tcBorders>
              <w:top w:val="nil"/>
              <w:left w:val="nil"/>
              <w:bottom w:val="single" w:sz="4" w:space="0" w:color="auto"/>
              <w:right w:val="single" w:sz="4" w:space="0" w:color="auto"/>
            </w:tcBorders>
            <w:noWrap/>
            <w:vAlign w:val="bottom"/>
            <w:hideMark/>
          </w:tcPr>
          <w:p w14:paraId="037C657E" w14:textId="77777777" w:rsidR="00DB0966" w:rsidRDefault="00DB0966">
            <w:pPr>
              <w:jc w:val="center"/>
              <w:rPr>
                <w:rFonts w:ascii="Calibri" w:hAnsi="Calibri" w:cs="Calibri"/>
                <w:b/>
                <w:bCs/>
                <w:color w:val="000000"/>
                <w:sz w:val="22"/>
                <w:szCs w:val="22"/>
              </w:rPr>
            </w:pPr>
            <w:r>
              <w:rPr>
                <w:rFonts w:ascii="Calibri" w:hAnsi="Calibri" w:cs="Calibri"/>
                <w:b/>
                <w:bCs/>
                <w:color w:val="000000"/>
                <w:sz w:val="22"/>
                <w:szCs w:val="22"/>
              </w:rPr>
              <w:t>99%</w:t>
            </w:r>
          </w:p>
        </w:tc>
        <w:tc>
          <w:tcPr>
            <w:tcW w:w="804" w:type="dxa"/>
            <w:tcBorders>
              <w:top w:val="nil"/>
              <w:left w:val="nil"/>
              <w:bottom w:val="single" w:sz="4" w:space="0" w:color="auto"/>
              <w:right w:val="single" w:sz="4" w:space="0" w:color="auto"/>
            </w:tcBorders>
            <w:noWrap/>
            <w:vAlign w:val="bottom"/>
            <w:hideMark/>
          </w:tcPr>
          <w:p w14:paraId="564E4978" w14:textId="77777777" w:rsidR="00DB0966" w:rsidRDefault="00DB0966">
            <w:pPr>
              <w:jc w:val="center"/>
              <w:rPr>
                <w:rFonts w:ascii="Calibri" w:hAnsi="Calibri" w:cs="Calibri"/>
                <w:b/>
                <w:bCs/>
                <w:color w:val="000000"/>
                <w:sz w:val="22"/>
                <w:szCs w:val="22"/>
              </w:rPr>
            </w:pPr>
            <w:r>
              <w:rPr>
                <w:rFonts w:ascii="Calibri" w:hAnsi="Calibri" w:cs="Calibri"/>
                <w:b/>
                <w:bCs/>
                <w:color w:val="000000"/>
                <w:sz w:val="22"/>
                <w:szCs w:val="22"/>
              </w:rPr>
              <w:t> </w:t>
            </w:r>
          </w:p>
        </w:tc>
        <w:tc>
          <w:tcPr>
            <w:tcW w:w="222" w:type="dxa"/>
            <w:vAlign w:val="center"/>
            <w:hideMark/>
          </w:tcPr>
          <w:p w14:paraId="1465715D" w14:textId="77777777" w:rsidR="00DB0966" w:rsidRDefault="00DB0966">
            <w:pPr>
              <w:rPr>
                <w:sz w:val="20"/>
                <w:szCs w:val="20"/>
              </w:rPr>
            </w:pPr>
          </w:p>
        </w:tc>
      </w:tr>
      <w:tr w:rsidR="00DB0966" w14:paraId="5555233E" w14:textId="77777777" w:rsidTr="00DB0966">
        <w:trPr>
          <w:trHeight w:val="290"/>
          <w:jc w:val="center"/>
        </w:trPr>
        <w:tc>
          <w:tcPr>
            <w:tcW w:w="665" w:type="dxa"/>
            <w:tcBorders>
              <w:top w:val="nil"/>
              <w:left w:val="single" w:sz="4" w:space="0" w:color="auto"/>
              <w:bottom w:val="single" w:sz="4" w:space="0" w:color="auto"/>
              <w:right w:val="single" w:sz="4" w:space="0" w:color="auto"/>
            </w:tcBorders>
            <w:noWrap/>
            <w:vAlign w:val="bottom"/>
            <w:hideMark/>
          </w:tcPr>
          <w:p w14:paraId="21281392"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3231</w:t>
            </w:r>
          </w:p>
        </w:tc>
        <w:tc>
          <w:tcPr>
            <w:tcW w:w="4433" w:type="dxa"/>
            <w:tcBorders>
              <w:top w:val="nil"/>
              <w:left w:val="nil"/>
              <w:bottom w:val="single" w:sz="4" w:space="0" w:color="auto"/>
              <w:right w:val="single" w:sz="4" w:space="0" w:color="auto"/>
            </w:tcBorders>
            <w:noWrap/>
            <w:vAlign w:val="bottom"/>
            <w:hideMark/>
          </w:tcPr>
          <w:p w14:paraId="198395D1" w14:textId="77777777" w:rsidR="00DB0966" w:rsidRDefault="00DB0966">
            <w:pPr>
              <w:rPr>
                <w:rFonts w:ascii="Calibri" w:hAnsi="Calibri" w:cs="Calibri"/>
                <w:color w:val="000000"/>
                <w:sz w:val="22"/>
                <w:szCs w:val="22"/>
              </w:rPr>
            </w:pPr>
            <w:r>
              <w:rPr>
                <w:rFonts w:ascii="Calibri" w:hAnsi="Calibri" w:cs="Calibri"/>
                <w:color w:val="000000"/>
                <w:sz w:val="22"/>
                <w:szCs w:val="22"/>
              </w:rPr>
              <w:t>Usluge telefona, pošte i prijevoza</w:t>
            </w:r>
          </w:p>
        </w:tc>
        <w:tc>
          <w:tcPr>
            <w:tcW w:w="1506" w:type="dxa"/>
            <w:tcBorders>
              <w:top w:val="nil"/>
              <w:left w:val="nil"/>
              <w:bottom w:val="single" w:sz="4" w:space="0" w:color="auto"/>
              <w:right w:val="single" w:sz="4" w:space="0" w:color="auto"/>
            </w:tcBorders>
            <w:noWrap/>
            <w:vAlign w:val="bottom"/>
            <w:hideMark/>
          </w:tcPr>
          <w:p w14:paraId="68173B3B" w14:textId="77777777" w:rsidR="00DB0966" w:rsidRDefault="00DB0966">
            <w:pPr>
              <w:jc w:val="right"/>
              <w:rPr>
                <w:rFonts w:ascii="Calibri" w:hAnsi="Calibri" w:cs="Calibri"/>
                <w:color w:val="000000"/>
                <w:sz w:val="22"/>
                <w:szCs w:val="22"/>
              </w:rPr>
            </w:pPr>
            <w:r>
              <w:rPr>
                <w:rFonts w:ascii="Calibri" w:hAnsi="Calibri" w:cs="Calibri"/>
                <w:color w:val="000000"/>
                <w:sz w:val="22"/>
                <w:szCs w:val="22"/>
              </w:rPr>
              <w:t>95.366,47</w:t>
            </w:r>
          </w:p>
        </w:tc>
        <w:tc>
          <w:tcPr>
            <w:tcW w:w="1506" w:type="dxa"/>
            <w:tcBorders>
              <w:top w:val="nil"/>
              <w:left w:val="nil"/>
              <w:bottom w:val="single" w:sz="4" w:space="0" w:color="auto"/>
              <w:right w:val="single" w:sz="4" w:space="0" w:color="auto"/>
            </w:tcBorders>
            <w:shd w:val="clear" w:color="000000" w:fill="FFFFFF"/>
            <w:vAlign w:val="bottom"/>
            <w:hideMark/>
          </w:tcPr>
          <w:p w14:paraId="5E482B23" w14:textId="77777777" w:rsidR="00DB0966" w:rsidRDefault="00DB0966">
            <w:pPr>
              <w:jc w:val="right"/>
              <w:rPr>
                <w:rFonts w:ascii="Calibri" w:hAnsi="Calibri" w:cs="Calibri"/>
                <w:sz w:val="20"/>
                <w:szCs w:val="20"/>
              </w:rPr>
            </w:pPr>
            <w:r>
              <w:rPr>
                <w:rFonts w:ascii="Calibri" w:hAnsi="Calibri" w:cs="Calibri"/>
                <w:sz w:val="20"/>
                <w:szCs w:val="20"/>
              </w:rPr>
              <w:t> </w:t>
            </w:r>
          </w:p>
        </w:tc>
        <w:tc>
          <w:tcPr>
            <w:tcW w:w="1506" w:type="dxa"/>
            <w:tcBorders>
              <w:top w:val="nil"/>
              <w:left w:val="nil"/>
              <w:bottom w:val="single" w:sz="4" w:space="0" w:color="auto"/>
              <w:right w:val="single" w:sz="4" w:space="0" w:color="auto"/>
            </w:tcBorders>
            <w:vAlign w:val="bottom"/>
            <w:hideMark/>
          </w:tcPr>
          <w:p w14:paraId="11ABBC5A" w14:textId="77777777" w:rsidR="00DB0966" w:rsidRDefault="00DB0966">
            <w:pPr>
              <w:jc w:val="right"/>
              <w:rPr>
                <w:rFonts w:ascii="Calibri" w:hAnsi="Calibri" w:cs="Calibri"/>
                <w:sz w:val="22"/>
                <w:szCs w:val="22"/>
              </w:rPr>
            </w:pPr>
            <w:r>
              <w:rPr>
                <w:rFonts w:ascii="Calibri" w:hAnsi="Calibri" w:cs="Calibri"/>
                <w:sz w:val="22"/>
                <w:szCs w:val="22"/>
              </w:rPr>
              <w:t>87.169,17</w:t>
            </w:r>
          </w:p>
        </w:tc>
        <w:tc>
          <w:tcPr>
            <w:tcW w:w="877" w:type="dxa"/>
            <w:tcBorders>
              <w:top w:val="nil"/>
              <w:left w:val="nil"/>
              <w:bottom w:val="single" w:sz="4" w:space="0" w:color="auto"/>
              <w:right w:val="single" w:sz="4" w:space="0" w:color="auto"/>
            </w:tcBorders>
            <w:noWrap/>
            <w:vAlign w:val="bottom"/>
            <w:hideMark/>
          </w:tcPr>
          <w:p w14:paraId="04658BFC"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91%</w:t>
            </w:r>
          </w:p>
        </w:tc>
        <w:tc>
          <w:tcPr>
            <w:tcW w:w="804" w:type="dxa"/>
            <w:tcBorders>
              <w:top w:val="nil"/>
              <w:left w:val="nil"/>
              <w:bottom w:val="single" w:sz="4" w:space="0" w:color="auto"/>
              <w:right w:val="single" w:sz="4" w:space="0" w:color="auto"/>
            </w:tcBorders>
            <w:noWrap/>
            <w:vAlign w:val="bottom"/>
            <w:hideMark/>
          </w:tcPr>
          <w:p w14:paraId="46B7FA5E"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 </w:t>
            </w:r>
          </w:p>
        </w:tc>
        <w:tc>
          <w:tcPr>
            <w:tcW w:w="222" w:type="dxa"/>
            <w:vAlign w:val="center"/>
            <w:hideMark/>
          </w:tcPr>
          <w:p w14:paraId="1B0CCE5A" w14:textId="77777777" w:rsidR="00DB0966" w:rsidRDefault="00DB0966">
            <w:pPr>
              <w:rPr>
                <w:sz w:val="20"/>
                <w:szCs w:val="20"/>
              </w:rPr>
            </w:pPr>
          </w:p>
        </w:tc>
      </w:tr>
      <w:tr w:rsidR="00DB0966" w14:paraId="5E5260B1" w14:textId="77777777" w:rsidTr="00DB0966">
        <w:trPr>
          <w:trHeight w:val="290"/>
          <w:jc w:val="center"/>
        </w:trPr>
        <w:tc>
          <w:tcPr>
            <w:tcW w:w="665" w:type="dxa"/>
            <w:tcBorders>
              <w:top w:val="nil"/>
              <w:left w:val="single" w:sz="4" w:space="0" w:color="auto"/>
              <w:bottom w:val="single" w:sz="4" w:space="0" w:color="auto"/>
              <w:right w:val="single" w:sz="4" w:space="0" w:color="auto"/>
            </w:tcBorders>
            <w:shd w:val="clear" w:color="000000" w:fill="FFFFFF"/>
            <w:noWrap/>
            <w:vAlign w:val="bottom"/>
            <w:hideMark/>
          </w:tcPr>
          <w:p w14:paraId="3E35E57A"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3232</w:t>
            </w:r>
          </w:p>
        </w:tc>
        <w:tc>
          <w:tcPr>
            <w:tcW w:w="4433" w:type="dxa"/>
            <w:tcBorders>
              <w:top w:val="nil"/>
              <w:left w:val="nil"/>
              <w:bottom w:val="single" w:sz="4" w:space="0" w:color="auto"/>
              <w:right w:val="single" w:sz="4" w:space="0" w:color="auto"/>
            </w:tcBorders>
            <w:shd w:val="clear" w:color="000000" w:fill="FFFFFF"/>
            <w:noWrap/>
            <w:vAlign w:val="bottom"/>
            <w:hideMark/>
          </w:tcPr>
          <w:p w14:paraId="34B15F00" w14:textId="77777777" w:rsidR="00DB0966" w:rsidRDefault="00DB0966">
            <w:pPr>
              <w:rPr>
                <w:rFonts w:ascii="Calibri" w:hAnsi="Calibri" w:cs="Calibri"/>
                <w:color w:val="000000"/>
                <w:sz w:val="22"/>
                <w:szCs w:val="22"/>
              </w:rPr>
            </w:pPr>
            <w:r>
              <w:rPr>
                <w:rFonts w:ascii="Calibri" w:hAnsi="Calibri" w:cs="Calibri"/>
                <w:color w:val="000000"/>
                <w:sz w:val="22"/>
                <w:szCs w:val="22"/>
              </w:rPr>
              <w:t>Usluge tekućeg i investicijskog održavanja</w:t>
            </w:r>
          </w:p>
        </w:tc>
        <w:tc>
          <w:tcPr>
            <w:tcW w:w="1506" w:type="dxa"/>
            <w:tcBorders>
              <w:top w:val="nil"/>
              <w:left w:val="nil"/>
              <w:bottom w:val="single" w:sz="4" w:space="0" w:color="auto"/>
              <w:right w:val="single" w:sz="4" w:space="0" w:color="auto"/>
            </w:tcBorders>
            <w:shd w:val="clear" w:color="000000" w:fill="FFFFFF"/>
            <w:noWrap/>
            <w:vAlign w:val="bottom"/>
            <w:hideMark/>
          </w:tcPr>
          <w:p w14:paraId="13964923" w14:textId="77777777" w:rsidR="00DB0966" w:rsidRDefault="00DB0966">
            <w:pPr>
              <w:jc w:val="right"/>
              <w:rPr>
                <w:rFonts w:ascii="Calibri" w:hAnsi="Calibri" w:cs="Calibri"/>
                <w:color w:val="000000"/>
                <w:sz w:val="22"/>
                <w:szCs w:val="22"/>
              </w:rPr>
            </w:pPr>
            <w:r>
              <w:rPr>
                <w:rFonts w:ascii="Calibri" w:hAnsi="Calibri" w:cs="Calibri"/>
                <w:color w:val="000000"/>
                <w:sz w:val="22"/>
                <w:szCs w:val="22"/>
              </w:rPr>
              <w:t>717.362,59</w:t>
            </w:r>
          </w:p>
        </w:tc>
        <w:tc>
          <w:tcPr>
            <w:tcW w:w="1506" w:type="dxa"/>
            <w:tcBorders>
              <w:top w:val="nil"/>
              <w:left w:val="nil"/>
              <w:bottom w:val="single" w:sz="4" w:space="0" w:color="auto"/>
              <w:right w:val="single" w:sz="4" w:space="0" w:color="auto"/>
            </w:tcBorders>
            <w:shd w:val="clear" w:color="000000" w:fill="FFFFFF"/>
            <w:vAlign w:val="bottom"/>
            <w:hideMark/>
          </w:tcPr>
          <w:p w14:paraId="078077CB" w14:textId="77777777" w:rsidR="00DB0966" w:rsidRDefault="00DB0966">
            <w:pPr>
              <w:jc w:val="right"/>
              <w:rPr>
                <w:rFonts w:ascii="Calibri" w:hAnsi="Calibri" w:cs="Calibri"/>
                <w:sz w:val="20"/>
                <w:szCs w:val="20"/>
              </w:rPr>
            </w:pPr>
            <w:r>
              <w:rPr>
                <w:rFonts w:ascii="Calibri" w:hAnsi="Calibri" w:cs="Calibri"/>
                <w:sz w:val="20"/>
                <w:szCs w:val="20"/>
              </w:rPr>
              <w:t> </w:t>
            </w:r>
          </w:p>
        </w:tc>
        <w:tc>
          <w:tcPr>
            <w:tcW w:w="1506" w:type="dxa"/>
            <w:tcBorders>
              <w:top w:val="nil"/>
              <w:left w:val="nil"/>
              <w:bottom w:val="single" w:sz="4" w:space="0" w:color="auto"/>
              <w:right w:val="single" w:sz="4" w:space="0" w:color="auto"/>
            </w:tcBorders>
            <w:vAlign w:val="bottom"/>
            <w:hideMark/>
          </w:tcPr>
          <w:p w14:paraId="66806370" w14:textId="77777777" w:rsidR="00DB0966" w:rsidRDefault="00DB0966">
            <w:pPr>
              <w:jc w:val="right"/>
              <w:rPr>
                <w:rFonts w:ascii="Calibri" w:hAnsi="Calibri" w:cs="Calibri"/>
                <w:sz w:val="22"/>
                <w:szCs w:val="22"/>
              </w:rPr>
            </w:pPr>
            <w:r>
              <w:rPr>
                <w:rFonts w:ascii="Calibri" w:hAnsi="Calibri" w:cs="Calibri"/>
                <w:sz w:val="22"/>
                <w:szCs w:val="22"/>
              </w:rPr>
              <w:t>414.908,20</w:t>
            </w:r>
          </w:p>
        </w:tc>
        <w:tc>
          <w:tcPr>
            <w:tcW w:w="877" w:type="dxa"/>
            <w:tcBorders>
              <w:top w:val="nil"/>
              <w:left w:val="nil"/>
              <w:bottom w:val="single" w:sz="4" w:space="0" w:color="auto"/>
              <w:right w:val="single" w:sz="4" w:space="0" w:color="auto"/>
            </w:tcBorders>
            <w:noWrap/>
            <w:vAlign w:val="bottom"/>
            <w:hideMark/>
          </w:tcPr>
          <w:p w14:paraId="66739E78"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58%</w:t>
            </w:r>
          </w:p>
        </w:tc>
        <w:tc>
          <w:tcPr>
            <w:tcW w:w="804" w:type="dxa"/>
            <w:tcBorders>
              <w:top w:val="nil"/>
              <w:left w:val="nil"/>
              <w:bottom w:val="single" w:sz="4" w:space="0" w:color="auto"/>
              <w:right w:val="single" w:sz="4" w:space="0" w:color="auto"/>
            </w:tcBorders>
            <w:noWrap/>
            <w:vAlign w:val="bottom"/>
            <w:hideMark/>
          </w:tcPr>
          <w:p w14:paraId="7C93592D"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 </w:t>
            </w:r>
          </w:p>
        </w:tc>
        <w:tc>
          <w:tcPr>
            <w:tcW w:w="222" w:type="dxa"/>
            <w:vAlign w:val="center"/>
            <w:hideMark/>
          </w:tcPr>
          <w:p w14:paraId="3BD10FA7" w14:textId="77777777" w:rsidR="00DB0966" w:rsidRDefault="00DB0966">
            <w:pPr>
              <w:rPr>
                <w:sz w:val="20"/>
                <w:szCs w:val="20"/>
              </w:rPr>
            </w:pPr>
          </w:p>
        </w:tc>
      </w:tr>
      <w:tr w:rsidR="00DB0966" w14:paraId="6F18DED2" w14:textId="77777777" w:rsidTr="00DB0966">
        <w:trPr>
          <w:trHeight w:val="290"/>
          <w:jc w:val="center"/>
        </w:trPr>
        <w:tc>
          <w:tcPr>
            <w:tcW w:w="665" w:type="dxa"/>
            <w:tcBorders>
              <w:top w:val="nil"/>
              <w:left w:val="single" w:sz="4" w:space="0" w:color="auto"/>
              <w:bottom w:val="single" w:sz="4" w:space="0" w:color="auto"/>
              <w:right w:val="single" w:sz="4" w:space="0" w:color="auto"/>
            </w:tcBorders>
            <w:noWrap/>
            <w:vAlign w:val="bottom"/>
            <w:hideMark/>
          </w:tcPr>
          <w:p w14:paraId="19545D24"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3233</w:t>
            </w:r>
          </w:p>
        </w:tc>
        <w:tc>
          <w:tcPr>
            <w:tcW w:w="4433" w:type="dxa"/>
            <w:tcBorders>
              <w:top w:val="nil"/>
              <w:left w:val="nil"/>
              <w:bottom w:val="single" w:sz="4" w:space="0" w:color="auto"/>
              <w:right w:val="single" w:sz="4" w:space="0" w:color="auto"/>
            </w:tcBorders>
            <w:noWrap/>
            <w:vAlign w:val="bottom"/>
            <w:hideMark/>
          </w:tcPr>
          <w:p w14:paraId="5485E4B3" w14:textId="77777777" w:rsidR="00DB0966" w:rsidRDefault="00DB0966">
            <w:pPr>
              <w:rPr>
                <w:rFonts w:ascii="Calibri" w:hAnsi="Calibri" w:cs="Calibri"/>
                <w:color w:val="000000"/>
                <w:sz w:val="22"/>
                <w:szCs w:val="22"/>
              </w:rPr>
            </w:pPr>
            <w:r>
              <w:rPr>
                <w:rFonts w:ascii="Calibri" w:hAnsi="Calibri" w:cs="Calibri"/>
                <w:color w:val="000000"/>
                <w:sz w:val="22"/>
                <w:szCs w:val="22"/>
              </w:rPr>
              <w:t>Usluge promidžbe i informiranja</w:t>
            </w:r>
          </w:p>
        </w:tc>
        <w:tc>
          <w:tcPr>
            <w:tcW w:w="1506" w:type="dxa"/>
            <w:tcBorders>
              <w:top w:val="nil"/>
              <w:left w:val="nil"/>
              <w:bottom w:val="single" w:sz="4" w:space="0" w:color="auto"/>
              <w:right w:val="single" w:sz="4" w:space="0" w:color="auto"/>
            </w:tcBorders>
            <w:noWrap/>
            <w:vAlign w:val="bottom"/>
            <w:hideMark/>
          </w:tcPr>
          <w:p w14:paraId="2FA390D4" w14:textId="77777777" w:rsidR="00DB0966" w:rsidRDefault="00DB0966">
            <w:pPr>
              <w:jc w:val="right"/>
              <w:rPr>
                <w:rFonts w:ascii="Calibri" w:hAnsi="Calibri" w:cs="Calibri"/>
                <w:color w:val="000000"/>
                <w:sz w:val="22"/>
                <w:szCs w:val="22"/>
              </w:rPr>
            </w:pPr>
            <w:r>
              <w:rPr>
                <w:rFonts w:ascii="Calibri" w:hAnsi="Calibri" w:cs="Calibri"/>
                <w:color w:val="000000"/>
                <w:sz w:val="22"/>
                <w:szCs w:val="22"/>
              </w:rPr>
              <w:t>10.894,35</w:t>
            </w:r>
          </w:p>
        </w:tc>
        <w:tc>
          <w:tcPr>
            <w:tcW w:w="1506" w:type="dxa"/>
            <w:tcBorders>
              <w:top w:val="nil"/>
              <w:left w:val="nil"/>
              <w:bottom w:val="single" w:sz="4" w:space="0" w:color="auto"/>
              <w:right w:val="single" w:sz="4" w:space="0" w:color="auto"/>
            </w:tcBorders>
            <w:shd w:val="clear" w:color="000000" w:fill="FFFFFF"/>
            <w:vAlign w:val="bottom"/>
            <w:hideMark/>
          </w:tcPr>
          <w:p w14:paraId="30F7DAC6" w14:textId="77777777" w:rsidR="00DB0966" w:rsidRDefault="00DB0966">
            <w:pPr>
              <w:jc w:val="right"/>
              <w:rPr>
                <w:rFonts w:ascii="Calibri" w:hAnsi="Calibri" w:cs="Calibri"/>
                <w:sz w:val="20"/>
                <w:szCs w:val="20"/>
              </w:rPr>
            </w:pPr>
            <w:r>
              <w:rPr>
                <w:rFonts w:ascii="Calibri" w:hAnsi="Calibri" w:cs="Calibri"/>
                <w:sz w:val="20"/>
                <w:szCs w:val="20"/>
              </w:rPr>
              <w:t> </w:t>
            </w:r>
          </w:p>
        </w:tc>
        <w:tc>
          <w:tcPr>
            <w:tcW w:w="1506" w:type="dxa"/>
            <w:tcBorders>
              <w:top w:val="nil"/>
              <w:left w:val="nil"/>
              <w:bottom w:val="single" w:sz="4" w:space="0" w:color="auto"/>
              <w:right w:val="single" w:sz="4" w:space="0" w:color="auto"/>
            </w:tcBorders>
            <w:vAlign w:val="bottom"/>
            <w:hideMark/>
          </w:tcPr>
          <w:p w14:paraId="2F90BBE4" w14:textId="77777777" w:rsidR="00DB0966" w:rsidRDefault="00DB0966">
            <w:pPr>
              <w:jc w:val="right"/>
              <w:rPr>
                <w:rFonts w:ascii="Calibri" w:hAnsi="Calibri" w:cs="Calibri"/>
                <w:sz w:val="22"/>
                <w:szCs w:val="22"/>
              </w:rPr>
            </w:pPr>
            <w:r>
              <w:rPr>
                <w:rFonts w:ascii="Calibri" w:hAnsi="Calibri" w:cs="Calibri"/>
                <w:sz w:val="22"/>
                <w:szCs w:val="22"/>
              </w:rPr>
              <w:t>8.175,46</w:t>
            </w:r>
          </w:p>
        </w:tc>
        <w:tc>
          <w:tcPr>
            <w:tcW w:w="877" w:type="dxa"/>
            <w:tcBorders>
              <w:top w:val="nil"/>
              <w:left w:val="nil"/>
              <w:bottom w:val="single" w:sz="4" w:space="0" w:color="auto"/>
              <w:right w:val="single" w:sz="4" w:space="0" w:color="auto"/>
            </w:tcBorders>
            <w:noWrap/>
            <w:vAlign w:val="bottom"/>
            <w:hideMark/>
          </w:tcPr>
          <w:p w14:paraId="5E84EB20"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75%</w:t>
            </w:r>
          </w:p>
        </w:tc>
        <w:tc>
          <w:tcPr>
            <w:tcW w:w="804" w:type="dxa"/>
            <w:tcBorders>
              <w:top w:val="nil"/>
              <w:left w:val="nil"/>
              <w:bottom w:val="single" w:sz="4" w:space="0" w:color="auto"/>
              <w:right w:val="single" w:sz="4" w:space="0" w:color="auto"/>
            </w:tcBorders>
            <w:noWrap/>
            <w:vAlign w:val="bottom"/>
            <w:hideMark/>
          </w:tcPr>
          <w:p w14:paraId="2C3D078A"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 </w:t>
            </w:r>
          </w:p>
        </w:tc>
        <w:tc>
          <w:tcPr>
            <w:tcW w:w="222" w:type="dxa"/>
            <w:vAlign w:val="center"/>
            <w:hideMark/>
          </w:tcPr>
          <w:p w14:paraId="3C56F59A" w14:textId="77777777" w:rsidR="00DB0966" w:rsidRDefault="00DB0966">
            <w:pPr>
              <w:rPr>
                <w:sz w:val="20"/>
                <w:szCs w:val="20"/>
              </w:rPr>
            </w:pPr>
          </w:p>
        </w:tc>
      </w:tr>
      <w:tr w:rsidR="00DB0966" w14:paraId="5144A7DA" w14:textId="77777777" w:rsidTr="00DB0966">
        <w:trPr>
          <w:trHeight w:val="290"/>
          <w:jc w:val="center"/>
        </w:trPr>
        <w:tc>
          <w:tcPr>
            <w:tcW w:w="665" w:type="dxa"/>
            <w:tcBorders>
              <w:top w:val="nil"/>
              <w:left w:val="single" w:sz="4" w:space="0" w:color="auto"/>
              <w:bottom w:val="single" w:sz="4" w:space="0" w:color="auto"/>
              <w:right w:val="single" w:sz="4" w:space="0" w:color="auto"/>
            </w:tcBorders>
            <w:noWrap/>
            <w:vAlign w:val="bottom"/>
            <w:hideMark/>
          </w:tcPr>
          <w:p w14:paraId="2829223D"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3234</w:t>
            </w:r>
          </w:p>
        </w:tc>
        <w:tc>
          <w:tcPr>
            <w:tcW w:w="4433" w:type="dxa"/>
            <w:tcBorders>
              <w:top w:val="nil"/>
              <w:left w:val="nil"/>
              <w:bottom w:val="single" w:sz="4" w:space="0" w:color="auto"/>
              <w:right w:val="single" w:sz="4" w:space="0" w:color="auto"/>
            </w:tcBorders>
            <w:noWrap/>
            <w:vAlign w:val="bottom"/>
            <w:hideMark/>
          </w:tcPr>
          <w:p w14:paraId="4D13530E" w14:textId="77777777" w:rsidR="00DB0966" w:rsidRDefault="00DB0966">
            <w:pPr>
              <w:rPr>
                <w:rFonts w:ascii="Calibri" w:hAnsi="Calibri" w:cs="Calibri"/>
                <w:color w:val="000000"/>
                <w:sz w:val="22"/>
                <w:szCs w:val="22"/>
              </w:rPr>
            </w:pPr>
            <w:r>
              <w:rPr>
                <w:rFonts w:ascii="Calibri" w:hAnsi="Calibri" w:cs="Calibri"/>
                <w:color w:val="000000"/>
                <w:sz w:val="22"/>
                <w:szCs w:val="22"/>
              </w:rPr>
              <w:t xml:space="preserve">Komunalne usluge </w:t>
            </w:r>
          </w:p>
        </w:tc>
        <w:tc>
          <w:tcPr>
            <w:tcW w:w="1506" w:type="dxa"/>
            <w:tcBorders>
              <w:top w:val="nil"/>
              <w:left w:val="nil"/>
              <w:bottom w:val="single" w:sz="4" w:space="0" w:color="auto"/>
              <w:right w:val="single" w:sz="4" w:space="0" w:color="auto"/>
            </w:tcBorders>
            <w:noWrap/>
            <w:vAlign w:val="bottom"/>
            <w:hideMark/>
          </w:tcPr>
          <w:p w14:paraId="79661234" w14:textId="77777777" w:rsidR="00DB0966" w:rsidRDefault="00DB0966">
            <w:pPr>
              <w:jc w:val="right"/>
              <w:rPr>
                <w:rFonts w:ascii="Calibri" w:hAnsi="Calibri" w:cs="Calibri"/>
                <w:color w:val="000000"/>
                <w:sz w:val="22"/>
                <w:szCs w:val="22"/>
              </w:rPr>
            </w:pPr>
            <w:r>
              <w:rPr>
                <w:rFonts w:ascii="Calibri" w:hAnsi="Calibri" w:cs="Calibri"/>
                <w:color w:val="000000"/>
                <w:sz w:val="22"/>
                <w:szCs w:val="22"/>
              </w:rPr>
              <w:t>375.631,81</w:t>
            </w:r>
          </w:p>
        </w:tc>
        <w:tc>
          <w:tcPr>
            <w:tcW w:w="1506" w:type="dxa"/>
            <w:tcBorders>
              <w:top w:val="nil"/>
              <w:left w:val="nil"/>
              <w:bottom w:val="single" w:sz="4" w:space="0" w:color="auto"/>
              <w:right w:val="single" w:sz="4" w:space="0" w:color="auto"/>
            </w:tcBorders>
            <w:shd w:val="clear" w:color="000000" w:fill="FFFFFF"/>
            <w:vAlign w:val="bottom"/>
            <w:hideMark/>
          </w:tcPr>
          <w:p w14:paraId="5BD55817" w14:textId="77777777" w:rsidR="00DB0966" w:rsidRDefault="00DB0966">
            <w:pPr>
              <w:jc w:val="right"/>
              <w:rPr>
                <w:rFonts w:ascii="Calibri" w:hAnsi="Calibri" w:cs="Calibri"/>
                <w:sz w:val="20"/>
                <w:szCs w:val="20"/>
              </w:rPr>
            </w:pPr>
            <w:r>
              <w:rPr>
                <w:rFonts w:ascii="Calibri" w:hAnsi="Calibri" w:cs="Calibri"/>
                <w:sz w:val="20"/>
                <w:szCs w:val="20"/>
              </w:rPr>
              <w:t> </w:t>
            </w:r>
          </w:p>
        </w:tc>
        <w:tc>
          <w:tcPr>
            <w:tcW w:w="1506" w:type="dxa"/>
            <w:tcBorders>
              <w:top w:val="nil"/>
              <w:left w:val="nil"/>
              <w:bottom w:val="single" w:sz="4" w:space="0" w:color="auto"/>
              <w:right w:val="single" w:sz="4" w:space="0" w:color="auto"/>
            </w:tcBorders>
            <w:vAlign w:val="bottom"/>
            <w:hideMark/>
          </w:tcPr>
          <w:p w14:paraId="22A1464B" w14:textId="77777777" w:rsidR="00DB0966" w:rsidRDefault="00DB0966">
            <w:pPr>
              <w:jc w:val="right"/>
              <w:rPr>
                <w:rFonts w:ascii="Calibri" w:hAnsi="Calibri" w:cs="Calibri"/>
                <w:sz w:val="22"/>
                <w:szCs w:val="22"/>
              </w:rPr>
            </w:pPr>
            <w:r>
              <w:rPr>
                <w:rFonts w:ascii="Calibri" w:hAnsi="Calibri" w:cs="Calibri"/>
                <w:sz w:val="22"/>
                <w:szCs w:val="22"/>
              </w:rPr>
              <w:t>402.214,42</w:t>
            </w:r>
          </w:p>
        </w:tc>
        <w:tc>
          <w:tcPr>
            <w:tcW w:w="877" w:type="dxa"/>
            <w:tcBorders>
              <w:top w:val="nil"/>
              <w:left w:val="nil"/>
              <w:bottom w:val="single" w:sz="4" w:space="0" w:color="auto"/>
              <w:right w:val="single" w:sz="4" w:space="0" w:color="auto"/>
            </w:tcBorders>
            <w:noWrap/>
            <w:vAlign w:val="bottom"/>
            <w:hideMark/>
          </w:tcPr>
          <w:p w14:paraId="20128038"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107%</w:t>
            </w:r>
          </w:p>
        </w:tc>
        <w:tc>
          <w:tcPr>
            <w:tcW w:w="804" w:type="dxa"/>
            <w:tcBorders>
              <w:top w:val="nil"/>
              <w:left w:val="nil"/>
              <w:bottom w:val="single" w:sz="4" w:space="0" w:color="auto"/>
              <w:right w:val="single" w:sz="4" w:space="0" w:color="auto"/>
            </w:tcBorders>
            <w:noWrap/>
            <w:vAlign w:val="bottom"/>
            <w:hideMark/>
          </w:tcPr>
          <w:p w14:paraId="00CD9713"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 </w:t>
            </w:r>
          </w:p>
        </w:tc>
        <w:tc>
          <w:tcPr>
            <w:tcW w:w="222" w:type="dxa"/>
            <w:vAlign w:val="center"/>
            <w:hideMark/>
          </w:tcPr>
          <w:p w14:paraId="6A296640" w14:textId="77777777" w:rsidR="00DB0966" w:rsidRDefault="00DB0966">
            <w:pPr>
              <w:rPr>
                <w:sz w:val="20"/>
                <w:szCs w:val="20"/>
              </w:rPr>
            </w:pPr>
          </w:p>
        </w:tc>
      </w:tr>
      <w:tr w:rsidR="00DB0966" w14:paraId="0D6A9854" w14:textId="77777777" w:rsidTr="00DB0966">
        <w:trPr>
          <w:trHeight w:val="290"/>
          <w:jc w:val="center"/>
        </w:trPr>
        <w:tc>
          <w:tcPr>
            <w:tcW w:w="665" w:type="dxa"/>
            <w:tcBorders>
              <w:top w:val="nil"/>
              <w:left w:val="single" w:sz="4" w:space="0" w:color="auto"/>
              <w:bottom w:val="single" w:sz="4" w:space="0" w:color="auto"/>
              <w:right w:val="single" w:sz="4" w:space="0" w:color="auto"/>
            </w:tcBorders>
            <w:noWrap/>
            <w:vAlign w:val="bottom"/>
            <w:hideMark/>
          </w:tcPr>
          <w:p w14:paraId="51E82C23"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3235</w:t>
            </w:r>
          </w:p>
        </w:tc>
        <w:tc>
          <w:tcPr>
            <w:tcW w:w="4433" w:type="dxa"/>
            <w:tcBorders>
              <w:top w:val="nil"/>
              <w:left w:val="nil"/>
              <w:bottom w:val="single" w:sz="4" w:space="0" w:color="auto"/>
              <w:right w:val="single" w:sz="4" w:space="0" w:color="auto"/>
            </w:tcBorders>
            <w:noWrap/>
            <w:vAlign w:val="bottom"/>
            <w:hideMark/>
          </w:tcPr>
          <w:p w14:paraId="52F221AA" w14:textId="77777777" w:rsidR="00DB0966" w:rsidRDefault="00DB0966">
            <w:pPr>
              <w:rPr>
                <w:rFonts w:ascii="Calibri" w:hAnsi="Calibri" w:cs="Calibri"/>
                <w:color w:val="000000"/>
                <w:sz w:val="22"/>
                <w:szCs w:val="22"/>
              </w:rPr>
            </w:pPr>
            <w:r>
              <w:rPr>
                <w:rFonts w:ascii="Calibri" w:hAnsi="Calibri" w:cs="Calibri"/>
                <w:color w:val="000000"/>
                <w:sz w:val="22"/>
                <w:szCs w:val="22"/>
              </w:rPr>
              <w:t>Najamnina za opremu</w:t>
            </w:r>
          </w:p>
        </w:tc>
        <w:tc>
          <w:tcPr>
            <w:tcW w:w="1506" w:type="dxa"/>
            <w:tcBorders>
              <w:top w:val="nil"/>
              <w:left w:val="nil"/>
              <w:bottom w:val="single" w:sz="4" w:space="0" w:color="auto"/>
              <w:right w:val="single" w:sz="4" w:space="0" w:color="auto"/>
            </w:tcBorders>
            <w:noWrap/>
            <w:vAlign w:val="bottom"/>
            <w:hideMark/>
          </w:tcPr>
          <w:p w14:paraId="2E0266A1" w14:textId="77777777" w:rsidR="00DB0966" w:rsidRDefault="00DB0966">
            <w:pPr>
              <w:jc w:val="right"/>
              <w:rPr>
                <w:rFonts w:ascii="Calibri" w:hAnsi="Calibri" w:cs="Calibri"/>
                <w:color w:val="000000"/>
                <w:sz w:val="22"/>
                <w:szCs w:val="22"/>
              </w:rPr>
            </w:pPr>
            <w:r>
              <w:rPr>
                <w:rFonts w:ascii="Calibri" w:hAnsi="Calibri" w:cs="Calibri"/>
                <w:color w:val="000000"/>
                <w:sz w:val="22"/>
                <w:szCs w:val="22"/>
              </w:rPr>
              <w:t>352.750,56</w:t>
            </w:r>
          </w:p>
        </w:tc>
        <w:tc>
          <w:tcPr>
            <w:tcW w:w="1506" w:type="dxa"/>
            <w:tcBorders>
              <w:top w:val="nil"/>
              <w:left w:val="nil"/>
              <w:bottom w:val="single" w:sz="4" w:space="0" w:color="auto"/>
              <w:right w:val="single" w:sz="4" w:space="0" w:color="auto"/>
            </w:tcBorders>
            <w:shd w:val="clear" w:color="000000" w:fill="FFFFFF"/>
            <w:vAlign w:val="bottom"/>
            <w:hideMark/>
          </w:tcPr>
          <w:p w14:paraId="2D27E93C" w14:textId="77777777" w:rsidR="00DB0966" w:rsidRDefault="00DB0966">
            <w:pPr>
              <w:jc w:val="right"/>
              <w:rPr>
                <w:rFonts w:ascii="Calibri" w:hAnsi="Calibri" w:cs="Calibri"/>
                <w:sz w:val="20"/>
                <w:szCs w:val="20"/>
              </w:rPr>
            </w:pPr>
            <w:r>
              <w:rPr>
                <w:rFonts w:ascii="Calibri" w:hAnsi="Calibri" w:cs="Calibri"/>
                <w:sz w:val="20"/>
                <w:szCs w:val="20"/>
              </w:rPr>
              <w:t> </w:t>
            </w:r>
          </w:p>
        </w:tc>
        <w:tc>
          <w:tcPr>
            <w:tcW w:w="1506" w:type="dxa"/>
            <w:tcBorders>
              <w:top w:val="nil"/>
              <w:left w:val="nil"/>
              <w:bottom w:val="single" w:sz="4" w:space="0" w:color="auto"/>
              <w:right w:val="single" w:sz="4" w:space="0" w:color="auto"/>
            </w:tcBorders>
            <w:vAlign w:val="bottom"/>
            <w:hideMark/>
          </w:tcPr>
          <w:p w14:paraId="6F2B65DB" w14:textId="77777777" w:rsidR="00DB0966" w:rsidRDefault="00DB0966">
            <w:pPr>
              <w:jc w:val="right"/>
              <w:rPr>
                <w:rFonts w:ascii="Calibri" w:hAnsi="Calibri" w:cs="Calibri"/>
                <w:sz w:val="22"/>
                <w:szCs w:val="22"/>
              </w:rPr>
            </w:pPr>
            <w:r>
              <w:rPr>
                <w:rFonts w:ascii="Calibri" w:hAnsi="Calibri" w:cs="Calibri"/>
                <w:sz w:val="22"/>
                <w:szCs w:val="22"/>
              </w:rPr>
              <w:t>404.750,74</w:t>
            </w:r>
          </w:p>
        </w:tc>
        <w:tc>
          <w:tcPr>
            <w:tcW w:w="877" w:type="dxa"/>
            <w:tcBorders>
              <w:top w:val="nil"/>
              <w:left w:val="nil"/>
              <w:bottom w:val="single" w:sz="4" w:space="0" w:color="auto"/>
              <w:right w:val="single" w:sz="4" w:space="0" w:color="auto"/>
            </w:tcBorders>
            <w:noWrap/>
            <w:vAlign w:val="bottom"/>
            <w:hideMark/>
          </w:tcPr>
          <w:p w14:paraId="6EEF7233"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115%</w:t>
            </w:r>
          </w:p>
        </w:tc>
        <w:tc>
          <w:tcPr>
            <w:tcW w:w="804" w:type="dxa"/>
            <w:tcBorders>
              <w:top w:val="nil"/>
              <w:left w:val="nil"/>
              <w:bottom w:val="single" w:sz="4" w:space="0" w:color="auto"/>
              <w:right w:val="single" w:sz="4" w:space="0" w:color="auto"/>
            </w:tcBorders>
            <w:noWrap/>
            <w:vAlign w:val="bottom"/>
            <w:hideMark/>
          </w:tcPr>
          <w:p w14:paraId="72FD013D"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 </w:t>
            </w:r>
          </w:p>
        </w:tc>
        <w:tc>
          <w:tcPr>
            <w:tcW w:w="222" w:type="dxa"/>
            <w:vAlign w:val="center"/>
            <w:hideMark/>
          </w:tcPr>
          <w:p w14:paraId="6F2584F5" w14:textId="77777777" w:rsidR="00DB0966" w:rsidRDefault="00DB0966">
            <w:pPr>
              <w:rPr>
                <w:sz w:val="20"/>
                <w:szCs w:val="20"/>
              </w:rPr>
            </w:pPr>
          </w:p>
        </w:tc>
      </w:tr>
      <w:tr w:rsidR="00DB0966" w14:paraId="7034137E" w14:textId="77777777" w:rsidTr="00DB0966">
        <w:trPr>
          <w:trHeight w:val="290"/>
          <w:jc w:val="center"/>
        </w:trPr>
        <w:tc>
          <w:tcPr>
            <w:tcW w:w="665" w:type="dxa"/>
            <w:tcBorders>
              <w:top w:val="nil"/>
              <w:left w:val="single" w:sz="4" w:space="0" w:color="auto"/>
              <w:bottom w:val="single" w:sz="4" w:space="0" w:color="auto"/>
              <w:right w:val="single" w:sz="4" w:space="0" w:color="auto"/>
            </w:tcBorders>
            <w:noWrap/>
            <w:vAlign w:val="bottom"/>
            <w:hideMark/>
          </w:tcPr>
          <w:p w14:paraId="4D628297"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3236</w:t>
            </w:r>
          </w:p>
        </w:tc>
        <w:tc>
          <w:tcPr>
            <w:tcW w:w="4433" w:type="dxa"/>
            <w:tcBorders>
              <w:top w:val="nil"/>
              <w:left w:val="nil"/>
              <w:bottom w:val="single" w:sz="4" w:space="0" w:color="auto"/>
              <w:right w:val="single" w:sz="4" w:space="0" w:color="auto"/>
            </w:tcBorders>
            <w:noWrap/>
            <w:vAlign w:val="bottom"/>
            <w:hideMark/>
          </w:tcPr>
          <w:p w14:paraId="5738BDE9" w14:textId="77777777" w:rsidR="00DB0966" w:rsidRDefault="00DB0966">
            <w:pPr>
              <w:rPr>
                <w:rFonts w:ascii="Calibri" w:hAnsi="Calibri" w:cs="Calibri"/>
                <w:color w:val="000000"/>
                <w:sz w:val="22"/>
                <w:szCs w:val="22"/>
              </w:rPr>
            </w:pPr>
            <w:r>
              <w:rPr>
                <w:rFonts w:ascii="Calibri" w:hAnsi="Calibri" w:cs="Calibri"/>
                <w:color w:val="000000"/>
                <w:sz w:val="22"/>
                <w:szCs w:val="22"/>
              </w:rPr>
              <w:t>Zdravstvene usluge</w:t>
            </w:r>
          </w:p>
        </w:tc>
        <w:tc>
          <w:tcPr>
            <w:tcW w:w="1506" w:type="dxa"/>
            <w:tcBorders>
              <w:top w:val="nil"/>
              <w:left w:val="nil"/>
              <w:bottom w:val="single" w:sz="4" w:space="0" w:color="auto"/>
              <w:right w:val="single" w:sz="4" w:space="0" w:color="auto"/>
            </w:tcBorders>
            <w:noWrap/>
            <w:vAlign w:val="bottom"/>
            <w:hideMark/>
          </w:tcPr>
          <w:p w14:paraId="36DA726E" w14:textId="77777777" w:rsidR="00DB0966" w:rsidRDefault="00DB0966">
            <w:pPr>
              <w:jc w:val="right"/>
              <w:rPr>
                <w:rFonts w:ascii="Calibri" w:hAnsi="Calibri" w:cs="Calibri"/>
                <w:color w:val="000000"/>
                <w:sz w:val="22"/>
                <w:szCs w:val="22"/>
              </w:rPr>
            </w:pPr>
            <w:r>
              <w:rPr>
                <w:rFonts w:ascii="Calibri" w:hAnsi="Calibri" w:cs="Calibri"/>
                <w:color w:val="000000"/>
                <w:sz w:val="22"/>
                <w:szCs w:val="22"/>
              </w:rPr>
              <w:t>756.533,96</w:t>
            </w:r>
          </w:p>
        </w:tc>
        <w:tc>
          <w:tcPr>
            <w:tcW w:w="1506" w:type="dxa"/>
            <w:tcBorders>
              <w:top w:val="nil"/>
              <w:left w:val="nil"/>
              <w:bottom w:val="single" w:sz="4" w:space="0" w:color="auto"/>
              <w:right w:val="single" w:sz="4" w:space="0" w:color="auto"/>
            </w:tcBorders>
            <w:shd w:val="clear" w:color="000000" w:fill="FFFFFF"/>
            <w:vAlign w:val="bottom"/>
            <w:hideMark/>
          </w:tcPr>
          <w:p w14:paraId="7564B72E" w14:textId="77777777" w:rsidR="00DB0966" w:rsidRDefault="00DB0966">
            <w:pPr>
              <w:jc w:val="right"/>
              <w:rPr>
                <w:rFonts w:ascii="Calibri" w:hAnsi="Calibri" w:cs="Calibri"/>
                <w:sz w:val="20"/>
                <w:szCs w:val="20"/>
              </w:rPr>
            </w:pPr>
            <w:r>
              <w:rPr>
                <w:rFonts w:ascii="Calibri" w:hAnsi="Calibri" w:cs="Calibri"/>
                <w:sz w:val="20"/>
                <w:szCs w:val="20"/>
              </w:rPr>
              <w:t> </w:t>
            </w:r>
          </w:p>
        </w:tc>
        <w:tc>
          <w:tcPr>
            <w:tcW w:w="1506" w:type="dxa"/>
            <w:tcBorders>
              <w:top w:val="nil"/>
              <w:left w:val="nil"/>
              <w:bottom w:val="single" w:sz="4" w:space="0" w:color="auto"/>
              <w:right w:val="single" w:sz="4" w:space="0" w:color="auto"/>
            </w:tcBorders>
            <w:vAlign w:val="bottom"/>
            <w:hideMark/>
          </w:tcPr>
          <w:p w14:paraId="33D45C05" w14:textId="77777777" w:rsidR="00DB0966" w:rsidRDefault="00DB0966">
            <w:pPr>
              <w:jc w:val="right"/>
              <w:rPr>
                <w:rFonts w:ascii="Calibri" w:hAnsi="Calibri" w:cs="Calibri"/>
                <w:sz w:val="22"/>
                <w:szCs w:val="22"/>
              </w:rPr>
            </w:pPr>
            <w:r>
              <w:rPr>
                <w:rFonts w:ascii="Calibri" w:hAnsi="Calibri" w:cs="Calibri"/>
                <w:sz w:val="22"/>
                <w:szCs w:val="22"/>
              </w:rPr>
              <w:t>801.314,16</w:t>
            </w:r>
          </w:p>
        </w:tc>
        <w:tc>
          <w:tcPr>
            <w:tcW w:w="877" w:type="dxa"/>
            <w:tcBorders>
              <w:top w:val="nil"/>
              <w:left w:val="nil"/>
              <w:bottom w:val="single" w:sz="4" w:space="0" w:color="auto"/>
              <w:right w:val="single" w:sz="4" w:space="0" w:color="auto"/>
            </w:tcBorders>
            <w:noWrap/>
            <w:vAlign w:val="bottom"/>
            <w:hideMark/>
          </w:tcPr>
          <w:p w14:paraId="74DAEC7A"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106%</w:t>
            </w:r>
          </w:p>
        </w:tc>
        <w:tc>
          <w:tcPr>
            <w:tcW w:w="804" w:type="dxa"/>
            <w:tcBorders>
              <w:top w:val="nil"/>
              <w:left w:val="nil"/>
              <w:bottom w:val="single" w:sz="4" w:space="0" w:color="auto"/>
              <w:right w:val="single" w:sz="4" w:space="0" w:color="auto"/>
            </w:tcBorders>
            <w:noWrap/>
            <w:vAlign w:val="bottom"/>
            <w:hideMark/>
          </w:tcPr>
          <w:p w14:paraId="0DAEFB29"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 </w:t>
            </w:r>
          </w:p>
        </w:tc>
        <w:tc>
          <w:tcPr>
            <w:tcW w:w="222" w:type="dxa"/>
            <w:vAlign w:val="center"/>
            <w:hideMark/>
          </w:tcPr>
          <w:p w14:paraId="0CE60AAC" w14:textId="77777777" w:rsidR="00DB0966" w:rsidRDefault="00DB0966">
            <w:pPr>
              <w:rPr>
                <w:sz w:val="20"/>
                <w:szCs w:val="20"/>
              </w:rPr>
            </w:pPr>
          </w:p>
        </w:tc>
      </w:tr>
      <w:tr w:rsidR="00DB0966" w14:paraId="514676FE" w14:textId="77777777" w:rsidTr="00DB0966">
        <w:trPr>
          <w:trHeight w:val="290"/>
          <w:jc w:val="center"/>
        </w:trPr>
        <w:tc>
          <w:tcPr>
            <w:tcW w:w="665" w:type="dxa"/>
            <w:tcBorders>
              <w:top w:val="nil"/>
              <w:left w:val="single" w:sz="4" w:space="0" w:color="auto"/>
              <w:bottom w:val="single" w:sz="4" w:space="0" w:color="auto"/>
              <w:right w:val="single" w:sz="4" w:space="0" w:color="auto"/>
            </w:tcBorders>
            <w:noWrap/>
            <w:vAlign w:val="bottom"/>
            <w:hideMark/>
          </w:tcPr>
          <w:p w14:paraId="18DCACA8"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3237</w:t>
            </w:r>
          </w:p>
        </w:tc>
        <w:tc>
          <w:tcPr>
            <w:tcW w:w="4433" w:type="dxa"/>
            <w:tcBorders>
              <w:top w:val="nil"/>
              <w:left w:val="nil"/>
              <w:bottom w:val="single" w:sz="4" w:space="0" w:color="auto"/>
              <w:right w:val="single" w:sz="4" w:space="0" w:color="auto"/>
            </w:tcBorders>
            <w:noWrap/>
            <w:vAlign w:val="bottom"/>
            <w:hideMark/>
          </w:tcPr>
          <w:p w14:paraId="64D86173" w14:textId="77777777" w:rsidR="00DB0966" w:rsidRDefault="00DB0966">
            <w:pPr>
              <w:rPr>
                <w:rFonts w:ascii="Calibri" w:hAnsi="Calibri" w:cs="Calibri"/>
                <w:color w:val="000000"/>
                <w:sz w:val="22"/>
                <w:szCs w:val="22"/>
              </w:rPr>
            </w:pPr>
            <w:r>
              <w:rPr>
                <w:rFonts w:ascii="Calibri" w:hAnsi="Calibri" w:cs="Calibri"/>
                <w:color w:val="000000"/>
                <w:sz w:val="22"/>
                <w:szCs w:val="22"/>
              </w:rPr>
              <w:t>Intelektualne i osobne usluge</w:t>
            </w:r>
            <w:r>
              <w:rPr>
                <w:rFonts w:ascii="Calibri" w:hAnsi="Calibri" w:cs="Calibri"/>
                <w:color w:val="FF0000"/>
                <w:sz w:val="22"/>
                <w:szCs w:val="22"/>
              </w:rPr>
              <w:t xml:space="preserve"> </w:t>
            </w:r>
          </w:p>
        </w:tc>
        <w:tc>
          <w:tcPr>
            <w:tcW w:w="1506" w:type="dxa"/>
            <w:tcBorders>
              <w:top w:val="nil"/>
              <w:left w:val="nil"/>
              <w:bottom w:val="single" w:sz="4" w:space="0" w:color="auto"/>
              <w:right w:val="single" w:sz="4" w:space="0" w:color="auto"/>
            </w:tcBorders>
            <w:noWrap/>
            <w:vAlign w:val="bottom"/>
            <w:hideMark/>
          </w:tcPr>
          <w:p w14:paraId="5C1F705D" w14:textId="77777777" w:rsidR="00DB0966" w:rsidRDefault="00DB0966">
            <w:pPr>
              <w:jc w:val="right"/>
              <w:rPr>
                <w:rFonts w:ascii="Calibri" w:hAnsi="Calibri" w:cs="Calibri"/>
                <w:color w:val="000000"/>
                <w:sz w:val="22"/>
                <w:szCs w:val="22"/>
              </w:rPr>
            </w:pPr>
            <w:r>
              <w:rPr>
                <w:rFonts w:ascii="Calibri" w:hAnsi="Calibri" w:cs="Calibri"/>
                <w:color w:val="000000"/>
                <w:sz w:val="22"/>
                <w:szCs w:val="22"/>
              </w:rPr>
              <w:t>395.914,59</w:t>
            </w:r>
          </w:p>
        </w:tc>
        <w:tc>
          <w:tcPr>
            <w:tcW w:w="1506" w:type="dxa"/>
            <w:tcBorders>
              <w:top w:val="nil"/>
              <w:left w:val="nil"/>
              <w:bottom w:val="single" w:sz="4" w:space="0" w:color="auto"/>
              <w:right w:val="single" w:sz="4" w:space="0" w:color="auto"/>
            </w:tcBorders>
            <w:shd w:val="clear" w:color="000000" w:fill="FFFFFF"/>
            <w:vAlign w:val="bottom"/>
            <w:hideMark/>
          </w:tcPr>
          <w:p w14:paraId="3D2675BA" w14:textId="77777777" w:rsidR="00DB0966" w:rsidRDefault="00DB0966">
            <w:pPr>
              <w:jc w:val="right"/>
              <w:rPr>
                <w:rFonts w:ascii="Calibri" w:hAnsi="Calibri" w:cs="Calibri"/>
                <w:sz w:val="20"/>
                <w:szCs w:val="20"/>
              </w:rPr>
            </w:pPr>
            <w:r>
              <w:rPr>
                <w:rFonts w:ascii="Calibri" w:hAnsi="Calibri" w:cs="Calibri"/>
                <w:sz w:val="20"/>
                <w:szCs w:val="20"/>
              </w:rPr>
              <w:t> </w:t>
            </w:r>
          </w:p>
        </w:tc>
        <w:tc>
          <w:tcPr>
            <w:tcW w:w="1506" w:type="dxa"/>
            <w:tcBorders>
              <w:top w:val="nil"/>
              <w:left w:val="nil"/>
              <w:bottom w:val="single" w:sz="4" w:space="0" w:color="auto"/>
              <w:right w:val="single" w:sz="4" w:space="0" w:color="auto"/>
            </w:tcBorders>
            <w:vAlign w:val="bottom"/>
            <w:hideMark/>
          </w:tcPr>
          <w:p w14:paraId="077F4787" w14:textId="77777777" w:rsidR="00DB0966" w:rsidRDefault="00DB0966">
            <w:pPr>
              <w:jc w:val="right"/>
              <w:rPr>
                <w:rFonts w:ascii="Calibri" w:hAnsi="Calibri" w:cs="Calibri"/>
                <w:sz w:val="22"/>
                <w:szCs w:val="22"/>
              </w:rPr>
            </w:pPr>
            <w:r>
              <w:rPr>
                <w:rFonts w:ascii="Calibri" w:hAnsi="Calibri" w:cs="Calibri"/>
                <w:sz w:val="22"/>
                <w:szCs w:val="22"/>
              </w:rPr>
              <w:t>508.792,91</w:t>
            </w:r>
          </w:p>
        </w:tc>
        <w:tc>
          <w:tcPr>
            <w:tcW w:w="877" w:type="dxa"/>
            <w:tcBorders>
              <w:top w:val="nil"/>
              <w:left w:val="nil"/>
              <w:bottom w:val="single" w:sz="4" w:space="0" w:color="auto"/>
              <w:right w:val="single" w:sz="4" w:space="0" w:color="auto"/>
            </w:tcBorders>
            <w:noWrap/>
            <w:vAlign w:val="bottom"/>
            <w:hideMark/>
          </w:tcPr>
          <w:p w14:paraId="38E7A92F"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129%</w:t>
            </w:r>
          </w:p>
        </w:tc>
        <w:tc>
          <w:tcPr>
            <w:tcW w:w="804" w:type="dxa"/>
            <w:tcBorders>
              <w:top w:val="nil"/>
              <w:left w:val="nil"/>
              <w:bottom w:val="single" w:sz="4" w:space="0" w:color="auto"/>
              <w:right w:val="single" w:sz="4" w:space="0" w:color="auto"/>
            </w:tcBorders>
            <w:noWrap/>
            <w:vAlign w:val="bottom"/>
            <w:hideMark/>
          </w:tcPr>
          <w:p w14:paraId="2A52512F"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 </w:t>
            </w:r>
          </w:p>
        </w:tc>
        <w:tc>
          <w:tcPr>
            <w:tcW w:w="222" w:type="dxa"/>
            <w:vAlign w:val="center"/>
            <w:hideMark/>
          </w:tcPr>
          <w:p w14:paraId="33013B23" w14:textId="77777777" w:rsidR="00DB0966" w:rsidRDefault="00DB0966">
            <w:pPr>
              <w:rPr>
                <w:sz w:val="20"/>
                <w:szCs w:val="20"/>
              </w:rPr>
            </w:pPr>
          </w:p>
        </w:tc>
      </w:tr>
      <w:tr w:rsidR="00DB0966" w14:paraId="2D4B92DB" w14:textId="77777777" w:rsidTr="00DB0966">
        <w:trPr>
          <w:trHeight w:val="290"/>
          <w:jc w:val="center"/>
        </w:trPr>
        <w:tc>
          <w:tcPr>
            <w:tcW w:w="665" w:type="dxa"/>
            <w:tcBorders>
              <w:top w:val="nil"/>
              <w:left w:val="single" w:sz="4" w:space="0" w:color="auto"/>
              <w:bottom w:val="single" w:sz="4" w:space="0" w:color="auto"/>
              <w:right w:val="single" w:sz="4" w:space="0" w:color="auto"/>
            </w:tcBorders>
            <w:noWrap/>
            <w:vAlign w:val="bottom"/>
            <w:hideMark/>
          </w:tcPr>
          <w:p w14:paraId="174FE0D7"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3238</w:t>
            </w:r>
          </w:p>
        </w:tc>
        <w:tc>
          <w:tcPr>
            <w:tcW w:w="4433" w:type="dxa"/>
            <w:tcBorders>
              <w:top w:val="nil"/>
              <w:left w:val="nil"/>
              <w:bottom w:val="single" w:sz="4" w:space="0" w:color="auto"/>
              <w:right w:val="single" w:sz="4" w:space="0" w:color="auto"/>
            </w:tcBorders>
            <w:noWrap/>
            <w:vAlign w:val="bottom"/>
            <w:hideMark/>
          </w:tcPr>
          <w:p w14:paraId="6E716787" w14:textId="77777777" w:rsidR="00DB0966" w:rsidRDefault="00DB0966">
            <w:pPr>
              <w:rPr>
                <w:rFonts w:ascii="Calibri" w:hAnsi="Calibri" w:cs="Calibri"/>
                <w:color w:val="000000"/>
                <w:sz w:val="22"/>
                <w:szCs w:val="22"/>
              </w:rPr>
            </w:pPr>
            <w:r>
              <w:rPr>
                <w:rFonts w:ascii="Calibri" w:hAnsi="Calibri" w:cs="Calibri"/>
                <w:color w:val="000000"/>
                <w:sz w:val="22"/>
                <w:szCs w:val="22"/>
              </w:rPr>
              <w:t xml:space="preserve">Računalne usluge </w:t>
            </w:r>
          </w:p>
        </w:tc>
        <w:tc>
          <w:tcPr>
            <w:tcW w:w="1506" w:type="dxa"/>
            <w:tcBorders>
              <w:top w:val="nil"/>
              <w:left w:val="nil"/>
              <w:bottom w:val="single" w:sz="4" w:space="0" w:color="auto"/>
              <w:right w:val="single" w:sz="4" w:space="0" w:color="auto"/>
            </w:tcBorders>
            <w:noWrap/>
            <w:vAlign w:val="bottom"/>
            <w:hideMark/>
          </w:tcPr>
          <w:p w14:paraId="0F9D9491" w14:textId="77777777" w:rsidR="00DB0966" w:rsidRDefault="00DB0966">
            <w:pPr>
              <w:jc w:val="right"/>
              <w:rPr>
                <w:rFonts w:ascii="Calibri" w:hAnsi="Calibri" w:cs="Calibri"/>
                <w:color w:val="000000"/>
                <w:sz w:val="22"/>
                <w:szCs w:val="22"/>
              </w:rPr>
            </w:pPr>
            <w:r>
              <w:rPr>
                <w:rFonts w:ascii="Calibri" w:hAnsi="Calibri" w:cs="Calibri"/>
                <w:color w:val="000000"/>
                <w:sz w:val="22"/>
                <w:szCs w:val="22"/>
              </w:rPr>
              <w:t>204.609,05</w:t>
            </w:r>
          </w:p>
        </w:tc>
        <w:tc>
          <w:tcPr>
            <w:tcW w:w="1506" w:type="dxa"/>
            <w:tcBorders>
              <w:top w:val="nil"/>
              <w:left w:val="nil"/>
              <w:bottom w:val="single" w:sz="4" w:space="0" w:color="auto"/>
              <w:right w:val="single" w:sz="4" w:space="0" w:color="auto"/>
            </w:tcBorders>
            <w:shd w:val="clear" w:color="000000" w:fill="FFFFFF"/>
            <w:vAlign w:val="bottom"/>
            <w:hideMark/>
          </w:tcPr>
          <w:p w14:paraId="2B592F28" w14:textId="77777777" w:rsidR="00DB0966" w:rsidRDefault="00DB0966">
            <w:pPr>
              <w:jc w:val="right"/>
              <w:rPr>
                <w:rFonts w:ascii="Calibri" w:hAnsi="Calibri" w:cs="Calibri"/>
                <w:sz w:val="20"/>
                <w:szCs w:val="20"/>
              </w:rPr>
            </w:pPr>
            <w:r>
              <w:rPr>
                <w:rFonts w:ascii="Calibri" w:hAnsi="Calibri" w:cs="Calibri"/>
                <w:sz w:val="20"/>
                <w:szCs w:val="20"/>
              </w:rPr>
              <w:t> </w:t>
            </w:r>
          </w:p>
        </w:tc>
        <w:tc>
          <w:tcPr>
            <w:tcW w:w="1506" w:type="dxa"/>
            <w:tcBorders>
              <w:top w:val="nil"/>
              <w:left w:val="nil"/>
              <w:bottom w:val="single" w:sz="4" w:space="0" w:color="auto"/>
              <w:right w:val="single" w:sz="4" w:space="0" w:color="auto"/>
            </w:tcBorders>
            <w:vAlign w:val="bottom"/>
            <w:hideMark/>
          </w:tcPr>
          <w:p w14:paraId="1772D904" w14:textId="77777777" w:rsidR="00DB0966" w:rsidRDefault="00DB0966">
            <w:pPr>
              <w:jc w:val="right"/>
              <w:rPr>
                <w:rFonts w:ascii="Calibri" w:hAnsi="Calibri" w:cs="Calibri"/>
                <w:sz w:val="22"/>
                <w:szCs w:val="22"/>
              </w:rPr>
            </w:pPr>
            <w:r>
              <w:rPr>
                <w:rFonts w:ascii="Calibri" w:hAnsi="Calibri" w:cs="Calibri"/>
                <w:sz w:val="22"/>
                <w:szCs w:val="22"/>
              </w:rPr>
              <w:t>241.861,28</w:t>
            </w:r>
          </w:p>
        </w:tc>
        <w:tc>
          <w:tcPr>
            <w:tcW w:w="877" w:type="dxa"/>
            <w:tcBorders>
              <w:top w:val="nil"/>
              <w:left w:val="nil"/>
              <w:bottom w:val="single" w:sz="4" w:space="0" w:color="auto"/>
              <w:right w:val="single" w:sz="4" w:space="0" w:color="auto"/>
            </w:tcBorders>
            <w:noWrap/>
            <w:vAlign w:val="bottom"/>
            <w:hideMark/>
          </w:tcPr>
          <w:p w14:paraId="2BFC2CDF"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118%</w:t>
            </w:r>
          </w:p>
        </w:tc>
        <w:tc>
          <w:tcPr>
            <w:tcW w:w="804" w:type="dxa"/>
            <w:tcBorders>
              <w:top w:val="nil"/>
              <w:left w:val="nil"/>
              <w:bottom w:val="single" w:sz="4" w:space="0" w:color="auto"/>
              <w:right w:val="single" w:sz="4" w:space="0" w:color="auto"/>
            </w:tcBorders>
            <w:noWrap/>
            <w:vAlign w:val="bottom"/>
            <w:hideMark/>
          </w:tcPr>
          <w:p w14:paraId="04522641"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 </w:t>
            </w:r>
          </w:p>
        </w:tc>
        <w:tc>
          <w:tcPr>
            <w:tcW w:w="222" w:type="dxa"/>
            <w:vAlign w:val="center"/>
            <w:hideMark/>
          </w:tcPr>
          <w:p w14:paraId="5E924AC7" w14:textId="77777777" w:rsidR="00DB0966" w:rsidRDefault="00DB0966">
            <w:pPr>
              <w:rPr>
                <w:sz w:val="20"/>
                <w:szCs w:val="20"/>
              </w:rPr>
            </w:pPr>
          </w:p>
        </w:tc>
      </w:tr>
      <w:tr w:rsidR="00DB0966" w14:paraId="42743D3A" w14:textId="77777777" w:rsidTr="00DB0966">
        <w:trPr>
          <w:trHeight w:val="290"/>
          <w:jc w:val="center"/>
        </w:trPr>
        <w:tc>
          <w:tcPr>
            <w:tcW w:w="665" w:type="dxa"/>
            <w:tcBorders>
              <w:top w:val="nil"/>
              <w:left w:val="single" w:sz="4" w:space="0" w:color="auto"/>
              <w:bottom w:val="single" w:sz="4" w:space="0" w:color="auto"/>
              <w:right w:val="single" w:sz="4" w:space="0" w:color="auto"/>
            </w:tcBorders>
            <w:noWrap/>
            <w:vAlign w:val="bottom"/>
            <w:hideMark/>
          </w:tcPr>
          <w:p w14:paraId="474D97E0"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3239</w:t>
            </w:r>
          </w:p>
        </w:tc>
        <w:tc>
          <w:tcPr>
            <w:tcW w:w="4433" w:type="dxa"/>
            <w:tcBorders>
              <w:top w:val="nil"/>
              <w:left w:val="nil"/>
              <w:bottom w:val="single" w:sz="4" w:space="0" w:color="auto"/>
              <w:right w:val="single" w:sz="4" w:space="0" w:color="auto"/>
            </w:tcBorders>
            <w:noWrap/>
            <w:vAlign w:val="bottom"/>
            <w:hideMark/>
          </w:tcPr>
          <w:p w14:paraId="06C84EAF" w14:textId="77777777" w:rsidR="00DB0966" w:rsidRDefault="00DB0966">
            <w:pPr>
              <w:rPr>
                <w:rFonts w:ascii="Calibri" w:hAnsi="Calibri" w:cs="Calibri"/>
                <w:color w:val="000000"/>
                <w:sz w:val="22"/>
                <w:szCs w:val="22"/>
              </w:rPr>
            </w:pPr>
            <w:r>
              <w:rPr>
                <w:rFonts w:ascii="Calibri" w:hAnsi="Calibri" w:cs="Calibri"/>
                <w:color w:val="000000"/>
                <w:sz w:val="22"/>
                <w:szCs w:val="22"/>
              </w:rPr>
              <w:t xml:space="preserve">Ostale usluge </w:t>
            </w:r>
          </w:p>
        </w:tc>
        <w:tc>
          <w:tcPr>
            <w:tcW w:w="1506" w:type="dxa"/>
            <w:tcBorders>
              <w:top w:val="nil"/>
              <w:left w:val="nil"/>
              <w:bottom w:val="single" w:sz="4" w:space="0" w:color="auto"/>
              <w:right w:val="single" w:sz="4" w:space="0" w:color="auto"/>
            </w:tcBorders>
            <w:noWrap/>
            <w:vAlign w:val="bottom"/>
            <w:hideMark/>
          </w:tcPr>
          <w:p w14:paraId="4D7F4F0A" w14:textId="77777777" w:rsidR="00DB0966" w:rsidRDefault="00DB0966">
            <w:pPr>
              <w:jc w:val="right"/>
              <w:rPr>
                <w:rFonts w:ascii="Calibri" w:hAnsi="Calibri" w:cs="Calibri"/>
                <w:color w:val="000000"/>
                <w:sz w:val="22"/>
                <w:szCs w:val="22"/>
              </w:rPr>
            </w:pPr>
            <w:r>
              <w:rPr>
                <w:rFonts w:ascii="Calibri" w:hAnsi="Calibri" w:cs="Calibri"/>
                <w:color w:val="000000"/>
                <w:sz w:val="22"/>
                <w:szCs w:val="22"/>
              </w:rPr>
              <w:t>197.587,32</w:t>
            </w:r>
          </w:p>
        </w:tc>
        <w:tc>
          <w:tcPr>
            <w:tcW w:w="1506" w:type="dxa"/>
            <w:tcBorders>
              <w:top w:val="nil"/>
              <w:left w:val="nil"/>
              <w:bottom w:val="single" w:sz="4" w:space="0" w:color="auto"/>
              <w:right w:val="single" w:sz="4" w:space="0" w:color="auto"/>
            </w:tcBorders>
            <w:shd w:val="clear" w:color="000000" w:fill="FFFFFF"/>
            <w:vAlign w:val="bottom"/>
            <w:hideMark/>
          </w:tcPr>
          <w:p w14:paraId="280806B4" w14:textId="77777777" w:rsidR="00DB0966" w:rsidRDefault="00DB0966">
            <w:pPr>
              <w:jc w:val="right"/>
              <w:rPr>
                <w:rFonts w:ascii="Calibri" w:hAnsi="Calibri" w:cs="Calibri"/>
                <w:sz w:val="20"/>
                <w:szCs w:val="20"/>
              </w:rPr>
            </w:pPr>
            <w:r>
              <w:rPr>
                <w:rFonts w:ascii="Calibri" w:hAnsi="Calibri" w:cs="Calibri"/>
                <w:sz w:val="20"/>
                <w:szCs w:val="20"/>
              </w:rPr>
              <w:t> </w:t>
            </w:r>
          </w:p>
        </w:tc>
        <w:tc>
          <w:tcPr>
            <w:tcW w:w="1506" w:type="dxa"/>
            <w:tcBorders>
              <w:top w:val="nil"/>
              <w:left w:val="nil"/>
              <w:bottom w:val="single" w:sz="4" w:space="0" w:color="auto"/>
              <w:right w:val="single" w:sz="4" w:space="0" w:color="auto"/>
            </w:tcBorders>
            <w:vAlign w:val="bottom"/>
            <w:hideMark/>
          </w:tcPr>
          <w:p w14:paraId="56F5F996" w14:textId="77777777" w:rsidR="00DB0966" w:rsidRDefault="00DB0966">
            <w:pPr>
              <w:jc w:val="right"/>
              <w:rPr>
                <w:rFonts w:ascii="Calibri" w:hAnsi="Calibri" w:cs="Calibri"/>
                <w:sz w:val="22"/>
                <w:szCs w:val="22"/>
              </w:rPr>
            </w:pPr>
            <w:r>
              <w:rPr>
                <w:rFonts w:ascii="Calibri" w:hAnsi="Calibri" w:cs="Calibri"/>
                <w:sz w:val="22"/>
                <w:szCs w:val="22"/>
              </w:rPr>
              <w:t>195.772,54</w:t>
            </w:r>
          </w:p>
        </w:tc>
        <w:tc>
          <w:tcPr>
            <w:tcW w:w="877" w:type="dxa"/>
            <w:tcBorders>
              <w:top w:val="nil"/>
              <w:left w:val="nil"/>
              <w:bottom w:val="single" w:sz="4" w:space="0" w:color="auto"/>
              <w:right w:val="single" w:sz="4" w:space="0" w:color="auto"/>
            </w:tcBorders>
            <w:noWrap/>
            <w:vAlign w:val="bottom"/>
            <w:hideMark/>
          </w:tcPr>
          <w:p w14:paraId="3574D34C"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99%</w:t>
            </w:r>
          </w:p>
        </w:tc>
        <w:tc>
          <w:tcPr>
            <w:tcW w:w="804" w:type="dxa"/>
            <w:tcBorders>
              <w:top w:val="nil"/>
              <w:left w:val="nil"/>
              <w:bottom w:val="single" w:sz="4" w:space="0" w:color="auto"/>
              <w:right w:val="single" w:sz="4" w:space="0" w:color="auto"/>
            </w:tcBorders>
            <w:noWrap/>
            <w:vAlign w:val="bottom"/>
            <w:hideMark/>
          </w:tcPr>
          <w:p w14:paraId="5DDAE259"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 </w:t>
            </w:r>
          </w:p>
        </w:tc>
        <w:tc>
          <w:tcPr>
            <w:tcW w:w="222" w:type="dxa"/>
            <w:vAlign w:val="center"/>
            <w:hideMark/>
          </w:tcPr>
          <w:p w14:paraId="312A6512" w14:textId="77777777" w:rsidR="00DB0966" w:rsidRDefault="00DB0966">
            <w:pPr>
              <w:rPr>
                <w:sz w:val="20"/>
                <w:szCs w:val="20"/>
              </w:rPr>
            </w:pPr>
          </w:p>
        </w:tc>
      </w:tr>
      <w:tr w:rsidR="00DB0966" w14:paraId="6F377A1F" w14:textId="77777777" w:rsidTr="00DB0966">
        <w:trPr>
          <w:trHeight w:val="320"/>
          <w:jc w:val="center"/>
        </w:trPr>
        <w:tc>
          <w:tcPr>
            <w:tcW w:w="665" w:type="dxa"/>
            <w:tcBorders>
              <w:top w:val="nil"/>
              <w:left w:val="single" w:sz="4" w:space="0" w:color="auto"/>
              <w:bottom w:val="single" w:sz="4" w:space="0" w:color="auto"/>
              <w:right w:val="single" w:sz="4" w:space="0" w:color="auto"/>
            </w:tcBorders>
            <w:noWrap/>
            <w:vAlign w:val="bottom"/>
            <w:hideMark/>
          </w:tcPr>
          <w:p w14:paraId="005DC42C" w14:textId="77777777" w:rsidR="00DB0966" w:rsidRDefault="00DB0966">
            <w:pPr>
              <w:jc w:val="center"/>
              <w:rPr>
                <w:rFonts w:ascii="Calibri" w:hAnsi="Calibri" w:cs="Calibri"/>
                <w:b/>
                <w:bCs/>
                <w:color w:val="000000"/>
                <w:sz w:val="22"/>
                <w:szCs w:val="22"/>
              </w:rPr>
            </w:pPr>
            <w:r>
              <w:rPr>
                <w:rFonts w:ascii="Calibri" w:hAnsi="Calibri" w:cs="Calibri"/>
                <w:b/>
                <w:bCs/>
                <w:color w:val="000000"/>
                <w:sz w:val="22"/>
                <w:szCs w:val="22"/>
              </w:rPr>
              <w:t>325</w:t>
            </w:r>
          </w:p>
        </w:tc>
        <w:tc>
          <w:tcPr>
            <w:tcW w:w="4433" w:type="dxa"/>
            <w:tcBorders>
              <w:top w:val="nil"/>
              <w:left w:val="nil"/>
              <w:bottom w:val="single" w:sz="4" w:space="0" w:color="auto"/>
              <w:right w:val="single" w:sz="4" w:space="0" w:color="auto"/>
            </w:tcBorders>
            <w:vAlign w:val="center"/>
            <w:hideMark/>
          </w:tcPr>
          <w:p w14:paraId="283B8741" w14:textId="585D20F7" w:rsidR="00DB0966" w:rsidRDefault="00DB0966">
            <w:pPr>
              <w:rPr>
                <w:rFonts w:ascii="Calibri" w:hAnsi="Calibri" w:cs="Calibri"/>
                <w:b/>
                <w:bCs/>
                <w:sz w:val="22"/>
                <w:szCs w:val="22"/>
              </w:rPr>
            </w:pPr>
            <w:r>
              <w:rPr>
                <w:rFonts w:ascii="Calibri" w:hAnsi="Calibri" w:cs="Calibri"/>
                <w:b/>
                <w:bCs/>
                <w:sz w:val="22"/>
                <w:szCs w:val="22"/>
              </w:rPr>
              <w:t>Rashodi lijekova i sanitetskog mat.</w:t>
            </w:r>
          </w:p>
        </w:tc>
        <w:tc>
          <w:tcPr>
            <w:tcW w:w="1506" w:type="dxa"/>
            <w:tcBorders>
              <w:top w:val="nil"/>
              <w:left w:val="nil"/>
              <w:bottom w:val="single" w:sz="4" w:space="0" w:color="auto"/>
              <w:right w:val="single" w:sz="4" w:space="0" w:color="auto"/>
            </w:tcBorders>
            <w:vAlign w:val="bottom"/>
            <w:hideMark/>
          </w:tcPr>
          <w:p w14:paraId="0EC09618" w14:textId="77777777" w:rsidR="00DB0966" w:rsidRDefault="00DB0966">
            <w:pPr>
              <w:jc w:val="right"/>
              <w:rPr>
                <w:rFonts w:ascii="Calibri" w:hAnsi="Calibri" w:cs="Calibri"/>
                <w:b/>
                <w:bCs/>
                <w:sz w:val="22"/>
                <w:szCs w:val="22"/>
              </w:rPr>
            </w:pPr>
            <w:r>
              <w:rPr>
                <w:rFonts w:ascii="Calibri" w:hAnsi="Calibri" w:cs="Calibri"/>
                <w:b/>
                <w:bCs/>
                <w:sz w:val="22"/>
                <w:szCs w:val="22"/>
              </w:rPr>
              <w:t>0,00</w:t>
            </w:r>
          </w:p>
        </w:tc>
        <w:tc>
          <w:tcPr>
            <w:tcW w:w="1506" w:type="dxa"/>
            <w:tcBorders>
              <w:top w:val="nil"/>
              <w:left w:val="nil"/>
              <w:bottom w:val="single" w:sz="4" w:space="0" w:color="auto"/>
              <w:right w:val="single" w:sz="4" w:space="0" w:color="auto"/>
            </w:tcBorders>
            <w:vAlign w:val="bottom"/>
            <w:hideMark/>
          </w:tcPr>
          <w:p w14:paraId="0D4AD18A" w14:textId="77777777" w:rsidR="00DB0966" w:rsidRDefault="00DB0966">
            <w:pPr>
              <w:rPr>
                <w:rFonts w:ascii="Calibri" w:hAnsi="Calibri" w:cs="Calibri"/>
                <w:b/>
                <w:bCs/>
                <w:sz w:val="22"/>
                <w:szCs w:val="22"/>
              </w:rPr>
            </w:pPr>
            <w:r>
              <w:rPr>
                <w:rFonts w:ascii="Calibri" w:hAnsi="Calibri" w:cs="Calibri"/>
                <w:b/>
                <w:bCs/>
                <w:sz w:val="22"/>
                <w:szCs w:val="22"/>
              </w:rPr>
              <w:t> </w:t>
            </w:r>
          </w:p>
        </w:tc>
        <w:tc>
          <w:tcPr>
            <w:tcW w:w="1506" w:type="dxa"/>
            <w:tcBorders>
              <w:top w:val="nil"/>
              <w:left w:val="nil"/>
              <w:bottom w:val="single" w:sz="4" w:space="0" w:color="auto"/>
              <w:right w:val="single" w:sz="4" w:space="0" w:color="auto"/>
            </w:tcBorders>
            <w:vAlign w:val="bottom"/>
            <w:hideMark/>
          </w:tcPr>
          <w:p w14:paraId="0A55652A" w14:textId="77777777" w:rsidR="00DB0966" w:rsidRDefault="00DB0966">
            <w:pPr>
              <w:jc w:val="right"/>
              <w:rPr>
                <w:rFonts w:ascii="Calibri" w:hAnsi="Calibri" w:cs="Calibri"/>
                <w:b/>
                <w:bCs/>
                <w:sz w:val="22"/>
                <w:szCs w:val="22"/>
              </w:rPr>
            </w:pPr>
            <w:r>
              <w:rPr>
                <w:rFonts w:ascii="Calibri" w:hAnsi="Calibri" w:cs="Calibri"/>
                <w:b/>
                <w:bCs/>
                <w:sz w:val="22"/>
                <w:szCs w:val="22"/>
              </w:rPr>
              <w:t>1.280.133,64</w:t>
            </w:r>
          </w:p>
        </w:tc>
        <w:tc>
          <w:tcPr>
            <w:tcW w:w="877" w:type="dxa"/>
            <w:tcBorders>
              <w:top w:val="nil"/>
              <w:left w:val="nil"/>
              <w:bottom w:val="single" w:sz="4" w:space="0" w:color="auto"/>
              <w:right w:val="single" w:sz="4" w:space="0" w:color="auto"/>
            </w:tcBorders>
            <w:noWrap/>
            <w:vAlign w:val="bottom"/>
            <w:hideMark/>
          </w:tcPr>
          <w:p w14:paraId="0916C16C"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 </w:t>
            </w:r>
          </w:p>
        </w:tc>
        <w:tc>
          <w:tcPr>
            <w:tcW w:w="804" w:type="dxa"/>
            <w:tcBorders>
              <w:top w:val="nil"/>
              <w:left w:val="nil"/>
              <w:bottom w:val="single" w:sz="4" w:space="0" w:color="auto"/>
              <w:right w:val="single" w:sz="4" w:space="0" w:color="auto"/>
            </w:tcBorders>
            <w:noWrap/>
            <w:vAlign w:val="bottom"/>
            <w:hideMark/>
          </w:tcPr>
          <w:p w14:paraId="4906F273"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 </w:t>
            </w:r>
          </w:p>
        </w:tc>
        <w:tc>
          <w:tcPr>
            <w:tcW w:w="222" w:type="dxa"/>
            <w:vAlign w:val="center"/>
            <w:hideMark/>
          </w:tcPr>
          <w:p w14:paraId="2A8FF1AE" w14:textId="77777777" w:rsidR="00DB0966" w:rsidRDefault="00DB0966">
            <w:pPr>
              <w:rPr>
                <w:sz w:val="20"/>
                <w:szCs w:val="20"/>
              </w:rPr>
            </w:pPr>
          </w:p>
        </w:tc>
      </w:tr>
      <w:tr w:rsidR="00DB0966" w14:paraId="08E71E6D" w14:textId="77777777" w:rsidTr="00DB0966">
        <w:trPr>
          <w:trHeight w:val="320"/>
          <w:jc w:val="center"/>
        </w:trPr>
        <w:tc>
          <w:tcPr>
            <w:tcW w:w="665" w:type="dxa"/>
            <w:tcBorders>
              <w:top w:val="nil"/>
              <w:left w:val="single" w:sz="4" w:space="0" w:color="auto"/>
              <w:bottom w:val="single" w:sz="4" w:space="0" w:color="auto"/>
              <w:right w:val="single" w:sz="4" w:space="0" w:color="auto"/>
            </w:tcBorders>
            <w:noWrap/>
            <w:vAlign w:val="bottom"/>
            <w:hideMark/>
          </w:tcPr>
          <w:p w14:paraId="3E54F644"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3251</w:t>
            </w:r>
          </w:p>
        </w:tc>
        <w:tc>
          <w:tcPr>
            <w:tcW w:w="4433" w:type="dxa"/>
            <w:tcBorders>
              <w:top w:val="nil"/>
              <w:left w:val="nil"/>
              <w:bottom w:val="single" w:sz="4" w:space="0" w:color="auto"/>
              <w:right w:val="single" w:sz="4" w:space="0" w:color="auto"/>
            </w:tcBorders>
            <w:vAlign w:val="center"/>
            <w:hideMark/>
          </w:tcPr>
          <w:p w14:paraId="5C78640C" w14:textId="6BF86A21" w:rsidR="00DB0966" w:rsidRDefault="00DB0966">
            <w:pPr>
              <w:rPr>
                <w:rFonts w:ascii="Calibri" w:hAnsi="Calibri" w:cs="Calibri"/>
                <w:sz w:val="20"/>
                <w:szCs w:val="20"/>
              </w:rPr>
            </w:pPr>
            <w:r>
              <w:rPr>
                <w:rFonts w:ascii="Calibri" w:hAnsi="Calibri" w:cs="Calibri"/>
                <w:sz w:val="20"/>
                <w:szCs w:val="20"/>
              </w:rPr>
              <w:t>Rashodi utroška lijekova i sanitet. Mat.</w:t>
            </w:r>
          </w:p>
        </w:tc>
        <w:tc>
          <w:tcPr>
            <w:tcW w:w="1506" w:type="dxa"/>
            <w:tcBorders>
              <w:top w:val="nil"/>
              <w:left w:val="nil"/>
              <w:bottom w:val="single" w:sz="4" w:space="0" w:color="auto"/>
              <w:right w:val="single" w:sz="4" w:space="0" w:color="auto"/>
            </w:tcBorders>
            <w:vAlign w:val="bottom"/>
            <w:hideMark/>
          </w:tcPr>
          <w:p w14:paraId="11A2F5EE" w14:textId="77777777" w:rsidR="00DB0966" w:rsidRDefault="00DB0966">
            <w:pPr>
              <w:jc w:val="right"/>
              <w:rPr>
                <w:rFonts w:ascii="Calibri" w:hAnsi="Calibri" w:cs="Calibri"/>
                <w:sz w:val="20"/>
                <w:szCs w:val="20"/>
              </w:rPr>
            </w:pPr>
            <w:r>
              <w:rPr>
                <w:rFonts w:ascii="Calibri" w:hAnsi="Calibri" w:cs="Calibri"/>
                <w:sz w:val="20"/>
                <w:szCs w:val="20"/>
              </w:rPr>
              <w:t>0,00</w:t>
            </w:r>
          </w:p>
        </w:tc>
        <w:tc>
          <w:tcPr>
            <w:tcW w:w="1506" w:type="dxa"/>
            <w:tcBorders>
              <w:top w:val="nil"/>
              <w:left w:val="nil"/>
              <w:bottom w:val="single" w:sz="4" w:space="0" w:color="auto"/>
              <w:right w:val="single" w:sz="4" w:space="0" w:color="auto"/>
            </w:tcBorders>
            <w:shd w:val="clear" w:color="000000" w:fill="FFFFFF"/>
            <w:vAlign w:val="bottom"/>
            <w:hideMark/>
          </w:tcPr>
          <w:p w14:paraId="33C16F92" w14:textId="77777777" w:rsidR="00DB0966" w:rsidRDefault="00DB0966">
            <w:pPr>
              <w:jc w:val="right"/>
              <w:rPr>
                <w:rFonts w:ascii="Calibri" w:hAnsi="Calibri" w:cs="Calibri"/>
                <w:sz w:val="20"/>
                <w:szCs w:val="20"/>
              </w:rPr>
            </w:pPr>
            <w:r>
              <w:rPr>
                <w:rFonts w:ascii="Calibri" w:hAnsi="Calibri" w:cs="Calibri"/>
                <w:sz w:val="20"/>
                <w:szCs w:val="20"/>
              </w:rPr>
              <w:t> </w:t>
            </w:r>
          </w:p>
        </w:tc>
        <w:tc>
          <w:tcPr>
            <w:tcW w:w="1506" w:type="dxa"/>
            <w:tcBorders>
              <w:top w:val="nil"/>
              <w:left w:val="nil"/>
              <w:bottom w:val="single" w:sz="4" w:space="0" w:color="auto"/>
              <w:right w:val="single" w:sz="4" w:space="0" w:color="auto"/>
            </w:tcBorders>
            <w:vAlign w:val="bottom"/>
            <w:hideMark/>
          </w:tcPr>
          <w:p w14:paraId="1EE21227" w14:textId="77777777" w:rsidR="00DB0966" w:rsidRDefault="00DB0966">
            <w:pPr>
              <w:jc w:val="right"/>
              <w:rPr>
                <w:rFonts w:ascii="Calibri" w:hAnsi="Calibri" w:cs="Calibri"/>
                <w:sz w:val="22"/>
                <w:szCs w:val="22"/>
              </w:rPr>
            </w:pPr>
            <w:r>
              <w:rPr>
                <w:rFonts w:ascii="Calibri" w:hAnsi="Calibri" w:cs="Calibri"/>
                <w:sz w:val="22"/>
                <w:szCs w:val="22"/>
              </w:rPr>
              <w:t>1.280.133,64</w:t>
            </w:r>
          </w:p>
        </w:tc>
        <w:tc>
          <w:tcPr>
            <w:tcW w:w="877" w:type="dxa"/>
            <w:tcBorders>
              <w:top w:val="nil"/>
              <w:left w:val="nil"/>
              <w:bottom w:val="single" w:sz="4" w:space="0" w:color="auto"/>
              <w:right w:val="single" w:sz="4" w:space="0" w:color="auto"/>
            </w:tcBorders>
            <w:noWrap/>
            <w:vAlign w:val="bottom"/>
            <w:hideMark/>
          </w:tcPr>
          <w:p w14:paraId="61DF1B09"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 </w:t>
            </w:r>
          </w:p>
        </w:tc>
        <w:tc>
          <w:tcPr>
            <w:tcW w:w="804" w:type="dxa"/>
            <w:tcBorders>
              <w:top w:val="nil"/>
              <w:left w:val="nil"/>
              <w:bottom w:val="single" w:sz="4" w:space="0" w:color="auto"/>
              <w:right w:val="single" w:sz="4" w:space="0" w:color="auto"/>
            </w:tcBorders>
            <w:noWrap/>
            <w:vAlign w:val="bottom"/>
            <w:hideMark/>
          </w:tcPr>
          <w:p w14:paraId="471D234D"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 </w:t>
            </w:r>
          </w:p>
        </w:tc>
        <w:tc>
          <w:tcPr>
            <w:tcW w:w="222" w:type="dxa"/>
            <w:vAlign w:val="center"/>
            <w:hideMark/>
          </w:tcPr>
          <w:p w14:paraId="43E0248D" w14:textId="77777777" w:rsidR="00DB0966" w:rsidRDefault="00DB0966">
            <w:pPr>
              <w:rPr>
                <w:sz w:val="20"/>
                <w:szCs w:val="20"/>
              </w:rPr>
            </w:pPr>
          </w:p>
        </w:tc>
      </w:tr>
      <w:tr w:rsidR="00DB0966" w14:paraId="7094ECF2" w14:textId="77777777" w:rsidTr="00DB0966">
        <w:trPr>
          <w:trHeight w:val="290"/>
          <w:jc w:val="center"/>
        </w:trPr>
        <w:tc>
          <w:tcPr>
            <w:tcW w:w="665" w:type="dxa"/>
            <w:tcBorders>
              <w:top w:val="nil"/>
              <w:left w:val="single" w:sz="4" w:space="0" w:color="auto"/>
              <w:bottom w:val="single" w:sz="4" w:space="0" w:color="auto"/>
              <w:right w:val="single" w:sz="4" w:space="0" w:color="auto"/>
            </w:tcBorders>
            <w:noWrap/>
            <w:vAlign w:val="bottom"/>
            <w:hideMark/>
          </w:tcPr>
          <w:p w14:paraId="2586EFF9" w14:textId="77777777" w:rsidR="00DB0966" w:rsidRDefault="00DB0966">
            <w:pPr>
              <w:jc w:val="center"/>
              <w:rPr>
                <w:rFonts w:ascii="Calibri" w:hAnsi="Calibri" w:cs="Calibri"/>
                <w:b/>
                <w:bCs/>
                <w:sz w:val="22"/>
                <w:szCs w:val="22"/>
              </w:rPr>
            </w:pPr>
            <w:r>
              <w:rPr>
                <w:rFonts w:ascii="Calibri" w:hAnsi="Calibri" w:cs="Calibri"/>
                <w:b/>
                <w:bCs/>
                <w:sz w:val="22"/>
                <w:szCs w:val="22"/>
              </w:rPr>
              <w:t>329</w:t>
            </w:r>
          </w:p>
        </w:tc>
        <w:tc>
          <w:tcPr>
            <w:tcW w:w="4433" w:type="dxa"/>
            <w:tcBorders>
              <w:top w:val="nil"/>
              <w:left w:val="nil"/>
              <w:bottom w:val="single" w:sz="4" w:space="0" w:color="auto"/>
              <w:right w:val="single" w:sz="4" w:space="0" w:color="auto"/>
            </w:tcBorders>
            <w:noWrap/>
            <w:vAlign w:val="bottom"/>
            <w:hideMark/>
          </w:tcPr>
          <w:p w14:paraId="44B0FC06" w14:textId="77777777" w:rsidR="00DB0966" w:rsidRDefault="00DB0966">
            <w:pPr>
              <w:rPr>
                <w:rFonts w:ascii="Calibri" w:hAnsi="Calibri" w:cs="Calibri"/>
                <w:b/>
                <w:bCs/>
                <w:sz w:val="22"/>
                <w:szCs w:val="22"/>
              </w:rPr>
            </w:pPr>
            <w:r>
              <w:rPr>
                <w:rFonts w:ascii="Calibri" w:hAnsi="Calibri" w:cs="Calibri"/>
                <w:b/>
                <w:bCs/>
                <w:sz w:val="22"/>
                <w:szCs w:val="22"/>
              </w:rPr>
              <w:t>Ostali nespomenuti rashodi poslovanja</w:t>
            </w:r>
          </w:p>
        </w:tc>
        <w:tc>
          <w:tcPr>
            <w:tcW w:w="1506" w:type="dxa"/>
            <w:tcBorders>
              <w:top w:val="nil"/>
              <w:left w:val="nil"/>
              <w:bottom w:val="single" w:sz="4" w:space="0" w:color="auto"/>
              <w:right w:val="single" w:sz="4" w:space="0" w:color="auto"/>
            </w:tcBorders>
            <w:noWrap/>
            <w:vAlign w:val="bottom"/>
            <w:hideMark/>
          </w:tcPr>
          <w:p w14:paraId="54C1407B" w14:textId="77777777" w:rsidR="00DB0966" w:rsidRDefault="00DB0966">
            <w:pPr>
              <w:jc w:val="right"/>
              <w:rPr>
                <w:rFonts w:ascii="Calibri" w:hAnsi="Calibri" w:cs="Calibri"/>
                <w:b/>
                <w:bCs/>
                <w:sz w:val="22"/>
                <w:szCs w:val="22"/>
              </w:rPr>
            </w:pPr>
            <w:r>
              <w:rPr>
                <w:rFonts w:ascii="Calibri" w:hAnsi="Calibri" w:cs="Calibri"/>
                <w:b/>
                <w:bCs/>
                <w:sz w:val="22"/>
                <w:szCs w:val="22"/>
              </w:rPr>
              <w:t>198.152,14</w:t>
            </w:r>
          </w:p>
        </w:tc>
        <w:tc>
          <w:tcPr>
            <w:tcW w:w="1506" w:type="dxa"/>
            <w:tcBorders>
              <w:top w:val="nil"/>
              <w:left w:val="nil"/>
              <w:bottom w:val="single" w:sz="4" w:space="0" w:color="auto"/>
              <w:right w:val="single" w:sz="4" w:space="0" w:color="auto"/>
            </w:tcBorders>
            <w:noWrap/>
            <w:vAlign w:val="bottom"/>
            <w:hideMark/>
          </w:tcPr>
          <w:p w14:paraId="14D38168" w14:textId="77777777" w:rsidR="00DB0966" w:rsidRDefault="00DB0966">
            <w:pPr>
              <w:jc w:val="right"/>
              <w:rPr>
                <w:rFonts w:ascii="Calibri" w:hAnsi="Calibri" w:cs="Calibri"/>
                <w:b/>
                <w:bCs/>
                <w:sz w:val="22"/>
                <w:szCs w:val="22"/>
              </w:rPr>
            </w:pPr>
            <w:r>
              <w:rPr>
                <w:rFonts w:ascii="Calibri" w:hAnsi="Calibri" w:cs="Calibri"/>
                <w:b/>
                <w:bCs/>
                <w:sz w:val="22"/>
                <w:szCs w:val="22"/>
              </w:rPr>
              <w:t> </w:t>
            </w:r>
          </w:p>
        </w:tc>
        <w:tc>
          <w:tcPr>
            <w:tcW w:w="1506" w:type="dxa"/>
            <w:tcBorders>
              <w:top w:val="nil"/>
              <w:left w:val="nil"/>
              <w:bottom w:val="single" w:sz="4" w:space="0" w:color="auto"/>
              <w:right w:val="single" w:sz="4" w:space="0" w:color="auto"/>
            </w:tcBorders>
            <w:noWrap/>
            <w:vAlign w:val="bottom"/>
            <w:hideMark/>
          </w:tcPr>
          <w:p w14:paraId="11183AA4" w14:textId="77777777" w:rsidR="00DB0966" w:rsidRDefault="00DB0966">
            <w:pPr>
              <w:jc w:val="right"/>
              <w:rPr>
                <w:rFonts w:ascii="Calibri" w:hAnsi="Calibri" w:cs="Calibri"/>
                <w:b/>
                <w:bCs/>
                <w:sz w:val="22"/>
                <w:szCs w:val="22"/>
              </w:rPr>
            </w:pPr>
            <w:r>
              <w:rPr>
                <w:rFonts w:ascii="Calibri" w:hAnsi="Calibri" w:cs="Calibri"/>
                <w:b/>
                <w:bCs/>
                <w:sz w:val="22"/>
                <w:szCs w:val="22"/>
              </w:rPr>
              <w:t>165.389,47</w:t>
            </w:r>
          </w:p>
        </w:tc>
        <w:tc>
          <w:tcPr>
            <w:tcW w:w="877" w:type="dxa"/>
            <w:tcBorders>
              <w:top w:val="nil"/>
              <w:left w:val="nil"/>
              <w:bottom w:val="single" w:sz="4" w:space="0" w:color="auto"/>
              <w:right w:val="single" w:sz="4" w:space="0" w:color="auto"/>
            </w:tcBorders>
            <w:noWrap/>
            <w:vAlign w:val="bottom"/>
            <w:hideMark/>
          </w:tcPr>
          <w:p w14:paraId="698E6078" w14:textId="77777777" w:rsidR="00DB0966" w:rsidRDefault="00DB0966">
            <w:pPr>
              <w:jc w:val="center"/>
              <w:rPr>
                <w:rFonts w:ascii="Calibri" w:hAnsi="Calibri" w:cs="Calibri"/>
                <w:b/>
                <w:bCs/>
                <w:sz w:val="22"/>
                <w:szCs w:val="22"/>
              </w:rPr>
            </w:pPr>
            <w:r>
              <w:rPr>
                <w:rFonts w:ascii="Calibri" w:hAnsi="Calibri" w:cs="Calibri"/>
                <w:b/>
                <w:bCs/>
                <w:sz w:val="22"/>
                <w:szCs w:val="22"/>
              </w:rPr>
              <w:t>83%</w:t>
            </w:r>
          </w:p>
        </w:tc>
        <w:tc>
          <w:tcPr>
            <w:tcW w:w="804" w:type="dxa"/>
            <w:tcBorders>
              <w:top w:val="nil"/>
              <w:left w:val="nil"/>
              <w:bottom w:val="single" w:sz="4" w:space="0" w:color="auto"/>
              <w:right w:val="single" w:sz="4" w:space="0" w:color="auto"/>
            </w:tcBorders>
            <w:noWrap/>
            <w:vAlign w:val="bottom"/>
            <w:hideMark/>
          </w:tcPr>
          <w:p w14:paraId="1617D2F5" w14:textId="77777777" w:rsidR="00DB0966" w:rsidRDefault="00DB0966">
            <w:pPr>
              <w:jc w:val="center"/>
              <w:rPr>
                <w:rFonts w:ascii="Calibri" w:hAnsi="Calibri" w:cs="Calibri"/>
                <w:b/>
                <w:bCs/>
                <w:sz w:val="22"/>
                <w:szCs w:val="22"/>
              </w:rPr>
            </w:pPr>
            <w:r>
              <w:rPr>
                <w:rFonts w:ascii="Calibri" w:hAnsi="Calibri" w:cs="Calibri"/>
                <w:b/>
                <w:bCs/>
                <w:sz w:val="22"/>
                <w:szCs w:val="22"/>
              </w:rPr>
              <w:t> </w:t>
            </w:r>
          </w:p>
        </w:tc>
        <w:tc>
          <w:tcPr>
            <w:tcW w:w="222" w:type="dxa"/>
            <w:vAlign w:val="center"/>
            <w:hideMark/>
          </w:tcPr>
          <w:p w14:paraId="2B04C20B" w14:textId="77777777" w:rsidR="00DB0966" w:rsidRDefault="00DB0966">
            <w:pPr>
              <w:rPr>
                <w:sz w:val="20"/>
                <w:szCs w:val="20"/>
              </w:rPr>
            </w:pPr>
          </w:p>
        </w:tc>
      </w:tr>
      <w:tr w:rsidR="00DB0966" w14:paraId="5C575A3E" w14:textId="77777777" w:rsidTr="00DB0966">
        <w:trPr>
          <w:trHeight w:val="290"/>
          <w:jc w:val="center"/>
        </w:trPr>
        <w:tc>
          <w:tcPr>
            <w:tcW w:w="665" w:type="dxa"/>
            <w:tcBorders>
              <w:top w:val="nil"/>
              <w:left w:val="single" w:sz="4" w:space="0" w:color="auto"/>
              <w:bottom w:val="single" w:sz="4" w:space="0" w:color="auto"/>
              <w:right w:val="single" w:sz="4" w:space="0" w:color="auto"/>
            </w:tcBorders>
            <w:noWrap/>
            <w:vAlign w:val="bottom"/>
            <w:hideMark/>
          </w:tcPr>
          <w:p w14:paraId="1C52EEA9"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3291</w:t>
            </w:r>
          </w:p>
        </w:tc>
        <w:tc>
          <w:tcPr>
            <w:tcW w:w="4433" w:type="dxa"/>
            <w:tcBorders>
              <w:top w:val="nil"/>
              <w:left w:val="nil"/>
              <w:bottom w:val="single" w:sz="4" w:space="0" w:color="auto"/>
              <w:right w:val="single" w:sz="4" w:space="0" w:color="auto"/>
            </w:tcBorders>
            <w:noWrap/>
            <w:vAlign w:val="bottom"/>
            <w:hideMark/>
          </w:tcPr>
          <w:p w14:paraId="349A8EDB" w14:textId="77777777" w:rsidR="00DB0966" w:rsidRDefault="00DB0966">
            <w:pPr>
              <w:rPr>
                <w:rFonts w:ascii="Calibri" w:hAnsi="Calibri" w:cs="Calibri"/>
                <w:color w:val="000000"/>
                <w:sz w:val="22"/>
                <w:szCs w:val="22"/>
              </w:rPr>
            </w:pPr>
            <w:proofErr w:type="spellStart"/>
            <w:r>
              <w:rPr>
                <w:rFonts w:ascii="Calibri" w:hAnsi="Calibri" w:cs="Calibri"/>
                <w:color w:val="000000"/>
                <w:sz w:val="22"/>
                <w:szCs w:val="22"/>
              </w:rPr>
              <w:t>Nakn</w:t>
            </w:r>
            <w:proofErr w:type="spellEnd"/>
            <w:r>
              <w:rPr>
                <w:rFonts w:ascii="Calibri" w:hAnsi="Calibri" w:cs="Calibri"/>
                <w:color w:val="000000"/>
                <w:sz w:val="22"/>
                <w:szCs w:val="22"/>
              </w:rPr>
              <w:t xml:space="preserve">. za rad </w:t>
            </w:r>
            <w:proofErr w:type="spellStart"/>
            <w:r>
              <w:rPr>
                <w:rFonts w:ascii="Calibri" w:hAnsi="Calibri" w:cs="Calibri"/>
                <w:color w:val="000000"/>
                <w:sz w:val="22"/>
                <w:szCs w:val="22"/>
              </w:rPr>
              <w:t>predst</w:t>
            </w:r>
            <w:proofErr w:type="spellEnd"/>
            <w:r>
              <w:rPr>
                <w:rFonts w:ascii="Calibri" w:hAnsi="Calibri" w:cs="Calibri"/>
                <w:color w:val="000000"/>
                <w:sz w:val="22"/>
                <w:szCs w:val="22"/>
              </w:rPr>
              <w:t xml:space="preserve">. i izvršnih tijela, </w:t>
            </w:r>
            <w:proofErr w:type="spellStart"/>
            <w:r>
              <w:rPr>
                <w:rFonts w:ascii="Calibri" w:hAnsi="Calibri" w:cs="Calibri"/>
                <w:color w:val="000000"/>
                <w:sz w:val="22"/>
                <w:szCs w:val="22"/>
              </w:rPr>
              <w:t>povjer</w:t>
            </w:r>
            <w:proofErr w:type="spellEnd"/>
            <w:r>
              <w:rPr>
                <w:rFonts w:ascii="Calibri" w:hAnsi="Calibri" w:cs="Calibri"/>
                <w:color w:val="000000"/>
                <w:sz w:val="22"/>
                <w:szCs w:val="22"/>
              </w:rPr>
              <w:t xml:space="preserve">. i </w:t>
            </w:r>
            <w:proofErr w:type="spellStart"/>
            <w:r>
              <w:rPr>
                <w:rFonts w:ascii="Calibri" w:hAnsi="Calibri" w:cs="Calibri"/>
                <w:color w:val="000000"/>
                <w:sz w:val="22"/>
                <w:szCs w:val="22"/>
              </w:rPr>
              <w:t>sl</w:t>
            </w:r>
            <w:proofErr w:type="spellEnd"/>
          </w:p>
        </w:tc>
        <w:tc>
          <w:tcPr>
            <w:tcW w:w="1506" w:type="dxa"/>
            <w:tcBorders>
              <w:top w:val="nil"/>
              <w:left w:val="nil"/>
              <w:bottom w:val="single" w:sz="4" w:space="0" w:color="auto"/>
              <w:right w:val="single" w:sz="4" w:space="0" w:color="auto"/>
            </w:tcBorders>
            <w:noWrap/>
            <w:vAlign w:val="bottom"/>
            <w:hideMark/>
          </w:tcPr>
          <w:p w14:paraId="286729A6" w14:textId="77777777" w:rsidR="00DB0966" w:rsidRDefault="00DB0966">
            <w:pPr>
              <w:jc w:val="right"/>
              <w:rPr>
                <w:rFonts w:ascii="Calibri" w:hAnsi="Calibri" w:cs="Calibri"/>
                <w:color w:val="000000"/>
                <w:sz w:val="22"/>
                <w:szCs w:val="22"/>
              </w:rPr>
            </w:pPr>
            <w:r>
              <w:rPr>
                <w:rFonts w:ascii="Calibri" w:hAnsi="Calibri" w:cs="Calibri"/>
                <w:color w:val="000000"/>
                <w:sz w:val="22"/>
                <w:szCs w:val="22"/>
              </w:rPr>
              <w:t>9.191,19</w:t>
            </w:r>
          </w:p>
        </w:tc>
        <w:tc>
          <w:tcPr>
            <w:tcW w:w="1506" w:type="dxa"/>
            <w:tcBorders>
              <w:top w:val="nil"/>
              <w:left w:val="nil"/>
              <w:bottom w:val="single" w:sz="4" w:space="0" w:color="auto"/>
              <w:right w:val="single" w:sz="4" w:space="0" w:color="auto"/>
            </w:tcBorders>
            <w:shd w:val="clear" w:color="000000" w:fill="FFFFFF"/>
            <w:vAlign w:val="bottom"/>
            <w:hideMark/>
          </w:tcPr>
          <w:p w14:paraId="18B580BA" w14:textId="77777777" w:rsidR="00DB0966" w:rsidRDefault="00DB0966">
            <w:pPr>
              <w:jc w:val="right"/>
              <w:rPr>
                <w:rFonts w:ascii="Calibri" w:hAnsi="Calibri" w:cs="Calibri"/>
                <w:sz w:val="20"/>
                <w:szCs w:val="20"/>
              </w:rPr>
            </w:pPr>
            <w:r>
              <w:rPr>
                <w:rFonts w:ascii="Calibri" w:hAnsi="Calibri" w:cs="Calibri"/>
                <w:sz w:val="20"/>
                <w:szCs w:val="20"/>
              </w:rPr>
              <w:t> </w:t>
            </w:r>
          </w:p>
        </w:tc>
        <w:tc>
          <w:tcPr>
            <w:tcW w:w="1506" w:type="dxa"/>
            <w:tcBorders>
              <w:top w:val="nil"/>
              <w:left w:val="nil"/>
              <w:bottom w:val="single" w:sz="4" w:space="0" w:color="auto"/>
              <w:right w:val="single" w:sz="4" w:space="0" w:color="auto"/>
            </w:tcBorders>
            <w:vAlign w:val="bottom"/>
            <w:hideMark/>
          </w:tcPr>
          <w:p w14:paraId="061814A0" w14:textId="77777777" w:rsidR="00DB0966" w:rsidRDefault="00DB0966">
            <w:pPr>
              <w:jc w:val="right"/>
              <w:rPr>
                <w:rFonts w:ascii="Calibri" w:hAnsi="Calibri" w:cs="Calibri"/>
                <w:sz w:val="22"/>
                <w:szCs w:val="22"/>
              </w:rPr>
            </w:pPr>
            <w:r>
              <w:rPr>
                <w:rFonts w:ascii="Calibri" w:hAnsi="Calibri" w:cs="Calibri"/>
                <w:sz w:val="22"/>
                <w:szCs w:val="22"/>
              </w:rPr>
              <w:t>7.925,97</w:t>
            </w:r>
          </w:p>
        </w:tc>
        <w:tc>
          <w:tcPr>
            <w:tcW w:w="877" w:type="dxa"/>
            <w:tcBorders>
              <w:top w:val="nil"/>
              <w:left w:val="nil"/>
              <w:bottom w:val="single" w:sz="4" w:space="0" w:color="auto"/>
              <w:right w:val="single" w:sz="4" w:space="0" w:color="auto"/>
            </w:tcBorders>
            <w:noWrap/>
            <w:vAlign w:val="bottom"/>
            <w:hideMark/>
          </w:tcPr>
          <w:p w14:paraId="64DBE250"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86%</w:t>
            </w:r>
          </w:p>
        </w:tc>
        <w:tc>
          <w:tcPr>
            <w:tcW w:w="804" w:type="dxa"/>
            <w:tcBorders>
              <w:top w:val="nil"/>
              <w:left w:val="nil"/>
              <w:bottom w:val="single" w:sz="4" w:space="0" w:color="auto"/>
              <w:right w:val="single" w:sz="4" w:space="0" w:color="auto"/>
            </w:tcBorders>
            <w:noWrap/>
            <w:vAlign w:val="bottom"/>
            <w:hideMark/>
          </w:tcPr>
          <w:p w14:paraId="62860CFF"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 </w:t>
            </w:r>
          </w:p>
        </w:tc>
        <w:tc>
          <w:tcPr>
            <w:tcW w:w="222" w:type="dxa"/>
            <w:vAlign w:val="center"/>
            <w:hideMark/>
          </w:tcPr>
          <w:p w14:paraId="4BAD8F18" w14:textId="77777777" w:rsidR="00DB0966" w:rsidRDefault="00DB0966">
            <w:pPr>
              <w:rPr>
                <w:sz w:val="20"/>
                <w:szCs w:val="20"/>
              </w:rPr>
            </w:pPr>
          </w:p>
        </w:tc>
      </w:tr>
      <w:tr w:rsidR="00DB0966" w14:paraId="61D737B6" w14:textId="77777777" w:rsidTr="00DB0966">
        <w:trPr>
          <w:trHeight w:val="290"/>
          <w:jc w:val="center"/>
        </w:trPr>
        <w:tc>
          <w:tcPr>
            <w:tcW w:w="665" w:type="dxa"/>
            <w:tcBorders>
              <w:top w:val="nil"/>
              <w:left w:val="single" w:sz="4" w:space="0" w:color="auto"/>
              <w:bottom w:val="single" w:sz="4" w:space="0" w:color="auto"/>
              <w:right w:val="single" w:sz="4" w:space="0" w:color="auto"/>
            </w:tcBorders>
            <w:noWrap/>
            <w:vAlign w:val="bottom"/>
            <w:hideMark/>
          </w:tcPr>
          <w:p w14:paraId="1E2DE427"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3292</w:t>
            </w:r>
          </w:p>
        </w:tc>
        <w:tc>
          <w:tcPr>
            <w:tcW w:w="4433" w:type="dxa"/>
            <w:tcBorders>
              <w:top w:val="nil"/>
              <w:left w:val="nil"/>
              <w:bottom w:val="single" w:sz="4" w:space="0" w:color="auto"/>
              <w:right w:val="single" w:sz="4" w:space="0" w:color="auto"/>
            </w:tcBorders>
            <w:noWrap/>
            <w:vAlign w:val="bottom"/>
            <w:hideMark/>
          </w:tcPr>
          <w:p w14:paraId="619667A9" w14:textId="77777777" w:rsidR="00DB0966" w:rsidRDefault="00DB0966">
            <w:pPr>
              <w:rPr>
                <w:rFonts w:ascii="Calibri" w:hAnsi="Calibri" w:cs="Calibri"/>
                <w:color w:val="000000"/>
                <w:sz w:val="22"/>
                <w:szCs w:val="22"/>
              </w:rPr>
            </w:pPr>
            <w:r>
              <w:rPr>
                <w:rFonts w:ascii="Calibri" w:hAnsi="Calibri" w:cs="Calibri"/>
                <w:color w:val="000000"/>
                <w:sz w:val="22"/>
                <w:szCs w:val="22"/>
              </w:rPr>
              <w:t>Premije osiguranja</w:t>
            </w:r>
          </w:p>
        </w:tc>
        <w:tc>
          <w:tcPr>
            <w:tcW w:w="1506" w:type="dxa"/>
            <w:tcBorders>
              <w:top w:val="nil"/>
              <w:left w:val="nil"/>
              <w:bottom w:val="single" w:sz="4" w:space="0" w:color="auto"/>
              <w:right w:val="single" w:sz="4" w:space="0" w:color="auto"/>
            </w:tcBorders>
            <w:noWrap/>
            <w:vAlign w:val="bottom"/>
            <w:hideMark/>
          </w:tcPr>
          <w:p w14:paraId="6213A0C6" w14:textId="77777777" w:rsidR="00DB0966" w:rsidRDefault="00DB0966">
            <w:pPr>
              <w:jc w:val="right"/>
              <w:rPr>
                <w:rFonts w:ascii="Calibri" w:hAnsi="Calibri" w:cs="Calibri"/>
                <w:color w:val="000000"/>
                <w:sz w:val="22"/>
                <w:szCs w:val="22"/>
              </w:rPr>
            </w:pPr>
            <w:r>
              <w:rPr>
                <w:rFonts w:ascii="Calibri" w:hAnsi="Calibri" w:cs="Calibri"/>
                <w:color w:val="000000"/>
                <w:sz w:val="22"/>
                <w:szCs w:val="22"/>
              </w:rPr>
              <w:t>62.788,13</w:t>
            </w:r>
          </w:p>
        </w:tc>
        <w:tc>
          <w:tcPr>
            <w:tcW w:w="1506" w:type="dxa"/>
            <w:tcBorders>
              <w:top w:val="nil"/>
              <w:left w:val="nil"/>
              <w:bottom w:val="single" w:sz="4" w:space="0" w:color="auto"/>
              <w:right w:val="single" w:sz="4" w:space="0" w:color="auto"/>
            </w:tcBorders>
            <w:shd w:val="clear" w:color="000000" w:fill="FFFFFF"/>
            <w:vAlign w:val="bottom"/>
            <w:hideMark/>
          </w:tcPr>
          <w:p w14:paraId="260BB8BA" w14:textId="77777777" w:rsidR="00DB0966" w:rsidRDefault="00DB0966">
            <w:pPr>
              <w:jc w:val="right"/>
              <w:rPr>
                <w:rFonts w:ascii="Calibri" w:hAnsi="Calibri" w:cs="Calibri"/>
                <w:sz w:val="20"/>
                <w:szCs w:val="20"/>
              </w:rPr>
            </w:pPr>
            <w:r>
              <w:rPr>
                <w:rFonts w:ascii="Calibri" w:hAnsi="Calibri" w:cs="Calibri"/>
                <w:sz w:val="20"/>
                <w:szCs w:val="20"/>
              </w:rPr>
              <w:t> </w:t>
            </w:r>
          </w:p>
        </w:tc>
        <w:tc>
          <w:tcPr>
            <w:tcW w:w="1506" w:type="dxa"/>
            <w:tcBorders>
              <w:top w:val="nil"/>
              <w:left w:val="nil"/>
              <w:bottom w:val="single" w:sz="4" w:space="0" w:color="auto"/>
              <w:right w:val="single" w:sz="4" w:space="0" w:color="auto"/>
            </w:tcBorders>
            <w:vAlign w:val="bottom"/>
            <w:hideMark/>
          </w:tcPr>
          <w:p w14:paraId="2ABA8785" w14:textId="77777777" w:rsidR="00DB0966" w:rsidRDefault="00DB0966">
            <w:pPr>
              <w:jc w:val="right"/>
              <w:rPr>
                <w:rFonts w:ascii="Calibri" w:hAnsi="Calibri" w:cs="Calibri"/>
                <w:sz w:val="22"/>
                <w:szCs w:val="22"/>
              </w:rPr>
            </w:pPr>
            <w:r>
              <w:rPr>
                <w:rFonts w:ascii="Calibri" w:hAnsi="Calibri" w:cs="Calibri"/>
                <w:sz w:val="22"/>
                <w:szCs w:val="22"/>
              </w:rPr>
              <w:t>74.465,86</w:t>
            </w:r>
          </w:p>
        </w:tc>
        <w:tc>
          <w:tcPr>
            <w:tcW w:w="877" w:type="dxa"/>
            <w:tcBorders>
              <w:top w:val="nil"/>
              <w:left w:val="nil"/>
              <w:bottom w:val="single" w:sz="4" w:space="0" w:color="auto"/>
              <w:right w:val="single" w:sz="4" w:space="0" w:color="auto"/>
            </w:tcBorders>
            <w:noWrap/>
            <w:vAlign w:val="bottom"/>
            <w:hideMark/>
          </w:tcPr>
          <w:p w14:paraId="50EDCBE3"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119%</w:t>
            </w:r>
          </w:p>
        </w:tc>
        <w:tc>
          <w:tcPr>
            <w:tcW w:w="804" w:type="dxa"/>
            <w:tcBorders>
              <w:top w:val="nil"/>
              <w:left w:val="nil"/>
              <w:bottom w:val="single" w:sz="4" w:space="0" w:color="auto"/>
              <w:right w:val="single" w:sz="4" w:space="0" w:color="auto"/>
            </w:tcBorders>
            <w:noWrap/>
            <w:vAlign w:val="bottom"/>
            <w:hideMark/>
          </w:tcPr>
          <w:p w14:paraId="4DB3A3BF"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 </w:t>
            </w:r>
          </w:p>
        </w:tc>
        <w:tc>
          <w:tcPr>
            <w:tcW w:w="222" w:type="dxa"/>
            <w:vAlign w:val="center"/>
            <w:hideMark/>
          </w:tcPr>
          <w:p w14:paraId="7F9DBFE2" w14:textId="77777777" w:rsidR="00DB0966" w:rsidRDefault="00DB0966">
            <w:pPr>
              <w:rPr>
                <w:sz w:val="20"/>
                <w:szCs w:val="20"/>
              </w:rPr>
            </w:pPr>
          </w:p>
        </w:tc>
      </w:tr>
      <w:tr w:rsidR="00DB0966" w14:paraId="17A240A7" w14:textId="77777777" w:rsidTr="00DB0966">
        <w:trPr>
          <w:trHeight w:val="290"/>
          <w:jc w:val="center"/>
        </w:trPr>
        <w:tc>
          <w:tcPr>
            <w:tcW w:w="665" w:type="dxa"/>
            <w:tcBorders>
              <w:top w:val="nil"/>
              <w:left w:val="single" w:sz="4" w:space="0" w:color="auto"/>
              <w:bottom w:val="single" w:sz="4" w:space="0" w:color="auto"/>
              <w:right w:val="single" w:sz="4" w:space="0" w:color="auto"/>
            </w:tcBorders>
            <w:noWrap/>
            <w:vAlign w:val="bottom"/>
            <w:hideMark/>
          </w:tcPr>
          <w:p w14:paraId="18812FA4"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3293</w:t>
            </w:r>
          </w:p>
        </w:tc>
        <w:tc>
          <w:tcPr>
            <w:tcW w:w="4433" w:type="dxa"/>
            <w:tcBorders>
              <w:top w:val="nil"/>
              <w:left w:val="nil"/>
              <w:bottom w:val="single" w:sz="4" w:space="0" w:color="auto"/>
              <w:right w:val="single" w:sz="4" w:space="0" w:color="auto"/>
            </w:tcBorders>
            <w:noWrap/>
            <w:vAlign w:val="bottom"/>
            <w:hideMark/>
          </w:tcPr>
          <w:p w14:paraId="2F0D56FC" w14:textId="77777777" w:rsidR="00DB0966" w:rsidRDefault="00DB0966">
            <w:pPr>
              <w:rPr>
                <w:rFonts w:ascii="Calibri" w:hAnsi="Calibri" w:cs="Calibri"/>
                <w:color w:val="000000"/>
                <w:sz w:val="22"/>
                <w:szCs w:val="22"/>
              </w:rPr>
            </w:pPr>
            <w:r>
              <w:rPr>
                <w:rFonts w:ascii="Calibri" w:hAnsi="Calibri" w:cs="Calibri"/>
                <w:color w:val="000000"/>
                <w:sz w:val="22"/>
                <w:szCs w:val="22"/>
              </w:rPr>
              <w:t>Reprezentacija</w:t>
            </w:r>
          </w:p>
        </w:tc>
        <w:tc>
          <w:tcPr>
            <w:tcW w:w="1506" w:type="dxa"/>
            <w:tcBorders>
              <w:top w:val="nil"/>
              <w:left w:val="nil"/>
              <w:bottom w:val="single" w:sz="4" w:space="0" w:color="auto"/>
              <w:right w:val="single" w:sz="4" w:space="0" w:color="auto"/>
            </w:tcBorders>
            <w:noWrap/>
            <w:vAlign w:val="bottom"/>
            <w:hideMark/>
          </w:tcPr>
          <w:p w14:paraId="2DCEC210" w14:textId="77777777" w:rsidR="00DB0966" w:rsidRDefault="00DB0966">
            <w:pPr>
              <w:jc w:val="right"/>
              <w:rPr>
                <w:rFonts w:ascii="Calibri" w:hAnsi="Calibri" w:cs="Calibri"/>
                <w:color w:val="000000"/>
                <w:sz w:val="22"/>
                <w:szCs w:val="22"/>
              </w:rPr>
            </w:pPr>
            <w:r>
              <w:rPr>
                <w:rFonts w:ascii="Calibri" w:hAnsi="Calibri" w:cs="Calibri"/>
                <w:color w:val="000000"/>
                <w:sz w:val="22"/>
                <w:szCs w:val="22"/>
              </w:rPr>
              <w:t>487,18</w:t>
            </w:r>
          </w:p>
        </w:tc>
        <w:tc>
          <w:tcPr>
            <w:tcW w:w="1506" w:type="dxa"/>
            <w:tcBorders>
              <w:top w:val="nil"/>
              <w:left w:val="nil"/>
              <w:bottom w:val="single" w:sz="4" w:space="0" w:color="auto"/>
              <w:right w:val="single" w:sz="4" w:space="0" w:color="auto"/>
            </w:tcBorders>
            <w:shd w:val="clear" w:color="000000" w:fill="FFFFFF"/>
            <w:vAlign w:val="bottom"/>
            <w:hideMark/>
          </w:tcPr>
          <w:p w14:paraId="6FF7A259" w14:textId="77777777" w:rsidR="00DB0966" w:rsidRDefault="00DB0966">
            <w:pPr>
              <w:jc w:val="right"/>
              <w:rPr>
                <w:rFonts w:ascii="Calibri" w:hAnsi="Calibri" w:cs="Calibri"/>
                <w:sz w:val="20"/>
                <w:szCs w:val="20"/>
              </w:rPr>
            </w:pPr>
            <w:r>
              <w:rPr>
                <w:rFonts w:ascii="Calibri" w:hAnsi="Calibri" w:cs="Calibri"/>
                <w:sz w:val="20"/>
                <w:szCs w:val="20"/>
              </w:rPr>
              <w:t> </w:t>
            </w:r>
          </w:p>
        </w:tc>
        <w:tc>
          <w:tcPr>
            <w:tcW w:w="1506" w:type="dxa"/>
            <w:tcBorders>
              <w:top w:val="nil"/>
              <w:left w:val="nil"/>
              <w:bottom w:val="single" w:sz="4" w:space="0" w:color="auto"/>
              <w:right w:val="single" w:sz="4" w:space="0" w:color="auto"/>
            </w:tcBorders>
            <w:vAlign w:val="bottom"/>
            <w:hideMark/>
          </w:tcPr>
          <w:p w14:paraId="0A1C1590" w14:textId="77777777" w:rsidR="00DB0966" w:rsidRDefault="00DB0966">
            <w:pPr>
              <w:jc w:val="right"/>
              <w:rPr>
                <w:rFonts w:ascii="Calibri" w:hAnsi="Calibri" w:cs="Calibri"/>
                <w:sz w:val="22"/>
                <w:szCs w:val="22"/>
              </w:rPr>
            </w:pPr>
            <w:r>
              <w:rPr>
                <w:rFonts w:ascii="Calibri" w:hAnsi="Calibri" w:cs="Calibri"/>
                <w:sz w:val="22"/>
                <w:szCs w:val="22"/>
              </w:rPr>
              <w:t>1.226,35</w:t>
            </w:r>
          </w:p>
        </w:tc>
        <w:tc>
          <w:tcPr>
            <w:tcW w:w="877" w:type="dxa"/>
            <w:tcBorders>
              <w:top w:val="nil"/>
              <w:left w:val="nil"/>
              <w:bottom w:val="single" w:sz="4" w:space="0" w:color="auto"/>
              <w:right w:val="single" w:sz="4" w:space="0" w:color="auto"/>
            </w:tcBorders>
            <w:noWrap/>
            <w:vAlign w:val="bottom"/>
            <w:hideMark/>
          </w:tcPr>
          <w:p w14:paraId="7273F812"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252%</w:t>
            </w:r>
          </w:p>
        </w:tc>
        <w:tc>
          <w:tcPr>
            <w:tcW w:w="804" w:type="dxa"/>
            <w:tcBorders>
              <w:top w:val="nil"/>
              <w:left w:val="nil"/>
              <w:bottom w:val="single" w:sz="4" w:space="0" w:color="auto"/>
              <w:right w:val="single" w:sz="4" w:space="0" w:color="auto"/>
            </w:tcBorders>
            <w:noWrap/>
            <w:vAlign w:val="bottom"/>
            <w:hideMark/>
          </w:tcPr>
          <w:p w14:paraId="6600C4AC"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 </w:t>
            </w:r>
          </w:p>
        </w:tc>
        <w:tc>
          <w:tcPr>
            <w:tcW w:w="222" w:type="dxa"/>
            <w:vAlign w:val="center"/>
            <w:hideMark/>
          </w:tcPr>
          <w:p w14:paraId="4685D752" w14:textId="77777777" w:rsidR="00DB0966" w:rsidRDefault="00DB0966">
            <w:pPr>
              <w:rPr>
                <w:sz w:val="20"/>
                <w:szCs w:val="20"/>
              </w:rPr>
            </w:pPr>
          </w:p>
        </w:tc>
      </w:tr>
      <w:tr w:rsidR="00DB0966" w14:paraId="58601220" w14:textId="77777777" w:rsidTr="00DB0966">
        <w:trPr>
          <w:trHeight w:val="290"/>
          <w:jc w:val="center"/>
        </w:trPr>
        <w:tc>
          <w:tcPr>
            <w:tcW w:w="665" w:type="dxa"/>
            <w:tcBorders>
              <w:top w:val="nil"/>
              <w:left w:val="single" w:sz="4" w:space="0" w:color="auto"/>
              <w:bottom w:val="single" w:sz="4" w:space="0" w:color="auto"/>
              <w:right w:val="single" w:sz="4" w:space="0" w:color="auto"/>
            </w:tcBorders>
            <w:noWrap/>
            <w:vAlign w:val="bottom"/>
            <w:hideMark/>
          </w:tcPr>
          <w:p w14:paraId="469714AB"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3294</w:t>
            </w:r>
          </w:p>
        </w:tc>
        <w:tc>
          <w:tcPr>
            <w:tcW w:w="4433" w:type="dxa"/>
            <w:tcBorders>
              <w:top w:val="nil"/>
              <w:left w:val="nil"/>
              <w:bottom w:val="single" w:sz="4" w:space="0" w:color="auto"/>
              <w:right w:val="single" w:sz="4" w:space="0" w:color="auto"/>
            </w:tcBorders>
            <w:noWrap/>
            <w:vAlign w:val="bottom"/>
            <w:hideMark/>
          </w:tcPr>
          <w:p w14:paraId="2D00C155" w14:textId="77777777" w:rsidR="00DB0966" w:rsidRDefault="00DB0966">
            <w:pPr>
              <w:rPr>
                <w:rFonts w:ascii="Calibri" w:hAnsi="Calibri" w:cs="Calibri"/>
                <w:color w:val="000000"/>
                <w:sz w:val="22"/>
                <w:szCs w:val="22"/>
              </w:rPr>
            </w:pPr>
            <w:r>
              <w:rPr>
                <w:rFonts w:ascii="Calibri" w:hAnsi="Calibri" w:cs="Calibri"/>
                <w:color w:val="000000"/>
                <w:sz w:val="22"/>
                <w:szCs w:val="22"/>
              </w:rPr>
              <w:t>Članarine</w:t>
            </w:r>
          </w:p>
        </w:tc>
        <w:tc>
          <w:tcPr>
            <w:tcW w:w="1506" w:type="dxa"/>
            <w:tcBorders>
              <w:top w:val="nil"/>
              <w:left w:val="nil"/>
              <w:bottom w:val="single" w:sz="4" w:space="0" w:color="auto"/>
              <w:right w:val="single" w:sz="4" w:space="0" w:color="auto"/>
            </w:tcBorders>
            <w:noWrap/>
            <w:vAlign w:val="bottom"/>
            <w:hideMark/>
          </w:tcPr>
          <w:p w14:paraId="1105B239" w14:textId="77777777" w:rsidR="00DB0966" w:rsidRDefault="00DB0966">
            <w:pPr>
              <w:jc w:val="right"/>
              <w:rPr>
                <w:rFonts w:ascii="Calibri" w:hAnsi="Calibri" w:cs="Calibri"/>
                <w:color w:val="000000"/>
                <w:sz w:val="22"/>
                <w:szCs w:val="22"/>
              </w:rPr>
            </w:pPr>
            <w:r>
              <w:rPr>
                <w:rFonts w:ascii="Calibri" w:hAnsi="Calibri" w:cs="Calibri"/>
                <w:color w:val="000000"/>
                <w:sz w:val="22"/>
                <w:szCs w:val="22"/>
              </w:rPr>
              <w:t>7.841,11</w:t>
            </w:r>
          </w:p>
        </w:tc>
        <w:tc>
          <w:tcPr>
            <w:tcW w:w="1506" w:type="dxa"/>
            <w:tcBorders>
              <w:top w:val="nil"/>
              <w:left w:val="nil"/>
              <w:bottom w:val="single" w:sz="4" w:space="0" w:color="auto"/>
              <w:right w:val="single" w:sz="4" w:space="0" w:color="auto"/>
            </w:tcBorders>
            <w:shd w:val="clear" w:color="000000" w:fill="FFFFFF"/>
            <w:vAlign w:val="bottom"/>
            <w:hideMark/>
          </w:tcPr>
          <w:p w14:paraId="2292EE1B" w14:textId="77777777" w:rsidR="00DB0966" w:rsidRDefault="00DB0966">
            <w:pPr>
              <w:jc w:val="right"/>
              <w:rPr>
                <w:rFonts w:ascii="Calibri" w:hAnsi="Calibri" w:cs="Calibri"/>
                <w:sz w:val="20"/>
                <w:szCs w:val="20"/>
              </w:rPr>
            </w:pPr>
            <w:r>
              <w:rPr>
                <w:rFonts w:ascii="Calibri" w:hAnsi="Calibri" w:cs="Calibri"/>
                <w:sz w:val="20"/>
                <w:szCs w:val="20"/>
              </w:rPr>
              <w:t> </w:t>
            </w:r>
          </w:p>
        </w:tc>
        <w:tc>
          <w:tcPr>
            <w:tcW w:w="1506" w:type="dxa"/>
            <w:tcBorders>
              <w:top w:val="nil"/>
              <w:left w:val="nil"/>
              <w:bottom w:val="single" w:sz="4" w:space="0" w:color="auto"/>
              <w:right w:val="single" w:sz="4" w:space="0" w:color="auto"/>
            </w:tcBorders>
            <w:vAlign w:val="bottom"/>
            <w:hideMark/>
          </w:tcPr>
          <w:p w14:paraId="79C53A87" w14:textId="77777777" w:rsidR="00DB0966" w:rsidRDefault="00DB0966">
            <w:pPr>
              <w:jc w:val="right"/>
              <w:rPr>
                <w:rFonts w:ascii="Calibri" w:hAnsi="Calibri" w:cs="Calibri"/>
                <w:sz w:val="22"/>
                <w:szCs w:val="22"/>
              </w:rPr>
            </w:pPr>
            <w:r>
              <w:rPr>
                <w:rFonts w:ascii="Calibri" w:hAnsi="Calibri" w:cs="Calibri"/>
                <w:sz w:val="22"/>
                <w:szCs w:val="22"/>
              </w:rPr>
              <w:t>8.459,80</w:t>
            </w:r>
          </w:p>
        </w:tc>
        <w:tc>
          <w:tcPr>
            <w:tcW w:w="877" w:type="dxa"/>
            <w:tcBorders>
              <w:top w:val="nil"/>
              <w:left w:val="nil"/>
              <w:bottom w:val="single" w:sz="4" w:space="0" w:color="auto"/>
              <w:right w:val="single" w:sz="4" w:space="0" w:color="auto"/>
            </w:tcBorders>
            <w:noWrap/>
            <w:vAlign w:val="bottom"/>
            <w:hideMark/>
          </w:tcPr>
          <w:p w14:paraId="1E633A24"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108%</w:t>
            </w:r>
          </w:p>
        </w:tc>
        <w:tc>
          <w:tcPr>
            <w:tcW w:w="804" w:type="dxa"/>
            <w:tcBorders>
              <w:top w:val="nil"/>
              <w:left w:val="nil"/>
              <w:bottom w:val="single" w:sz="4" w:space="0" w:color="auto"/>
              <w:right w:val="single" w:sz="4" w:space="0" w:color="auto"/>
            </w:tcBorders>
            <w:noWrap/>
            <w:vAlign w:val="bottom"/>
            <w:hideMark/>
          </w:tcPr>
          <w:p w14:paraId="5FBA3C89"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 </w:t>
            </w:r>
          </w:p>
        </w:tc>
        <w:tc>
          <w:tcPr>
            <w:tcW w:w="222" w:type="dxa"/>
            <w:vAlign w:val="center"/>
            <w:hideMark/>
          </w:tcPr>
          <w:p w14:paraId="06B13C39" w14:textId="77777777" w:rsidR="00DB0966" w:rsidRDefault="00DB0966">
            <w:pPr>
              <w:rPr>
                <w:sz w:val="20"/>
                <w:szCs w:val="20"/>
              </w:rPr>
            </w:pPr>
          </w:p>
        </w:tc>
      </w:tr>
      <w:tr w:rsidR="00DB0966" w14:paraId="2AFE5A45" w14:textId="77777777" w:rsidTr="00DB0966">
        <w:trPr>
          <w:trHeight w:val="290"/>
          <w:jc w:val="center"/>
        </w:trPr>
        <w:tc>
          <w:tcPr>
            <w:tcW w:w="665" w:type="dxa"/>
            <w:tcBorders>
              <w:top w:val="nil"/>
              <w:left w:val="single" w:sz="4" w:space="0" w:color="auto"/>
              <w:bottom w:val="single" w:sz="4" w:space="0" w:color="auto"/>
              <w:right w:val="single" w:sz="4" w:space="0" w:color="auto"/>
            </w:tcBorders>
            <w:noWrap/>
            <w:vAlign w:val="bottom"/>
            <w:hideMark/>
          </w:tcPr>
          <w:p w14:paraId="78A43109"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3295</w:t>
            </w:r>
          </w:p>
        </w:tc>
        <w:tc>
          <w:tcPr>
            <w:tcW w:w="4433" w:type="dxa"/>
            <w:tcBorders>
              <w:top w:val="nil"/>
              <w:left w:val="nil"/>
              <w:bottom w:val="single" w:sz="4" w:space="0" w:color="auto"/>
              <w:right w:val="single" w:sz="4" w:space="0" w:color="auto"/>
            </w:tcBorders>
            <w:noWrap/>
            <w:vAlign w:val="bottom"/>
            <w:hideMark/>
          </w:tcPr>
          <w:p w14:paraId="4DFA1730" w14:textId="77777777" w:rsidR="00DB0966" w:rsidRDefault="00DB0966">
            <w:pPr>
              <w:rPr>
                <w:rFonts w:ascii="Calibri" w:hAnsi="Calibri" w:cs="Calibri"/>
                <w:color w:val="000000"/>
                <w:sz w:val="22"/>
                <w:szCs w:val="22"/>
              </w:rPr>
            </w:pPr>
            <w:r>
              <w:rPr>
                <w:rFonts w:ascii="Calibri" w:hAnsi="Calibri" w:cs="Calibri"/>
                <w:color w:val="000000"/>
                <w:sz w:val="22"/>
                <w:szCs w:val="22"/>
              </w:rPr>
              <w:t>Pristojbe i naknade</w:t>
            </w:r>
          </w:p>
        </w:tc>
        <w:tc>
          <w:tcPr>
            <w:tcW w:w="1506" w:type="dxa"/>
            <w:tcBorders>
              <w:top w:val="nil"/>
              <w:left w:val="nil"/>
              <w:bottom w:val="single" w:sz="4" w:space="0" w:color="auto"/>
              <w:right w:val="single" w:sz="4" w:space="0" w:color="auto"/>
            </w:tcBorders>
            <w:noWrap/>
            <w:vAlign w:val="bottom"/>
            <w:hideMark/>
          </w:tcPr>
          <w:p w14:paraId="0E585C17" w14:textId="77777777" w:rsidR="00DB0966" w:rsidRDefault="00DB0966">
            <w:pPr>
              <w:jc w:val="right"/>
              <w:rPr>
                <w:rFonts w:ascii="Calibri" w:hAnsi="Calibri" w:cs="Calibri"/>
                <w:color w:val="000000"/>
                <w:sz w:val="22"/>
                <w:szCs w:val="22"/>
              </w:rPr>
            </w:pPr>
            <w:r>
              <w:rPr>
                <w:rFonts w:ascii="Calibri" w:hAnsi="Calibri" w:cs="Calibri"/>
                <w:color w:val="000000"/>
                <w:sz w:val="22"/>
                <w:szCs w:val="22"/>
              </w:rPr>
              <w:t>33.562,17</w:t>
            </w:r>
          </w:p>
        </w:tc>
        <w:tc>
          <w:tcPr>
            <w:tcW w:w="1506" w:type="dxa"/>
            <w:tcBorders>
              <w:top w:val="nil"/>
              <w:left w:val="nil"/>
              <w:bottom w:val="single" w:sz="4" w:space="0" w:color="auto"/>
              <w:right w:val="single" w:sz="4" w:space="0" w:color="auto"/>
            </w:tcBorders>
            <w:shd w:val="clear" w:color="000000" w:fill="FFFFFF"/>
            <w:vAlign w:val="bottom"/>
            <w:hideMark/>
          </w:tcPr>
          <w:p w14:paraId="6ED1950D" w14:textId="77777777" w:rsidR="00DB0966" w:rsidRDefault="00DB0966">
            <w:pPr>
              <w:jc w:val="right"/>
              <w:rPr>
                <w:rFonts w:ascii="Calibri" w:hAnsi="Calibri" w:cs="Calibri"/>
                <w:sz w:val="20"/>
                <w:szCs w:val="20"/>
              </w:rPr>
            </w:pPr>
            <w:r>
              <w:rPr>
                <w:rFonts w:ascii="Calibri" w:hAnsi="Calibri" w:cs="Calibri"/>
                <w:sz w:val="20"/>
                <w:szCs w:val="20"/>
              </w:rPr>
              <w:t> </w:t>
            </w:r>
          </w:p>
        </w:tc>
        <w:tc>
          <w:tcPr>
            <w:tcW w:w="1506" w:type="dxa"/>
            <w:tcBorders>
              <w:top w:val="nil"/>
              <w:left w:val="nil"/>
              <w:bottom w:val="single" w:sz="4" w:space="0" w:color="auto"/>
              <w:right w:val="single" w:sz="4" w:space="0" w:color="auto"/>
            </w:tcBorders>
            <w:vAlign w:val="bottom"/>
            <w:hideMark/>
          </w:tcPr>
          <w:p w14:paraId="7950047D" w14:textId="77777777" w:rsidR="00DB0966" w:rsidRDefault="00DB0966">
            <w:pPr>
              <w:jc w:val="right"/>
              <w:rPr>
                <w:rFonts w:ascii="Calibri" w:hAnsi="Calibri" w:cs="Calibri"/>
                <w:sz w:val="22"/>
                <w:szCs w:val="22"/>
              </w:rPr>
            </w:pPr>
            <w:r>
              <w:rPr>
                <w:rFonts w:ascii="Calibri" w:hAnsi="Calibri" w:cs="Calibri"/>
                <w:sz w:val="22"/>
                <w:szCs w:val="22"/>
              </w:rPr>
              <w:t>19.159,72</w:t>
            </w:r>
          </w:p>
        </w:tc>
        <w:tc>
          <w:tcPr>
            <w:tcW w:w="877" w:type="dxa"/>
            <w:tcBorders>
              <w:top w:val="nil"/>
              <w:left w:val="nil"/>
              <w:bottom w:val="single" w:sz="4" w:space="0" w:color="auto"/>
              <w:right w:val="single" w:sz="4" w:space="0" w:color="auto"/>
            </w:tcBorders>
            <w:noWrap/>
            <w:vAlign w:val="bottom"/>
            <w:hideMark/>
          </w:tcPr>
          <w:p w14:paraId="0DC9177D"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57%</w:t>
            </w:r>
          </w:p>
        </w:tc>
        <w:tc>
          <w:tcPr>
            <w:tcW w:w="804" w:type="dxa"/>
            <w:tcBorders>
              <w:top w:val="nil"/>
              <w:left w:val="nil"/>
              <w:bottom w:val="single" w:sz="4" w:space="0" w:color="auto"/>
              <w:right w:val="single" w:sz="4" w:space="0" w:color="auto"/>
            </w:tcBorders>
            <w:noWrap/>
            <w:vAlign w:val="bottom"/>
            <w:hideMark/>
          </w:tcPr>
          <w:p w14:paraId="7696D56C"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 </w:t>
            </w:r>
          </w:p>
        </w:tc>
        <w:tc>
          <w:tcPr>
            <w:tcW w:w="222" w:type="dxa"/>
            <w:vAlign w:val="center"/>
            <w:hideMark/>
          </w:tcPr>
          <w:p w14:paraId="13868739" w14:textId="77777777" w:rsidR="00DB0966" w:rsidRDefault="00DB0966">
            <w:pPr>
              <w:rPr>
                <w:sz w:val="20"/>
                <w:szCs w:val="20"/>
              </w:rPr>
            </w:pPr>
          </w:p>
        </w:tc>
      </w:tr>
      <w:tr w:rsidR="00DB0966" w14:paraId="6E64A8F4" w14:textId="77777777" w:rsidTr="00DB0966">
        <w:trPr>
          <w:trHeight w:val="290"/>
          <w:jc w:val="center"/>
        </w:trPr>
        <w:tc>
          <w:tcPr>
            <w:tcW w:w="665" w:type="dxa"/>
            <w:tcBorders>
              <w:top w:val="nil"/>
              <w:left w:val="single" w:sz="4" w:space="0" w:color="auto"/>
              <w:bottom w:val="single" w:sz="4" w:space="0" w:color="auto"/>
              <w:right w:val="single" w:sz="4" w:space="0" w:color="auto"/>
            </w:tcBorders>
            <w:noWrap/>
            <w:vAlign w:val="bottom"/>
            <w:hideMark/>
          </w:tcPr>
          <w:p w14:paraId="7AD9C442"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3296</w:t>
            </w:r>
          </w:p>
        </w:tc>
        <w:tc>
          <w:tcPr>
            <w:tcW w:w="4433" w:type="dxa"/>
            <w:tcBorders>
              <w:top w:val="nil"/>
              <w:left w:val="nil"/>
              <w:bottom w:val="single" w:sz="4" w:space="0" w:color="auto"/>
              <w:right w:val="single" w:sz="4" w:space="0" w:color="auto"/>
            </w:tcBorders>
            <w:noWrap/>
            <w:vAlign w:val="bottom"/>
            <w:hideMark/>
          </w:tcPr>
          <w:p w14:paraId="0F4B04DA" w14:textId="77777777" w:rsidR="00DB0966" w:rsidRDefault="00DB0966">
            <w:pPr>
              <w:rPr>
                <w:rFonts w:ascii="Calibri" w:hAnsi="Calibri" w:cs="Calibri"/>
                <w:color w:val="000000"/>
                <w:sz w:val="22"/>
                <w:szCs w:val="22"/>
              </w:rPr>
            </w:pPr>
            <w:r>
              <w:rPr>
                <w:rFonts w:ascii="Calibri" w:hAnsi="Calibri" w:cs="Calibri"/>
                <w:color w:val="000000"/>
                <w:sz w:val="22"/>
                <w:szCs w:val="22"/>
              </w:rPr>
              <w:t>Troškovi sudskih postupaka</w:t>
            </w:r>
          </w:p>
        </w:tc>
        <w:tc>
          <w:tcPr>
            <w:tcW w:w="1506" w:type="dxa"/>
            <w:tcBorders>
              <w:top w:val="nil"/>
              <w:left w:val="nil"/>
              <w:bottom w:val="single" w:sz="4" w:space="0" w:color="auto"/>
              <w:right w:val="single" w:sz="4" w:space="0" w:color="auto"/>
            </w:tcBorders>
            <w:noWrap/>
            <w:vAlign w:val="bottom"/>
            <w:hideMark/>
          </w:tcPr>
          <w:p w14:paraId="4C05CFD3" w14:textId="77777777" w:rsidR="00DB0966" w:rsidRDefault="00DB0966">
            <w:pPr>
              <w:jc w:val="right"/>
              <w:rPr>
                <w:rFonts w:ascii="Calibri" w:hAnsi="Calibri" w:cs="Calibri"/>
                <w:color w:val="000000"/>
                <w:sz w:val="22"/>
                <w:szCs w:val="22"/>
              </w:rPr>
            </w:pPr>
            <w:r>
              <w:rPr>
                <w:rFonts w:ascii="Calibri" w:hAnsi="Calibri" w:cs="Calibri"/>
                <w:color w:val="000000"/>
                <w:sz w:val="22"/>
                <w:szCs w:val="22"/>
              </w:rPr>
              <w:t>1.996,58</w:t>
            </w:r>
          </w:p>
        </w:tc>
        <w:tc>
          <w:tcPr>
            <w:tcW w:w="1506" w:type="dxa"/>
            <w:tcBorders>
              <w:top w:val="nil"/>
              <w:left w:val="nil"/>
              <w:bottom w:val="single" w:sz="4" w:space="0" w:color="auto"/>
              <w:right w:val="single" w:sz="4" w:space="0" w:color="auto"/>
            </w:tcBorders>
            <w:shd w:val="clear" w:color="000000" w:fill="FFFFFF"/>
            <w:vAlign w:val="bottom"/>
            <w:hideMark/>
          </w:tcPr>
          <w:p w14:paraId="1602A713" w14:textId="77777777" w:rsidR="00DB0966" w:rsidRDefault="00DB0966">
            <w:pPr>
              <w:jc w:val="right"/>
              <w:rPr>
                <w:rFonts w:ascii="Calibri" w:hAnsi="Calibri" w:cs="Calibri"/>
                <w:sz w:val="20"/>
                <w:szCs w:val="20"/>
              </w:rPr>
            </w:pPr>
            <w:r>
              <w:rPr>
                <w:rFonts w:ascii="Calibri" w:hAnsi="Calibri" w:cs="Calibri"/>
                <w:sz w:val="20"/>
                <w:szCs w:val="20"/>
              </w:rPr>
              <w:t> </w:t>
            </w:r>
          </w:p>
        </w:tc>
        <w:tc>
          <w:tcPr>
            <w:tcW w:w="1506" w:type="dxa"/>
            <w:tcBorders>
              <w:top w:val="nil"/>
              <w:left w:val="nil"/>
              <w:bottom w:val="single" w:sz="4" w:space="0" w:color="auto"/>
              <w:right w:val="single" w:sz="4" w:space="0" w:color="auto"/>
            </w:tcBorders>
            <w:vAlign w:val="bottom"/>
            <w:hideMark/>
          </w:tcPr>
          <w:p w14:paraId="7ED03A12" w14:textId="77777777" w:rsidR="00DB0966" w:rsidRDefault="00DB0966">
            <w:pPr>
              <w:jc w:val="right"/>
              <w:rPr>
                <w:rFonts w:ascii="Calibri" w:hAnsi="Calibri" w:cs="Calibri"/>
                <w:sz w:val="22"/>
                <w:szCs w:val="22"/>
              </w:rPr>
            </w:pPr>
            <w:r>
              <w:rPr>
                <w:rFonts w:ascii="Calibri" w:hAnsi="Calibri" w:cs="Calibri"/>
                <w:sz w:val="22"/>
                <w:szCs w:val="22"/>
              </w:rPr>
              <w:t>11.571,10</w:t>
            </w:r>
          </w:p>
        </w:tc>
        <w:tc>
          <w:tcPr>
            <w:tcW w:w="877" w:type="dxa"/>
            <w:tcBorders>
              <w:top w:val="nil"/>
              <w:left w:val="nil"/>
              <w:bottom w:val="single" w:sz="4" w:space="0" w:color="auto"/>
              <w:right w:val="single" w:sz="4" w:space="0" w:color="auto"/>
            </w:tcBorders>
            <w:noWrap/>
            <w:vAlign w:val="bottom"/>
            <w:hideMark/>
          </w:tcPr>
          <w:p w14:paraId="1550D142"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580%</w:t>
            </w:r>
          </w:p>
        </w:tc>
        <w:tc>
          <w:tcPr>
            <w:tcW w:w="804" w:type="dxa"/>
            <w:tcBorders>
              <w:top w:val="nil"/>
              <w:left w:val="nil"/>
              <w:bottom w:val="single" w:sz="4" w:space="0" w:color="auto"/>
              <w:right w:val="single" w:sz="4" w:space="0" w:color="auto"/>
            </w:tcBorders>
            <w:noWrap/>
            <w:vAlign w:val="bottom"/>
            <w:hideMark/>
          </w:tcPr>
          <w:p w14:paraId="5878893F"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 </w:t>
            </w:r>
          </w:p>
        </w:tc>
        <w:tc>
          <w:tcPr>
            <w:tcW w:w="222" w:type="dxa"/>
            <w:vAlign w:val="center"/>
            <w:hideMark/>
          </w:tcPr>
          <w:p w14:paraId="23361F8A" w14:textId="77777777" w:rsidR="00DB0966" w:rsidRDefault="00DB0966">
            <w:pPr>
              <w:rPr>
                <w:sz w:val="20"/>
                <w:szCs w:val="20"/>
              </w:rPr>
            </w:pPr>
          </w:p>
        </w:tc>
      </w:tr>
      <w:tr w:rsidR="00DB0966" w14:paraId="3A85682A" w14:textId="77777777" w:rsidTr="00DB0966">
        <w:trPr>
          <w:trHeight w:val="290"/>
          <w:jc w:val="center"/>
        </w:trPr>
        <w:tc>
          <w:tcPr>
            <w:tcW w:w="665" w:type="dxa"/>
            <w:tcBorders>
              <w:top w:val="nil"/>
              <w:left w:val="single" w:sz="4" w:space="0" w:color="auto"/>
              <w:bottom w:val="single" w:sz="4" w:space="0" w:color="auto"/>
              <w:right w:val="single" w:sz="4" w:space="0" w:color="auto"/>
            </w:tcBorders>
            <w:noWrap/>
            <w:vAlign w:val="bottom"/>
            <w:hideMark/>
          </w:tcPr>
          <w:p w14:paraId="26B27ED8"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3299</w:t>
            </w:r>
          </w:p>
        </w:tc>
        <w:tc>
          <w:tcPr>
            <w:tcW w:w="4433" w:type="dxa"/>
            <w:tcBorders>
              <w:top w:val="nil"/>
              <w:left w:val="nil"/>
              <w:bottom w:val="single" w:sz="4" w:space="0" w:color="auto"/>
              <w:right w:val="single" w:sz="4" w:space="0" w:color="auto"/>
            </w:tcBorders>
            <w:noWrap/>
            <w:vAlign w:val="bottom"/>
            <w:hideMark/>
          </w:tcPr>
          <w:p w14:paraId="28B8F505" w14:textId="77777777" w:rsidR="00DB0966" w:rsidRDefault="00DB0966">
            <w:pPr>
              <w:rPr>
                <w:rFonts w:ascii="Calibri" w:hAnsi="Calibri" w:cs="Calibri"/>
                <w:color w:val="000000"/>
                <w:sz w:val="22"/>
                <w:szCs w:val="22"/>
              </w:rPr>
            </w:pPr>
            <w:r>
              <w:rPr>
                <w:rFonts w:ascii="Calibri" w:hAnsi="Calibri" w:cs="Calibri"/>
                <w:color w:val="000000"/>
                <w:sz w:val="22"/>
                <w:szCs w:val="22"/>
              </w:rPr>
              <w:t>Ostali nespomenuti rashodi poslovanja</w:t>
            </w:r>
          </w:p>
        </w:tc>
        <w:tc>
          <w:tcPr>
            <w:tcW w:w="1506" w:type="dxa"/>
            <w:tcBorders>
              <w:top w:val="nil"/>
              <w:left w:val="nil"/>
              <w:bottom w:val="single" w:sz="4" w:space="0" w:color="auto"/>
              <w:right w:val="single" w:sz="4" w:space="0" w:color="auto"/>
            </w:tcBorders>
            <w:noWrap/>
            <w:vAlign w:val="bottom"/>
            <w:hideMark/>
          </w:tcPr>
          <w:p w14:paraId="5A9C7E68" w14:textId="77777777" w:rsidR="00DB0966" w:rsidRDefault="00DB0966">
            <w:pPr>
              <w:jc w:val="right"/>
              <w:rPr>
                <w:rFonts w:ascii="Calibri" w:hAnsi="Calibri" w:cs="Calibri"/>
                <w:color w:val="000000"/>
                <w:sz w:val="22"/>
                <w:szCs w:val="22"/>
              </w:rPr>
            </w:pPr>
            <w:r>
              <w:rPr>
                <w:rFonts w:ascii="Calibri" w:hAnsi="Calibri" w:cs="Calibri"/>
                <w:color w:val="000000"/>
                <w:sz w:val="22"/>
                <w:szCs w:val="22"/>
              </w:rPr>
              <w:t>82.285,78</w:t>
            </w:r>
          </w:p>
        </w:tc>
        <w:tc>
          <w:tcPr>
            <w:tcW w:w="1506" w:type="dxa"/>
            <w:tcBorders>
              <w:top w:val="nil"/>
              <w:left w:val="nil"/>
              <w:bottom w:val="single" w:sz="4" w:space="0" w:color="auto"/>
              <w:right w:val="single" w:sz="4" w:space="0" w:color="auto"/>
            </w:tcBorders>
            <w:shd w:val="clear" w:color="000000" w:fill="FFFFFF"/>
            <w:vAlign w:val="bottom"/>
            <w:hideMark/>
          </w:tcPr>
          <w:p w14:paraId="40AA4176" w14:textId="77777777" w:rsidR="00DB0966" w:rsidRDefault="00DB0966">
            <w:pPr>
              <w:jc w:val="right"/>
              <w:rPr>
                <w:rFonts w:ascii="Calibri" w:hAnsi="Calibri" w:cs="Calibri"/>
                <w:sz w:val="20"/>
                <w:szCs w:val="20"/>
              </w:rPr>
            </w:pPr>
            <w:r>
              <w:rPr>
                <w:rFonts w:ascii="Calibri" w:hAnsi="Calibri" w:cs="Calibri"/>
                <w:sz w:val="20"/>
                <w:szCs w:val="20"/>
              </w:rPr>
              <w:t> </w:t>
            </w:r>
          </w:p>
        </w:tc>
        <w:tc>
          <w:tcPr>
            <w:tcW w:w="1506" w:type="dxa"/>
            <w:tcBorders>
              <w:top w:val="nil"/>
              <w:left w:val="nil"/>
              <w:bottom w:val="single" w:sz="4" w:space="0" w:color="auto"/>
              <w:right w:val="single" w:sz="4" w:space="0" w:color="auto"/>
            </w:tcBorders>
            <w:vAlign w:val="bottom"/>
            <w:hideMark/>
          </w:tcPr>
          <w:p w14:paraId="5E9E1200" w14:textId="77777777" w:rsidR="00DB0966" w:rsidRDefault="00DB0966">
            <w:pPr>
              <w:jc w:val="right"/>
              <w:rPr>
                <w:rFonts w:ascii="Calibri" w:hAnsi="Calibri" w:cs="Calibri"/>
                <w:sz w:val="22"/>
                <w:szCs w:val="22"/>
              </w:rPr>
            </w:pPr>
            <w:r>
              <w:rPr>
                <w:rFonts w:ascii="Calibri" w:hAnsi="Calibri" w:cs="Calibri"/>
                <w:sz w:val="22"/>
                <w:szCs w:val="22"/>
              </w:rPr>
              <w:t>42.580,67</w:t>
            </w:r>
          </w:p>
        </w:tc>
        <w:tc>
          <w:tcPr>
            <w:tcW w:w="877" w:type="dxa"/>
            <w:tcBorders>
              <w:top w:val="nil"/>
              <w:left w:val="nil"/>
              <w:bottom w:val="single" w:sz="4" w:space="0" w:color="auto"/>
              <w:right w:val="single" w:sz="4" w:space="0" w:color="auto"/>
            </w:tcBorders>
            <w:noWrap/>
            <w:vAlign w:val="bottom"/>
            <w:hideMark/>
          </w:tcPr>
          <w:p w14:paraId="71256470"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52%</w:t>
            </w:r>
          </w:p>
        </w:tc>
        <w:tc>
          <w:tcPr>
            <w:tcW w:w="804" w:type="dxa"/>
            <w:tcBorders>
              <w:top w:val="nil"/>
              <w:left w:val="nil"/>
              <w:bottom w:val="single" w:sz="4" w:space="0" w:color="auto"/>
              <w:right w:val="single" w:sz="4" w:space="0" w:color="auto"/>
            </w:tcBorders>
            <w:noWrap/>
            <w:vAlign w:val="bottom"/>
            <w:hideMark/>
          </w:tcPr>
          <w:p w14:paraId="428AFFBE"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 </w:t>
            </w:r>
          </w:p>
        </w:tc>
        <w:tc>
          <w:tcPr>
            <w:tcW w:w="222" w:type="dxa"/>
            <w:vAlign w:val="center"/>
            <w:hideMark/>
          </w:tcPr>
          <w:p w14:paraId="6981FAF5" w14:textId="77777777" w:rsidR="00DB0966" w:rsidRDefault="00DB0966">
            <w:pPr>
              <w:rPr>
                <w:sz w:val="20"/>
                <w:szCs w:val="20"/>
              </w:rPr>
            </w:pPr>
          </w:p>
        </w:tc>
      </w:tr>
      <w:tr w:rsidR="00DB0966" w14:paraId="6279DE1A" w14:textId="77777777" w:rsidTr="00DB0966">
        <w:trPr>
          <w:trHeight w:val="488"/>
          <w:jc w:val="center"/>
        </w:trPr>
        <w:tc>
          <w:tcPr>
            <w:tcW w:w="665" w:type="dxa"/>
            <w:tcBorders>
              <w:top w:val="nil"/>
              <w:left w:val="single" w:sz="4" w:space="0" w:color="auto"/>
              <w:bottom w:val="single" w:sz="4" w:space="0" w:color="auto"/>
              <w:right w:val="single" w:sz="4" w:space="0" w:color="auto"/>
            </w:tcBorders>
            <w:shd w:val="clear" w:color="000000" w:fill="D9D9D9"/>
            <w:noWrap/>
            <w:vAlign w:val="bottom"/>
            <w:hideMark/>
          </w:tcPr>
          <w:p w14:paraId="2AF9E0F6" w14:textId="77777777" w:rsidR="00DB0966" w:rsidRDefault="00DB0966">
            <w:pPr>
              <w:jc w:val="center"/>
              <w:rPr>
                <w:rFonts w:ascii="Calibri" w:hAnsi="Calibri" w:cs="Calibri"/>
                <w:b/>
                <w:bCs/>
                <w:sz w:val="22"/>
                <w:szCs w:val="22"/>
              </w:rPr>
            </w:pPr>
            <w:r>
              <w:rPr>
                <w:rFonts w:ascii="Calibri" w:hAnsi="Calibri" w:cs="Calibri"/>
                <w:b/>
                <w:bCs/>
                <w:sz w:val="22"/>
                <w:szCs w:val="22"/>
              </w:rPr>
              <w:t>34</w:t>
            </w:r>
          </w:p>
        </w:tc>
        <w:tc>
          <w:tcPr>
            <w:tcW w:w="4433" w:type="dxa"/>
            <w:tcBorders>
              <w:top w:val="nil"/>
              <w:left w:val="nil"/>
              <w:bottom w:val="single" w:sz="4" w:space="0" w:color="auto"/>
              <w:right w:val="single" w:sz="4" w:space="0" w:color="auto"/>
            </w:tcBorders>
            <w:shd w:val="clear" w:color="000000" w:fill="D9D9D9"/>
            <w:vAlign w:val="bottom"/>
            <w:hideMark/>
          </w:tcPr>
          <w:p w14:paraId="4F37FEB4" w14:textId="77777777" w:rsidR="00DB0966" w:rsidRDefault="00DB0966">
            <w:pPr>
              <w:rPr>
                <w:rFonts w:ascii="Calibri" w:hAnsi="Calibri" w:cs="Calibri"/>
                <w:b/>
                <w:bCs/>
                <w:sz w:val="22"/>
                <w:szCs w:val="22"/>
              </w:rPr>
            </w:pPr>
            <w:r>
              <w:rPr>
                <w:rFonts w:ascii="Calibri" w:hAnsi="Calibri" w:cs="Calibri"/>
                <w:b/>
                <w:bCs/>
                <w:sz w:val="22"/>
                <w:szCs w:val="22"/>
              </w:rPr>
              <w:t>FINANCIJSKI RASHODI</w:t>
            </w:r>
          </w:p>
        </w:tc>
        <w:tc>
          <w:tcPr>
            <w:tcW w:w="1506" w:type="dxa"/>
            <w:tcBorders>
              <w:top w:val="nil"/>
              <w:left w:val="nil"/>
              <w:bottom w:val="single" w:sz="4" w:space="0" w:color="auto"/>
              <w:right w:val="single" w:sz="4" w:space="0" w:color="auto"/>
            </w:tcBorders>
            <w:shd w:val="clear" w:color="000000" w:fill="D9D9D9"/>
            <w:noWrap/>
            <w:vAlign w:val="bottom"/>
            <w:hideMark/>
          </w:tcPr>
          <w:p w14:paraId="32332837" w14:textId="77777777" w:rsidR="00DB0966" w:rsidRDefault="00DB0966">
            <w:pPr>
              <w:jc w:val="right"/>
              <w:rPr>
                <w:rFonts w:ascii="Calibri" w:hAnsi="Calibri" w:cs="Calibri"/>
                <w:sz w:val="22"/>
                <w:szCs w:val="22"/>
              </w:rPr>
            </w:pPr>
            <w:r>
              <w:rPr>
                <w:rFonts w:ascii="Calibri" w:hAnsi="Calibri" w:cs="Calibri"/>
                <w:sz w:val="22"/>
                <w:szCs w:val="22"/>
              </w:rPr>
              <w:t>84.897,25</w:t>
            </w:r>
          </w:p>
        </w:tc>
        <w:tc>
          <w:tcPr>
            <w:tcW w:w="1506" w:type="dxa"/>
            <w:tcBorders>
              <w:top w:val="nil"/>
              <w:left w:val="nil"/>
              <w:bottom w:val="single" w:sz="4" w:space="0" w:color="auto"/>
              <w:right w:val="single" w:sz="4" w:space="0" w:color="auto"/>
            </w:tcBorders>
            <w:shd w:val="clear" w:color="000000" w:fill="D9D9D9"/>
            <w:noWrap/>
            <w:vAlign w:val="bottom"/>
            <w:hideMark/>
          </w:tcPr>
          <w:p w14:paraId="6F9AA43D" w14:textId="77777777" w:rsidR="00DB0966" w:rsidRDefault="00DB0966">
            <w:pPr>
              <w:jc w:val="right"/>
              <w:rPr>
                <w:rFonts w:ascii="Calibri" w:hAnsi="Calibri" w:cs="Calibri"/>
                <w:sz w:val="22"/>
                <w:szCs w:val="22"/>
              </w:rPr>
            </w:pPr>
            <w:r>
              <w:rPr>
                <w:rFonts w:ascii="Calibri" w:hAnsi="Calibri" w:cs="Calibri"/>
                <w:sz w:val="22"/>
                <w:szCs w:val="22"/>
              </w:rPr>
              <w:t>82.520,00</w:t>
            </w:r>
          </w:p>
        </w:tc>
        <w:tc>
          <w:tcPr>
            <w:tcW w:w="1506" w:type="dxa"/>
            <w:tcBorders>
              <w:top w:val="nil"/>
              <w:left w:val="nil"/>
              <w:bottom w:val="single" w:sz="4" w:space="0" w:color="auto"/>
              <w:right w:val="single" w:sz="4" w:space="0" w:color="auto"/>
            </w:tcBorders>
            <w:shd w:val="clear" w:color="000000" w:fill="D9D9D9"/>
            <w:noWrap/>
            <w:vAlign w:val="bottom"/>
            <w:hideMark/>
          </w:tcPr>
          <w:p w14:paraId="1A9BA555" w14:textId="77777777" w:rsidR="00DB0966" w:rsidRDefault="00DB0966">
            <w:pPr>
              <w:jc w:val="right"/>
              <w:rPr>
                <w:rFonts w:ascii="Calibri" w:hAnsi="Calibri" w:cs="Calibri"/>
                <w:sz w:val="22"/>
                <w:szCs w:val="22"/>
              </w:rPr>
            </w:pPr>
            <w:r>
              <w:rPr>
                <w:rFonts w:ascii="Calibri" w:hAnsi="Calibri" w:cs="Calibri"/>
                <w:sz w:val="22"/>
                <w:szCs w:val="22"/>
              </w:rPr>
              <w:t>81.389,04</w:t>
            </w:r>
          </w:p>
        </w:tc>
        <w:tc>
          <w:tcPr>
            <w:tcW w:w="877" w:type="dxa"/>
            <w:tcBorders>
              <w:top w:val="nil"/>
              <w:left w:val="nil"/>
              <w:bottom w:val="single" w:sz="4" w:space="0" w:color="auto"/>
              <w:right w:val="single" w:sz="4" w:space="0" w:color="auto"/>
            </w:tcBorders>
            <w:shd w:val="clear" w:color="000000" w:fill="D9D9D9"/>
            <w:noWrap/>
            <w:vAlign w:val="bottom"/>
            <w:hideMark/>
          </w:tcPr>
          <w:p w14:paraId="60227A61" w14:textId="77777777" w:rsidR="00DB0966" w:rsidRDefault="00DB0966">
            <w:pPr>
              <w:jc w:val="center"/>
              <w:rPr>
                <w:rFonts w:ascii="Calibri" w:hAnsi="Calibri" w:cs="Calibri"/>
                <w:sz w:val="22"/>
                <w:szCs w:val="22"/>
              </w:rPr>
            </w:pPr>
            <w:r>
              <w:rPr>
                <w:rFonts w:ascii="Calibri" w:hAnsi="Calibri" w:cs="Calibri"/>
                <w:sz w:val="22"/>
                <w:szCs w:val="22"/>
              </w:rPr>
              <w:t>96%</w:t>
            </w:r>
          </w:p>
        </w:tc>
        <w:tc>
          <w:tcPr>
            <w:tcW w:w="804" w:type="dxa"/>
            <w:tcBorders>
              <w:top w:val="nil"/>
              <w:left w:val="nil"/>
              <w:bottom w:val="single" w:sz="4" w:space="0" w:color="auto"/>
              <w:right w:val="single" w:sz="4" w:space="0" w:color="auto"/>
            </w:tcBorders>
            <w:shd w:val="clear" w:color="000000" w:fill="D9D9D9"/>
            <w:noWrap/>
            <w:vAlign w:val="bottom"/>
            <w:hideMark/>
          </w:tcPr>
          <w:p w14:paraId="25BDC68A" w14:textId="77777777" w:rsidR="00DB0966" w:rsidRDefault="00DB0966">
            <w:pPr>
              <w:jc w:val="center"/>
              <w:rPr>
                <w:rFonts w:ascii="Calibri" w:hAnsi="Calibri" w:cs="Calibri"/>
                <w:sz w:val="22"/>
                <w:szCs w:val="22"/>
              </w:rPr>
            </w:pPr>
            <w:r>
              <w:rPr>
                <w:rFonts w:ascii="Calibri" w:hAnsi="Calibri" w:cs="Calibri"/>
                <w:sz w:val="22"/>
                <w:szCs w:val="22"/>
              </w:rPr>
              <w:t>99%</w:t>
            </w:r>
          </w:p>
        </w:tc>
        <w:tc>
          <w:tcPr>
            <w:tcW w:w="222" w:type="dxa"/>
            <w:vAlign w:val="center"/>
            <w:hideMark/>
          </w:tcPr>
          <w:p w14:paraId="7C7653CD" w14:textId="77777777" w:rsidR="00DB0966" w:rsidRDefault="00DB0966">
            <w:pPr>
              <w:rPr>
                <w:sz w:val="20"/>
                <w:szCs w:val="20"/>
              </w:rPr>
            </w:pPr>
          </w:p>
        </w:tc>
      </w:tr>
      <w:tr w:rsidR="00DB0966" w14:paraId="3979CA38" w14:textId="77777777" w:rsidTr="00DB0966">
        <w:trPr>
          <w:trHeight w:val="290"/>
          <w:jc w:val="center"/>
        </w:trPr>
        <w:tc>
          <w:tcPr>
            <w:tcW w:w="665" w:type="dxa"/>
            <w:tcBorders>
              <w:top w:val="nil"/>
              <w:left w:val="single" w:sz="4" w:space="0" w:color="auto"/>
              <w:bottom w:val="single" w:sz="4" w:space="0" w:color="auto"/>
              <w:right w:val="single" w:sz="4" w:space="0" w:color="auto"/>
            </w:tcBorders>
            <w:shd w:val="clear" w:color="000000" w:fill="FFFFFF"/>
            <w:noWrap/>
            <w:vAlign w:val="bottom"/>
            <w:hideMark/>
          </w:tcPr>
          <w:p w14:paraId="784A6462" w14:textId="77777777" w:rsidR="00DB0966" w:rsidRDefault="00DB0966">
            <w:pPr>
              <w:jc w:val="center"/>
              <w:rPr>
                <w:rFonts w:ascii="Calibri" w:hAnsi="Calibri" w:cs="Calibri"/>
                <w:b/>
                <w:bCs/>
                <w:sz w:val="22"/>
                <w:szCs w:val="22"/>
              </w:rPr>
            </w:pPr>
            <w:r>
              <w:rPr>
                <w:rFonts w:ascii="Calibri" w:hAnsi="Calibri" w:cs="Calibri"/>
                <w:b/>
                <w:bCs/>
                <w:sz w:val="22"/>
                <w:szCs w:val="22"/>
              </w:rPr>
              <w:t>342</w:t>
            </w:r>
          </w:p>
        </w:tc>
        <w:tc>
          <w:tcPr>
            <w:tcW w:w="4433" w:type="dxa"/>
            <w:tcBorders>
              <w:top w:val="nil"/>
              <w:left w:val="nil"/>
              <w:bottom w:val="single" w:sz="4" w:space="0" w:color="auto"/>
              <w:right w:val="single" w:sz="4" w:space="0" w:color="auto"/>
            </w:tcBorders>
            <w:vAlign w:val="bottom"/>
            <w:hideMark/>
          </w:tcPr>
          <w:p w14:paraId="58F9F4BE" w14:textId="77777777" w:rsidR="00DB0966" w:rsidRDefault="00DB0966">
            <w:pPr>
              <w:rPr>
                <w:rFonts w:ascii="Calibri" w:hAnsi="Calibri" w:cs="Calibri"/>
                <w:b/>
                <w:bCs/>
                <w:sz w:val="22"/>
                <w:szCs w:val="22"/>
              </w:rPr>
            </w:pPr>
            <w:r>
              <w:rPr>
                <w:rFonts w:ascii="Calibri" w:hAnsi="Calibri" w:cs="Calibri"/>
                <w:b/>
                <w:bCs/>
                <w:sz w:val="22"/>
                <w:szCs w:val="22"/>
              </w:rPr>
              <w:t>Kamate za primljene kredite i zajmove</w:t>
            </w:r>
          </w:p>
        </w:tc>
        <w:tc>
          <w:tcPr>
            <w:tcW w:w="1506" w:type="dxa"/>
            <w:tcBorders>
              <w:top w:val="nil"/>
              <w:left w:val="nil"/>
              <w:bottom w:val="single" w:sz="4" w:space="0" w:color="auto"/>
              <w:right w:val="single" w:sz="4" w:space="0" w:color="auto"/>
            </w:tcBorders>
            <w:noWrap/>
            <w:vAlign w:val="bottom"/>
            <w:hideMark/>
          </w:tcPr>
          <w:p w14:paraId="082F01A8" w14:textId="77777777" w:rsidR="00DB0966" w:rsidRDefault="00DB0966">
            <w:pPr>
              <w:jc w:val="right"/>
              <w:rPr>
                <w:rFonts w:ascii="Calibri" w:hAnsi="Calibri" w:cs="Calibri"/>
                <w:b/>
                <w:bCs/>
                <w:sz w:val="22"/>
                <w:szCs w:val="22"/>
              </w:rPr>
            </w:pPr>
            <w:r>
              <w:rPr>
                <w:rFonts w:ascii="Calibri" w:hAnsi="Calibri" w:cs="Calibri"/>
                <w:b/>
                <w:bCs/>
                <w:sz w:val="22"/>
                <w:szCs w:val="22"/>
              </w:rPr>
              <w:t>35.817,40</w:t>
            </w:r>
          </w:p>
        </w:tc>
        <w:tc>
          <w:tcPr>
            <w:tcW w:w="1506" w:type="dxa"/>
            <w:tcBorders>
              <w:top w:val="nil"/>
              <w:left w:val="nil"/>
              <w:bottom w:val="single" w:sz="4" w:space="0" w:color="auto"/>
              <w:right w:val="single" w:sz="4" w:space="0" w:color="auto"/>
            </w:tcBorders>
            <w:noWrap/>
            <w:vAlign w:val="bottom"/>
            <w:hideMark/>
          </w:tcPr>
          <w:p w14:paraId="0E5F3B56" w14:textId="77777777" w:rsidR="00DB0966" w:rsidRDefault="00DB0966">
            <w:pPr>
              <w:jc w:val="right"/>
              <w:rPr>
                <w:rFonts w:ascii="Calibri" w:hAnsi="Calibri" w:cs="Calibri"/>
                <w:b/>
                <w:bCs/>
                <w:sz w:val="22"/>
                <w:szCs w:val="22"/>
              </w:rPr>
            </w:pPr>
            <w:r>
              <w:rPr>
                <w:rFonts w:ascii="Calibri" w:hAnsi="Calibri" w:cs="Calibri"/>
                <w:b/>
                <w:bCs/>
                <w:sz w:val="22"/>
                <w:szCs w:val="22"/>
              </w:rPr>
              <w:t> </w:t>
            </w:r>
          </w:p>
        </w:tc>
        <w:tc>
          <w:tcPr>
            <w:tcW w:w="1506" w:type="dxa"/>
            <w:tcBorders>
              <w:top w:val="nil"/>
              <w:left w:val="nil"/>
              <w:bottom w:val="single" w:sz="4" w:space="0" w:color="auto"/>
              <w:right w:val="single" w:sz="4" w:space="0" w:color="auto"/>
            </w:tcBorders>
            <w:noWrap/>
            <w:vAlign w:val="bottom"/>
            <w:hideMark/>
          </w:tcPr>
          <w:p w14:paraId="767419A5" w14:textId="77777777" w:rsidR="00DB0966" w:rsidRDefault="00DB0966">
            <w:pPr>
              <w:jc w:val="right"/>
              <w:rPr>
                <w:rFonts w:ascii="Calibri" w:hAnsi="Calibri" w:cs="Calibri"/>
                <w:b/>
                <w:bCs/>
                <w:sz w:val="22"/>
                <w:szCs w:val="22"/>
              </w:rPr>
            </w:pPr>
            <w:r>
              <w:rPr>
                <w:rFonts w:ascii="Calibri" w:hAnsi="Calibri" w:cs="Calibri"/>
                <w:b/>
                <w:bCs/>
                <w:sz w:val="22"/>
                <w:szCs w:val="22"/>
              </w:rPr>
              <w:t>28.318,27</w:t>
            </w:r>
          </w:p>
        </w:tc>
        <w:tc>
          <w:tcPr>
            <w:tcW w:w="877" w:type="dxa"/>
            <w:tcBorders>
              <w:top w:val="nil"/>
              <w:left w:val="nil"/>
              <w:bottom w:val="single" w:sz="4" w:space="0" w:color="auto"/>
              <w:right w:val="single" w:sz="4" w:space="0" w:color="auto"/>
            </w:tcBorders>
            <w:noWrap/>
            <w:vAlign w:val="bottom"/>
            <w:hideMark/>
          </w:tcPr>
          <w:p w14:paraId="5F08D31D" w14:textId="77777777" w:rsidR="00DB0966" w:rsidRDefault="00DB0966">
            <w:pPr>
              <w:jc w:val="center"/>
              <w:rPr>
                <w:rFonts w:ascii="Calibri" w:hAnsi="Calibri" w:cs="Calibri"/>
                <w:b/>
                <w:bCs/>
                <w:color w:val="000000"/>
                <w:sz w:val="22"/>
                <w:szCs w:val="22"/>
              </w:rPr>
            </w:pPr>
            <w:r>
              <w:rPr>
                <w:rFonts w:ascii="Calibri" w:hAnsi="Calibri" w:cs="Calibri"/>
                <w:b/>
                <w:bCs/>
                <w:color w:val="000000"/>
                <w:sz w:val="22"/>
                <w:szCs w:val="22"/>
              </w:rPr>
              <w:t>79%</w:t>
            </w:r>
          </w:p>
        </w:tc>
        <w:tc>
          <w:tcPr>
            <w:tcW w:w="804" w:type="dxa"/>
            <w:tcBorders>
              <w:top w:val="nil"/>
              <w:left w:val="nil"/>
              <w:bottom w:val="single" w:sz="4" w:space="0" w:color="auto"/>
              <w:right w:val="single" w:sz="4" w:space="0" w:color="auto"/>
            </w:tcBorders>
            <w:noWrap/>
            <w:vAlign w:val="bottom"/>
            <w:hideMark/>
          </w:tcPr>
          <w:p w14:paraId="7097E942" w14:textId="77777777" w:rsidR="00DB0966" w:rsidRDefault="00DB0966">
            <w:pPr>
              <w:jc w:val="center"/>
              <w:rPr>
                <w:rFonts w:ascii="Calibri" w:hAnsi="Calibri" w:cs="Calibri"/>
                <w:b/>
                <w:bCs/>
                <w:color w:val="000000"/>
                <w:sz w:val="22"/>
                <w:szCs w:val="22"/>
              </w:rPr>
            </w:pPr>
            <w:r>
              <w:rPr>
                <w:rFonts w:ascii="Calibri" w:hAnsi="Calibri" w:cs="Calibri"/>
                <w:b/>
                <w:bCs/>
                <w:color w:val="000000"/>
                <w:sz w:val="22"/>
                <w:szCs w:val="22"/>
              </w:rPr>
              <w:t> </w:t>
            </w:r>
          </w:p>
        </w:tc>
        <w:tc>
          <w:tcPr>
            <w:tcW w:w="222" w:type="dxa"/>
            <w:vAlign w:val="center"/>
            <w:hideMark/>
          </w:tcPr>
          <w:p w14:paraId="0EDC6E22" w14:textId="77777777" w:rsidR="00DB0966" w:rsidRDefault="00DB0966">
            <w:pPr>
              <w:rPr>
                <w:sz w:val="20"/>
                <w:szCs w:val="20"/>
              </w:rPr>
            </w:pPr>
          </w:p>
        </w:tc>
      </w:tr>
      <w:tr w:rsidR="00DB0966" w14:paraId="2785EED8" w14:textId="77777777" w:rsidTr="00DB0966">
        <w:trPr>
          <w:trHeight w:val="510"/>
          <w:jc w:val="center"/>
        </w:trPr>
        <w:tc>
          <w:tcPr>
            <w:tcW w:w="665" w:type="dxa"/>
            <w:tcBorders>
              <w:top w:val="nil"/>
              <w:left w:val="single" w:sz="4" w:space="0" w:color="auto"/>
              <w:bottom w:val="single" w:sz="4" w:space="0" w:color="auto"/>
              <w:right w:val="single" w:sz="4" w:space="0" w:color="auto"/>
            </w:tcBorders>
            <w:noWrap/>
            <w:vAlign w:val="bottom"/>
            <w:hideMark/>
          </w:tcPr>
          <w:p w14:paraId="104FA535"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3423</w:t>
            </w:r>
          </w:p>
        </w:tc>
        <w:tc>
          <w:tcPr>
            <w:tcW w:w="4433" w:type="dxa"/>
            <w:tcBorders>
              <w:top w:val="nil"/>
              <w:left w:val="nil"/>
              <w:bottom w:val="single" w:sz="4" w:space="0" w:color="auto"/>
              <w:right w:val="single" w:sz="4" w:space="0" w:color="auto"/>
            </w:tcBorders>
            <w:vAlign w:val="center"/>
            <w:hideMark/>
          </w:tcPr>
          <w:p w14:paraId="5A819414" w14:textId="77777777" w:rsidR="00DB0966" w:rsidRDefault="00DB0966">
            <w:pPr>
              <w:rPr>
                <w:rFonts w:ascii="Calibri" w:hAnsi="Calibri" w:cs="Calibri"/>
                <w:color w:val="000000"/>
                <w:sz w:val="22"/>
                <w:szCs w:val="22"/>
              </w:rPr>
            </w:pPr>
            <w:r>
              <w:rPr>
                <w:rFonts w:ascii="Calibri" w:hAnsi="Calibri" w:cs="Calibri"/>
                <w:color w:val="000000"/>
                <w:sz w:val="22"/>
                <w:szCs w:val="22"/>
              </w:rPr>
              <w:t>Kamate za primljene kredite</w:t>
            </w:r>
            <w:r>
              <w:rPr>
                <w:rFonts w:ascii="Calibri" w:hAnsi="Calibri" w:cs="Calibri"/>
                <w:color w:val="000000"/>
                <w:sz w:val="20"/>
                <w:szCs w:val="20"/>
              </w:rPr>
              <w:t xml:space="preserve"> i zajmove od kreditnih i ostalih fin. institucija</w:t>
            </w:r>
          </w:p>
        </w:tc>
        <w:tc>
          <w:tcPr>
            <w:tcW w:w="1506" w:type="dxa"/>
            <w:tcBorders>
              <w:top w:val="nil"/>
              <w:left w:val="nil"/>
              <w:bottom w:val="single" w:sz="4" w:space="0" w:color="auto"/>
              <w:right w:val="single" w:sz="4" w:space="0" w:color="auto"/>
            </w:tcBorders>
            <w:vAlign w:val="bottom"/>
            <w:hideMark/>
          </w:tcPr>
          <w:p w14:paraId="381ABB74" w14:textId="77777777" w:rsidR="00DB0966" w:rsidRDefault="00DB0966">
            <w:pPr>
              <w:jc w:val="right"/>
              <w:rPr>
                <w:rFonts w:ascii="Calibri" w:hAnsi="Calibri" w:cs="Calibri"/>
                <w:color w:val="000000"/>
                <w:sz w:val="22"/>
                <w:szCs w:val="22"/>
              </w:rPr>
            </w:pPr>
            <w:r>
              <w:rPr>
                <w:rFonts w:ascii="Calibri" w:hAnsi="Calibri" w:cs="Calibri"/>
                <w:color w:val="000000"/>
                <w:sz w:val="22"/>
                <w:szCs w:val="22"/>
              </w:rPr>
              <w:t>35.817,40</w:t>
            </w:r>
          </w:p>
        </w:tc>
        <w:tc>
          <w:tcPr>
            <w:tcW w:w="1506" w:type="dxa"/>
            <w:tcBorders>
              <w:top w:val="nil"/>
              <w:left w:val="nil"/>
              <w:bottom w:val="single" w:sz="4" w:space="0" w:color="auto"/>
              <w:right w:val="single" w:sz="4" w:space="0" w:color="auto"/>
            </w:tcBorders>
            <w:shd w:val="clear" w:color="000000" w:fill="FFFFFF"/>
            <w:vAlign w:val="bottom"/>
            <w:hideMark/>
          </w:tcPr>
          <w:p w14:paraId="7496121A" w14:textId="77777777" w:rsidR="00DB0966" w:rsidRDefault="00DB0966">
            <w:pPr>
              <w:jc w:val="right"/>
              <w:rPr>
                <w:rFonts w:ascii="Calibri" w:hAnsi="Calibri" w:cs="Calibri"/>
                <w:sz w:val="20"/>
                <w:szCs w:val="20"/>
              </w:rPr>
            </w:pPr>
            <w:r>
              <w:rPr>
                <w:rFonts w:ascii="Calibri" w:hAnsi="Calibri" w:cs="Calibri"/>
                <w:sz w:val="20"/>
                <w:szCs w:val="20"/>
              </w:rPr>
              <w:t> </w:t>
            </w:r>
          </w:p>
        </w:tc>
        <w:tc>
          <w:tcPr>
            <w:tcW w:w="1506" w:type="dxa"/>
            <w:tcBorders>
              <w:top w:val="nil"/>
              <w:left w:val="nil"/>
              <w:bottom w:val="single" w:sz="4" w:space="0" w:color="auto"/>
              <w:right w:val="single" w:sz="4" w:space="0" w:color="auto"/>
            </w:tcBorders>
            <w:vAlign w:val="bottom"/>
            <w:hideMark/>
          </w:tcPr>
          <w:p w14:paraId="3C415BCB" w14:textId="77777777" w:rsidR="00DB0966" w:rsidRDefault="00DB0966">
            <w:pPr>
              <w:jc w:val="right"/>
              <w:rPr>
                <w:rFonts w:ascii="Calibri" w:hAnsi="Calibri" w:cs="Calibri"/>
                <w:sz w:val="22"/>
                <w:szCs w:val="22"/>
              </w:rPr>
            </w:pPr>
            <w:r>
              <w:rPr>
                <w:rFonts w:ascii="Calibri" w:hAnsi="Calibri" w:cs="Calibri"/>
                <w:sz w:val="22"/>
                <w:szCs w:val="22"/>
              </w:rPr>
              <w:t>28.318,27</w:t>
            </w:r>
          </w:p>
        </w:tc>
        <w:tc>
          <w:tcPr>
            <w:tcW w:w="877" w:type="dxa"/>
            <w:tcBorders>
              <w:top w:val="nil"/>
              <w:left w:val="nil"/>
              <w:bottom w:val="single" w:sz="4" w:space="0" w:color="auto"/>
              <w:right w:val="single" w:sz="4" w:space="0" w:color="auto"/>
            </w:tcBorders>
            <w:noWrap/>
            <w:vAlign w:val="bottom"/>
            <w:hideMark/>
          </w:tcPr>
          <w:p w14:paraId="326B4766"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79%</w:t>
            </w:r>
          </w:p>
        </w:tc>
        <w:tc>
          <w:tcPr>
            <w:tcW w:w="804" w:type="dxa"/>
            <w:tcBorders>
              <w:top w:val="nil"/>
              <w:left w:val="nil"/>
              <w:bottom w:val="single" w:sz="4" w:space="0" w:color="auto"/>
              <w:right w:val="single" w:sz="4" w:space="0" w:color="auto"/>
            </w:tcBorders>
            <w:noWrap/>
            <w:vAlign w:val="bottom"/>
            <w:hideMark/>
          </w:tcPr>
          <w:p w14:paraId="589EE6ED"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 </w:t>
            </w:r>
          </w:p>
        </w:tc>
        <w:tc>
          <w:tcPr>
            <w:tcW w:w="222" w:type="dxa"/>
            <w:vAlign w:val="center"/>
            <w:hideMark/>
          </w:tcPr>
          <w:p w14:paraId="630DE7E4" w14:textId="77777777" w:rsidR="00DB0966" w:rsidRDefault="00DB0966">
            <w:pPr>
              <w:rPr>
                <w:sz w:val="20"/>
                <w:szCs w:val="20"/>
              </w:rPr>
            </w:pPr>
          </w:p>
        </w:tc>
      </w:tr>
      <w:tr w:rsidR="00DB0966" w14:paraId="15F919F2" w14:textId="77777777" w:rsidTr="00DB0966">
        <w:trPr>
          <w:trHeight w:val="290"/>
          <w:jc w:val="center"/>
        </w:trPr>
        <w:tc>
          <w:tcPr>
            <w:tcW w:w="665" w:type="dxa"/>
            <w:tcBorders>
              <w:top w:val="nil"/>
              <w:left w:val="single" w:sz="4" w:space="0" w:color="auto"/>
              <w:bottom w:val="single" w:sz="4" w:space="0" w:color="auto"/>
              <w:right w:val="single" w:sz="4" w:space="0" w:color="auto"/>
            </w:tcBorders>
            <w:shd w:val="clear" w:color="000000" w:fill="FFFFFF"/>
            <w:noWrap/>
            <w:vAlign w:val="bottom"/>
            <w:hideMark/>
          </w:tcPr>
          <w:p w14:paraId="5828A637" w14:textId="77777777" w:rsidR="00DB0966" w:rsidRDefault="00DB0966">
            <w:pPr>
              <w:jc w:val="center"/>
              <w:rPr>
                <w:rFonts w:ascii="Calibri" w:hAnsi="Calibri" w:cs="Calibri"/>
                <w:b/>
                <w:bCs/>
                <w:sz w:val="22"/>
                <w:szCs w:val="22"/>
              </w:rPr>
            </w:pPr>
            <w:r>
              <w:rPr>
                <w:rFonts w:ascii="Calibri" w:hAnsi="Calibri" w:cs="Calibri"/>
                <w:b/>
                <w:bCs/>
                <w:sz w:val="22"/>
                <w:szCs w:val="22"/>
              </w:rPr>
              <w:t>343</w:t>
            </w:r>
          </w:p>
        </w:tc>
        <w:tc>
          <w:tcPr>
            <w:tcW w:w="4433" w:type="dxa"/>
            <w:tcBorders>
              <w:top w:val="nil"/>
              <w:left w:val="nil"/>
              <w:bottom w:val="single" w:sz="4" w:space="0" w:color="auto"/>
              <w:right w:val="single" w:sz="4" w:space="0" w:color="auto"/>
            </w:tcBorders>
            <w:vAlign w:val="bottom"/>
            <w:hideMark/>
          </w:tcPr>
          <w:p w14:paraId="2A7D6C57" w14:textId="77777777" w:rsidR="00DB0966" w:rsidRDefault="00DB0966">
            <w:pPr>
              <w:rPr>
                <w:rFonts w:ascii="Calibri" w:hAnsi="Calibri" w:cs="Calibri"/>
                <w:b/>
                <w:bCs/>
                <w:sz w:val="22"/>
                <w:szCs w:val="22"/>
              </w:rPr>
            </w:pPr>
            <w:r>
              <w:rPr>
                <w:rFonts w:ascii="Calibri" w:hAnsi="Calibri" w:cs="Calibri"/>
                <w:b/>
                <w:bCs/>
                <w:sz w:val="22"/>
                <w:szCs w:val="22"/>
              </w:rPr>
              <w:t>Ostali financijski rashodi</w:t>
            </w:r>
          </w:p>
        </w:tc>
        <w:tc>
          <w:tcPr>
            <w:tcW w:w="1506" w:type="dxa"/>
            <w:tcBorders>
              <w:top w:val="nil"/>
              <w:left w:val="nil"/>
              <w:bottom w:val="single" w:sz="4" w:space="0" w:color="auto"/>
              <w:right w:val="single" w:sz="4" w:space="0" w:color="auto"/>
            </w:tcBorders>
            <w:noWrap/>
            <w:vAlign w:val="bottom"/>
            <w:hideMark/>
          </w:tcPr>
          <w:p w14:paraId="28B20FB6" w14:textId="77777777" w:rsidR="00DB0966" w:rsidRDefault="00DB0966">
            <w:pPr>
              <w:jc w:val="right"/>
              <w:rPr>
                <w:rFonts w:ascii="Calibri" w:hAnsi="Calibri" w:cs="Calibri"/>
                <w:b/>
                <w:bCs/>
                <w:sz w:val="22"/>
                <w:szCs w:val="22"/>
              </w:rPr>
            </w:pPr>
            <w:r>
              <w:rPr>
                <w:rFonts w:ascii="Calibri" w:hAnsi="Calibri" w:cs="Calibri"/>
                <w:b/>
                <w:bCs/>
                <w:sz w:val="22"/>
                <w:szCs w:val="22"/>
              </w:rPr>
              <w:t>49.079,85</w:t>
            </w:r>
          </w:p>
        </w:tc>
        <w:tc>
          <w:tcPr>
            <w:tcW w:w="1506" w:type="dxa"/>
            <w:tcBorders>
              <w:top w:val="nil"/>
              <w:left w:val="nil"/>
              <w:bottom w:val="single" w:sz="4" w:space="0" w:color="auto"/>
              <w:right w:val="single" w:sz="4" w:space="0" w:color="auto"/>
            </w:tcBorders>
            <w:noWrap/>
            <w:vAlign w:val="bottom"/>
            <w:hideMark/>
          </w:tcPr>
          <w:p w14:paraId="5211853E" w14:textId="77777777" w:rsidR="00DB0966" w:rsidRDefault="00DB0966">
            <w:pPr>
              <w:jc w:val="right"/>
              <w:rPr>
                <w:rFonts w:ascii="Calibri" w:hAnsi="Calibri" w:cs="Calibri"/>
                <w:b/>
                <w:bCs/>
                <w:sz w:val="22"/>
                <w:szCs w:val="22"/>
              </w:rPr>
            </w:pPr>
            <w:r>
              <w:rPr>
                <w:rFonts w:ascii="Calibri" w:hAnsi="Calibri" w:cs="Calibri"/>
                <w:b/>
                <w:bCs/>
                <w:sz w:val="22"/>
                <w:szCs w:val="22"/>
              </w:rPr>
              <w:t> </w:t>
            </w:r>
          </w:p>
        </w:tc>
        <w:tc>
          <w:tcPr>
            <w:tcW w:w="1506" w:type="dxa"/>
            <w:tcBorders>
              <w:top w:val="nil"/>
              <w:left w:val="nil"/>
              <w:bottom w:val="single" w:sz="4" w:space="0" w:color="auto"/>
              <w:right w:val="single" w:sz="4" w:space="0" w:color="auto"/>
            </w:tcBorders>
            <w:noWrap/>
            <w:vAlign w:val="bottom"/>
            <w:hideMark/>
          </w:tcPr>
          <w:p w14:paraId="05318A59" w14:textId="77777777" w:rsidR="00DB0966" w:rsidRDefault="00DB0966">
            <w:pPr>
              <w:jc w:val="right"/>
              <w:rPr>
                <w:rFonts w:ascii="Calibri" w:hAnsi="Calibri" w:cs="Calibri"/>
                <w:b/>
                <w:bCs/>
                <w:sz w:val="22"/>
                <w:szCs w:val="22"/>
              </w:rPr>
            </w:pPr>
            <w:r>
              <w:rPr>
                <w:rFonts w:ascii="Calibri" w:hAnsi="Calibri" w:cs="Calibri"/>
                <w:b/>
                <w:bCs/>
                <w:sz w:val="22"/>
                <w:szCs w:val="22"/>
              </w:rPr>
              <w:t>53.070,77</w:t>
            </w:r>
          </w:p>
        </w:tc>
        <w:tc>
          <w:tcPr>
            <w:tcW w:w="877" w:type="dxa"/>
            <w:tcBorders>
              <w:top w:val="nil"/>
              <w:left w:val="nil"/>
              <w:bottom w:val="single" w:sz="4" w:space="0" w:color="auto"/>
              <w:right w:val="single" w:sz="4" w:space="0" w:color="auto"/>
            </w:tcBorders>
            <w:noWrap/>
            <w:vAlign w:val="bottom"/>
            <w:hideMark/>
          </w:tcPr>
          <w:p w14:paraId="58951E3F" w14:textId="77777777" w:rsidR="00DB0966" w:rsidRDefault="00DB0966">
            <w:pPr>
              <w:jc w:val="center"/>
              <w:rPr>
                <w:rFonts w:ascii="Calibri" w:hAnsi="Calibri" w:cs="Calibri"/>
                <w:b/>
                <w:bCs/>
                <w:color w:val="000000"/>
                <w:sz w:val="22"/>
                <w:szCs w:val="22"/>
              </w:rPr>
            </w:pPr>
            <w:r>
              <w:rPr>
                <w:rFonts w:ascii="Calibri" w:hAnsi="Calibri" w:cs="Calibri"/>
                <w:b/>
                <w:bCs/>
                <w:color w:val="000000"/>
                <w:sz w:val="22"/>
                <w:szCs w:val="22"/>
              </w:rPr>
              <w:t>108%</w:t>
            </w:r>
          </w:p>
        </w:tc>
        <w:tc>
          <w:tcPr>
            <w:tcW w:w="804" w:type="dxa"/>
            <w:tcBorders>
              <w:top w:val="nil"/>
              <w:left w:val="nil"/>
              <w:bottom w:val="single" w:sz="4" w:space="0" w:color="auto"/>
              <w:right w:val="single" w:sz="4" w:space="0" w:color="auto"/>
            </w:tcBorders>
            <w:noWrap/>
            <w:vAlign w:val="bottom"/>
            <w:hideMark/>
          </w:tcPr>
          <w:p w14:paraId="6BB62D47" w14:textId="77777777" w:rsidR="00DB0966" w:rsidRDefault="00DB0966">
            <w:pPr>
              <w:jc w:val="center"/>
              <w:rPr>
                <w:rFonts w:ascii="Calibri" w:hAnsi="Calibri" w:cs="Calibri"/>
                <w:b/>
                <w:bCs/>
                <w:color w:val="000000"/>
                <w:sz w:val="22"/>
                <w:szCs w:val="22"/>
              </w:rPr>
            </w:pPr>
            <w:r>
              <w:rPr>
                <w:rFonts w:ascii="Calibri" w:hAnsi="Calibri" w:cs="Calibri"/>
                <w:b/>
                <w:bCs/>
                <w:color w:val="000000"/>
                <w:sz w:val="22"/>
                <w:szCs w:val="22"/>
              </w:rPr>
              <w:t> </w:t>
            </w:r>
          </w:p>
        </w:tc>
        <w:tc>
          <w:tcPr>
            <w:tcW w:w="222" w:type="dxa"/>
            <w:vAlign w:val="center"/>
            <w:hideMark/>
          </w:tcPr>
          <w:p w14:paraId="46F3E731" w14:textId="77777777" w:rsidR="00DB0966" w:rsidRDefault="00DB0966">
            <w:pPr>
              <w:rPr>
                <w:sz w:val="20"/>
                <w:szCs w:val="20"/>
              </w:rPr>
            </w:pPr>
          </w:p>
        </w:tc>
      </w:tr>
      <w:tr w:rsidR="00DB0966" w14:paraId="00E5EFA5" w14:textId="77777777" w:rsidTr="00DB0966">
        <w:trPr>
          <w:trHeight w:val="290"/>
          <w:jc w:val="center"/>
        </w:trPr>
        <w:tc>
          <w:tcPr>
            <w:tcW w:w="665" w:type="dxa"/>
            <w:tcBorders>
              <w:top w:val="nil"/>
              <w:left w:val="single" w:sz="4" w:space="0" w:color="auto"/>
              <w:bottom w:val="single" w:sz="4" w:space="0" w:color="auto"/>
              <w:right w:val="single" w:sz="4" w:space="0" w:color="auto"/>
            </w:tcBorders>
            <w:noWrap/>
            <w:vAlign w:val="bottom"/>
            <w:hideMark/>
          </w:tcPr>
          <w:p w14:paraId="106515E9"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3431</w:t>
            </w:r>
          </w:p>
        </w:tc>
        <w:tc>
          <w:tcPr>
            <w:tcW w:w="4433" w:type="dxa"/>
            <w:tcBorders>
              <w:top w:val="nil"/>
              <w:left w:val="nil"/>
              <w:bottom w:val="single" w:sz="4" w:space="0" w:color="auto"/>
              <w:right w:val="single" w:sz="4" w:space="0" w:color="auto"/>
            </w:tcBorders>
            <w:noWrap/>
            <w:vAlign w:val="bottom"/>
            <w:hideMark/>
          </w:tcPr>
          <w:p w14:paraId="11063994" w14:textId="77777777" w:rsidR="00DB0966" w:rsidRDefault="00DB0966">
            <w:pPr>
              <w:rPr>
                <w:rFonts w:ascii="Calibri" w:hAnsi="Calibri" w:cs="Calibri"/>
                <w:color w:val="000000"/>
                <w:sz w:val="22"/>
                <w:szCs w:val="22"/>
              </w:rPr>
            </w:pPr>
            <w:r>
              <w:rPr>
                <w:rFonts w:ascii="Calibri" w:hAnsi="Calibri" w:cs="Calibri"/>
                <w:color w:val="000000"/>
                <w:sz w:val="22"/>
                <w:szCs w:val="22"/>
              </w:rPr>
              <w:t>Bankarske usluge i usluge platnog prometa</w:t>
            </w:r>
          </w:p>
        </w:tc>
        <w:tc>
          <w:tcPr>
            <w:tcW w:w="1506" w:type="dxa"/>
            <w:tcBorders>
              <w:top w:val="nil"/>
              <w:left w:val="nil"/>
              <w:bottom w:val="single" w:sz="4" w:space="0" w:color="auto"/>
              <w:right w:val="single" w:sz="4" w:space="0" w:color="auto"/>
            </w:tcBorders>
            <w:noWrap/>
            <w:vAlign w:val="bottom"/>
            <w:hideMark/>
          </w:tcPr>
          <w:p w14:paraId="36DBA381" w14:textId="77777777" w:rsidR="00DB0966" w:rsidRDefault="00DB0966">
            <w:pPr>
              <w:jc w:val="right"/>
              <w:rPr>
                <w:rFonts w:ascii="Calibri" w:hAnsi="Calibri" w:cs="Calibri"/>
                <w:color w:val="000000"/>
                <w:sz w:val="22"/>
                <w:szCs w:val="22"/>
              </w:rPr>
            </w:pPr>
            <w:r>
              <w:rPr>
                <w:rFonts w:ascii="Calibri" w:hAnsi="Calibri" w:cs="Calibri"/>
                <w:color w:val="000000"/>
                <w:sz w:val="22"/>
                <w:szCs w:val="22"/>
              </w:rPr>
              <w:t>48.621,74</w:t>
            </w:r>
          </w:p>
        </w:tc>
        <w:tc>
          <w:tcPr>
            <w:tcW w:w="1506" w:type="dxa"/>
            <w:tcBorders>
              <w:top w:val="nil"/>
              <w:left w:val="nil"/>
              <w:bottom w:val="single" w:sz="4" w:space="0" w:color="auto"/>
              <w:right w:val="single" w:sz="4" w:space="0" w:color="auto"/>
            </w:tcBorders>
            <w:shd w:val="clear" w:color="000000" w:fill="FFFFFF"/>
            <w:vAlign w:val="bottom"/>
            <w:hideMark/>
          </w:tcPr>
          <w:p w14:paraId="231C634F" w14:textId="77777777" w:rsidR="00DB0966" w:rsidRDefault="00DB0966">
            <w:pPr>
              <w:jc w:val="right"/>
              <w:rPr>
                <w:rFonts w:ascii="Calibri" w:hAnsi="Calibri" w:cs="Calibri"/>
                <w:sz w:val="20"/>
                <w:szCs w:val="20"/>
              </w:rPr>
            </w:pPr>
            <w:r>
              <w:rPr>
                <w:rFonts w:ascii="Calibri" w:hAnsi="Calibri" w:cs="Calibri"/>
                <w:sz w:val="20"/>
                <w:szCs w:val="20"/>
              </w:rPr>
              <w:t> </w:t>
            </w:r>
          </w:p>
        </w:tc>
        <w:tc>
          <w:tcPr>
            <w:tcW w:w="1506" w:type="dxa"/>
            <w:tcBorders>
              <w:top w:val="nil"/>
              <w:left w:val="nil"/>
              <w:bottom w:val="single" w:sz="4" w:space="0" w:color="auto"/>
              <w:right w:val="single" w:sz="4" w:space="0" w:color="auto"/>
            </w:tcBorders>
            <w:noWrap/>
            <w:vAlign w:val="bottom"/>
            <w:hideMark/>
          </w:tcPr>
          <w:p w14:paraId="131A8034" w14:textId="77777777" w:rsidR="00DB0966" w:rsidRDefault="00DB0966">
            <w:pPr>
              <w:jc w:val="right"/>
              <w:rPr>
                <w:rFonts w:ascii="Calibri" w:hAnsi="Calibri" w:cs="Calibri"/>
                <w:sz w:val="22"/>
                <w:szCs w:val="22"/>
              </w:rPr>
            </w:pPr>
            <w:r>
              <w:rPr>
                <w:rFonts w:ascii="Calibri" w:hAnsi="Calibri" w:cs="Calibri"/>
                <w:sz w:val="22"/>
                <w:szCs w:val="22"/>
              </w:rPr>
              <w:t>49.512,63</w:t>
            </w:r>
          </w:p>
        </w:tc>
        <w:tc>
          <w:tcPr>
            <w:tcW w:w="877" w:type="dxa"/>
            <w:tcBorders>
              <w:top w:val="nil"/>
              <w:left w:val="nil"/>
              <w:bottom w:val="single" w:sz="4" w:space="0" w:color="auto"/>
              <w:right w:val="single" w:sz="4" w:space="0" w:color="auto"/>
            </w:tcBorders>
            <w:noWrap/>
            <w:vAlign w:val="bottom"/>
            <w:hideMark/>
          </w:tcPr>
          <w:p w14:paraId="7AB50EB3"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102%</w:t>
            </w:r>
          </w:p>
        </w:tc>
        <w:tc>
          <w:tcPr>
            <w:tcW w:w="804" w:type="dxa"/>
            <w:tcBorders>
              <w:top w:val="nil"/>
              <w:left w:val="nil"/>
              <w:bottom w:val="single" w:sz="4" w:space="0" w:color="auto"/>
              <w:right w:val="single" w:sz="4" w:space="0" w:color="auto"/>
            </w:tcBorders>
            <w:noWrap/>
            <w:vAlign w:val="bottom"/>
            <w:hideMark/>
          </w:tcPr>
          <w:p w14:paraId="0F01D1A1"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 </w:t>
            </w:r>
          </w:p>
        </w:tc>
        <w:tc>
          <w:tcPr>
            <w:tcW w:w="222" w:type="dxa"/>
            <w:vAlign w:val="center"/>
            <w:hideMark/>
          </w:tcPr>
          <w:p w14:paraId="53D3D6D8" w14:textId="77777777" w:rsidR="00DB0966" w:rsidRDefault="00DB0966">
            <w:pPr>
              <w:rPr>
                <w:sz w:val="20"/>
                <w:szCs w:val="20"/>
              </w:rPr>
            </w:pPr>
          </w:p>
        </w:tc>
      </w:tr>
      <w:tr w:rsidR="00DB0966" w14:paraId="7B987E31" w14:textId="77777777" w:rsidTr="00DB0966">
        <w:trPr>
          <w:trHeight w:val="320"/>
          <w:jc w:val="center"/>
        </w:trPr>
        <w:tc>
          <w:tcPr>
            <w:tcW w:w="665" w:type="dxa"/>
            <w:tcBorders>
              <w:top w:val="nil"/>
              <w:left w:val="single" w:sz="4" w:space="0" w:color="auto"/>
              <w:bottom w:val="single" w:sz="4" w:space="0" w:color="auto"/>
              <w:right w:val="single" w:sz="4" w:space="0" w:color="auto"/>
            </w:tcBorders>
            <w:noWrap/>
            <w:vAlign w:val="bottom"/>
            <w:hideMark/>
          </w:tcPr>
          <w:p w14:paraId="102731E2"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3433</w:t>
            </w:r>
          </w:p>
        </w:tc>
        <w:tc>
          <w:tcPr>
            <w:tcW w:w="4433" w:type="dxa"/>
            <w:tcBorders>
              <w:top w:val="nil"/>
              <w:left w:val="nil"/>
              <w:bottom w:val="single" w:sz="4" w:space="0" w:color="auto"/>
              <w:right w:val="single" w:sz="4" w:space="0" w:color="auto"/>
            </w:tcBorders>
            <w:noWrap/>
            <w:vAlign w:val="bottom"/>
            <w:hideMark/>
          </w:tcPr>
          <w:p w14:paraId="4AB173A2" w14:textId="77777777" w:rsidR="00DB0966" w:rsidRDefault="00DB0966">
            <w:pPr>
              <w:rPr>
                <w:rFonts w:ascii="Calibri" w:hAnsi="Calibri" w:cs="Calibri"/>
                <w:color w:val="000000"/>
                <w:sz w:val="22"/>
                <w:szCs w:val="22"/>
              </w:rPr>
            </w:pPr>
            <w:r>
              <w:rPr>
                <w:rFonts w:ascii="Calibri" w:hAnsi="Calibri" w:cs="Calibri"/>
                <w:color w:val="000000"/>
                <w:sz w:val="22"/>
                <w:szCs w:val="22"/>
              </w:rPr>
              <w:t>Zatezne kamate</w:t>
            </w:r>
          </w:p>
        </w:tc>
        <w:tc>
          <w:tcPr>
            <w:tcW w:w="1506" w:type="dxa"/>
            <w:tcBorders>
              <w:top w:val="nil"/>
              <w:left w:val="nil"/>
              <w:bottom w:val="single" w:sz="4" w:space="0" w:color="auto"/>
              <w:right w:val="single" w:sz="4" w:space="0" w:color="auto"/>
            </w:tcBorders>
            <w:noWrap/>
            <w:vAlign w:val="bottom"/>
            <w:hideMark/>
          </w:tcPr>
          <w:p w14:paraId="14ADEC9A" w14:textId="77777777" w:rsidR="00DB0966" w:rsidRDefault="00DB0966">
            <w:pPr>
              <w:jc w:val="right"/>
              <w:rPr>
                <w:rFonts w:ascii="Calibri" w:hAnsi="Calibri" w:cs="Calibri"/>
                <w:color w:val="000000"/>
                <w:sz w:val="22"/>
                <w:szCs w:val="22"/>
              </w:rPr>
            </w:pPr>
            <w:r>
              <w:rPr>
                <w:rFonts w:ascii="Calibri" w:hAnsi="Calibri" w:cs="Calibri"/>
                <w:color w:val="000000"/>
                <w:sz w:val="22"/>
                <w:szCs w:val="22"/>
              </w:rPr>
              <w:t>458,11</w:t>
            </w:r>
          </w:p>
        </w:tc>
        <w:tc>
          <w:tcPr>
            <w:tcW w:w="1506" w:type="dxa"/>
            <w:tcBorders>
              <w:top w:val="nil"/>
              <w:left w:val="nil"/>
              <w:bottom w:val="single" w:sz="4" w:space="0" w:color="auto"/>
              <w:right w:val="single" w:sz="4" w:space="0" w:color="auto"/>
            </w:tcBorders>
            <w:shd w:val="clear" w:color="000000" w:fill="FFFFFF"/>
            <w:vAlign w:val="bottom"/>
            <w:hideMark/>
          </w:tcPr>
          <w:p w14:paraId="6F5A8A89" w14:textId="77777777" w:rsidR="00DB0966" w:rsidRDefault="00DB0966">
            <w:pPr>
              <w:jc w:val="right"/>
              <w:rPr>
                <w:rFonts w:ascii="Calibri" w:hAnsi="Calibri" w:cs="Calibri"/>
                <w:sz w:val="20"/>
                <w:szCs w:val="20"/>
              </w:rPr>
            </w:pPr>
            <w:r>
              <w:rPr>
                <w:rFonts w:ascii="Calibri" w:hAnsi="Calibri" w:cs="Calibri"/>
                <w:sz w:val="20"/>
                <w:szCs w:val="20"/>
              </w:rPr>
              <w:t> </w:t>
            </w:r>
          </w:p>
        </w:tc>
        <w:tc>
          <w:tcPr>
            <w:tcW w:w="1506" w:type="dxa"/>
            <w:tcBorders>
              <w:top w:val="nil"/>
              <w:left w:val="nil"/>
              <w:bottom w:val="single" w:sz="4" w:space="0" w:color="auto"/>
              <w:right w:val="single" w:sz="4" w:space="0" w:color="auto"/>
            </w:tcBorders>
            <w:shd w:val="clear" w:color="000000" w:fill="FFFFFF"/>
            <w:vAlign w:val="bottom"/>
            <w:hideMark/>
          </w:tcPr>
          <w:p w14:paraId="7F81AB9E" w14:textId="77777777" w:rsidR="00DB0966" w:rsidRDefault="00DB0966">
            <w:pPr>
              <w:jc w:val="right"/>
              <w:rPr>
                <w:rFonts w:ascii="Calibri" w:hAnsi="Calibri" w:cs="Calibri"/>
                <w:sz w:val="22"/>
                <w:szCs w:val="22"/>
              </w:rPr>
            </w:pPr>
            <w:r>
              <w:rPr>
                <w:rFonts w:ascii="Calibri" w:hAnsi="Calibri" w:cs="Calibri"/>
                <w:sz w:val="22"/>
                <w:szCs w:val="22"/>
              </w:rPr>
              <w:t>3.558,14</w:t>
            </w:r>
          </w:p>
        </w:tc>
        <w:tc>
          <w:tcPr>
            <w:tcW w:w="877" w:type="dxa"/>
            <w:tcBorders>
              <w:top w:val="nil"/>
              <w:left w:val="nil"/>
              <w:bottom w:val="single" w:sz="4" w:space="0" w:color="auto"/>
              <w:right w:val="single" w:sz="4" w:space="0" w:color="auto"/>
            </w:tcBorders>
            <w:noWrap/>
            <w:vAlign w:val="bottom"/>
            <w:hideMark/>
          </w:tcPr>
          <w:p w14:paraId="2CA1C45C"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777%</w:t>
            </w:r>
          </w:p>
        </w:tc>
        <w:tc>
          <w:tcPr>
            <w:tcW w:w="804" w:type="dxa"/>
            <w:tcBorders>
              <w:top w:val="nil"/>
              <w:left w:val="nil"/>
              <w:bottom w:val="single" w:sz="4" w:space="0" w:color="auto"/>
              <w:right w:val="single" w:sz="4" w:space="0" w:color="auto"/>
            </w:tcBorders>
            <w:noWrap/>
            <w:vAlign w:val="bottom"/>
            <w:hideMark/>
          </w:tcPr>
          <w:p w14:paraId="54F6CFEB"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 </w:t>
            </w:r>
          </w:p>
        </w:tc>
        <w:tc>
          <w:tcPr>
            <w:tcW w:w="222" w:type="dxa"/>
            <w:vAlign w:val="center"/>
            <w:hideMark/>
          </w:tcPr>
          <w:p w14:paraId="1B9343B0" w14:textId="77777777" w:rsidR="00DB0966" w:rsidRDefault="00DB0966">
            <w:pPr>
              <w:rPr>
                <w:sz w:val="20"/>
                <w:szCs w:val="20"/>
              </w:rPr>
            </w:pPr>
          </w:p>
        </w:tc>
      </w:tr>
      <w:tr w:rsidR="00DB0966" w14:paraId="139171CB" w14:textId="77777777" w:rsidTr="00DB0966">
        <w:trPr>
          <w:trHeight w:val="364"/>
          <w:jc w:val="center"/>
        </w:trPr>
        <w:tc>
          <w:tcPr>
            <w:tcW w:w="665" w:type="dxa"/>
            <w:tcBorders>
              <w:top w:val="nil"/>
              <w:left w:val="single" w:sz="4" w:space="0" w:color="auto"/>
              <w:bottom w:val="single" w:sz="4" w:space="0" w:color="auto"/>
              <w:right w:val="single" w:sz="4" w:space="0" w:color="auto"/>
            </w:tcBorders>
            <w:shd w:val="clear" w:color="000000" w:fill="D9D9D9"/>
            <w:noWrap/>
            <w:vAlign w:val="bottom"/>
            <w:hideMark/>
          </w:tcPr>
          <w:p w14:paraId="242E140A" w14:textId="77777777" w:rsidR="00DB0966" w:rsidRDefault="00DB0966">
            <w:pPr>
              <w:jc w:val="center"/>
              <w:rPr>
                <w:rFonts w:ascii="Calibri" w:hAnsi="Calibri" w:cs="Calibri"/>
                <w:b/>
                <w:bCs/>
                <w:sz w:val="22"/>
                <w:szCs w:val="22"/>
              </w:rPr>
            </w:pPr>
            <w:r>
              <w:rPr>
                <w:rFonts w:ascii="Calibri" w:hAnsi="Calibri" w:cs="Calibri"/>
                <w:b/>
                <w:bCs/>
                <w:sz w:val="22"/>
                <w:szCs w:val="22"/>
              </w:rPr>
              <w:t>37</w:t>
            </w:r>
          </w:p>
        </w:tc>
        <w:tc>
          <w:tcPr>
            <w:tcW w:w="4433" w:type="dxa"/>
            <w:tcBorders>
              <w:top w:val="nil"/>
              <w:left w:val="nil"/>
              <w:bottom w:val="single" w:sz="4" w:space="0" w:color="auto"/>
              <w:right w:val="single" w:sz="4" w:space="0" w:color="auto"/>
            </w:tcBorders>
            <w:shd w:val="clear" w:color="000000" w:fill="D9D9D9"/>
            <w:vAlign w:val="bottom"/>
            <w:hideMark/>
          </w:tcPr>
          <w:p w14:paraId="16C38F63" w14:textId="77777777" w:rsidR="00DB0966" w:rsidRDefault="00DB0966">
            <w:pPr>
              <w:rPr>
                <w:rFonts w:ascii="Calibri" w:hAnsi="Calibri" w:cs="Calibri"/>
                <w:b/>
                <w:bCs/>
                <w:sz w:val="22"/>
                <w:szCs w:val="22"/>
              </w:rPr>
            </w:pPr>
            <w:r>
              <w:rPr>
                <w:rFonts w:ascii="Calibri" w:hAnsi="Calibri" w:cs="Calibri"/>
                <w:b/>
                <w:bCs/>
                <w:sz w:val="22"/>
                <w:szCs w:val="22"/>
              </w:rPr>
              <w:t xml:space="preserve">DRUGE NAKNADE </w:t>
            </w:r>
          </w:p>
        </w:tc>
        <w:tc>
          <w:tcPr>
            <w:tcW w:w="1506" w:type="dxa"/>
            <w:tcBorders>
              <w:top w:val="nil"/>
              <w:left w:val="nil"/>
              <w:bottom w:val="single" w:sz="4" w:space="0" w:color="auto"/>
              <w:right w:val="single" w:sz="4" w:space="0" w:color="auto"/>
            </w:tcBorders>
            <w:shd w:val="clear" w:color="000000" w:fill="D9D9D9"/>
            <w:noWrap/>
            <w:vAlign w:val="bottom"/>
            <w:hideMark/>
          </w:tcPr>
          <w:p w14:paraId="676094F1" w14:textId="77777777" w:rsidR="00DB0966" w:rsidRDefault="00DB0966">
            <w:pPr>
              <w:jc w:val="right"/>
              <w:rPr>
                <w:rFonts w:ascii="Calibri" w:hAnsi="Calibri" w:cs="Calibri"/>
                <w:sz w:val="22"/>
                <w:szCs w:val="22"/>
              </w:rPr>
            </w:pPr>
            <w:r>
              <w:rPr>
                <w:rFonts w:ascii="Calibri" w:hAnsi="Calibri" w:cs="Calibri"/>
                <w:sz w:val="22"/>
                <w:szCs w:val="22"/>
              </w:rPr>
              <w:t>17.167,94</w:t>
            </w:r>
          </w:p>
        </w:tc>
        <w:tc>
          <w:tcPr>
            <w:tcW w:w="1506" w:type="dxa"/>
            <w:tcBorders>
              <w:top w:val="nil"/>
              <w:left w:val="nil"/>
              <w:bottom w:val="single" w:sz="4" w:space="0" w:color="auto"/>
              <w:right w:val="single" w:sz="4" w:space="0" w:color="auto"/>
            </w:tcBorders>
            <w:shd w:val="clear" w:color="000000" w:fill="D9D9D9"/>
            <w:noWrap/>
            <w:vAlign w:val="bottom"/>
            <w:hideMark/>
          </w:tcPr>
          <w:p w14:paraId="7F3EC26E" w14:textId="77777777" w:rsidR="00DB0966" w:rsidRDefault="00DB0966">
            <w:pPr>
              <w:jc w:val="right"/>
              <w:rPr>
                <w:rFonts w:ascii="Calibri" w:hAnsi="Calibri" w:cs="Calibri"/>
                <w:sz w:val="22"/>
                <w:szCs w:val="22"/>
              </w:rPr>
            </w:pPr>
            <w:r>
              <w:rPr>
                <w:rFonts w:ascii="Calibri" w:hAnsi="Calibri" w:cs="Calibri"/>
                <w:sz w:val="22"/>
                <w:szCs w:val="22"/>
              </w:rPr>
              <w:t>122.549,00</w:t>
            </w:r>
          </w:p>
        </w:tc>
        <w:tc>
          <w:tcPr>
            <w:tcW w:w="1506" w:type="dxa"/>
            <w:tcBorders>
              <w:top w:val="nil"/>
              <w:left w:val="nil"/>
              <w:bottom w:val="single" w:sz="4" w:space="0" w:color="auto"/>
              <w:right w:val="single" w:sz="4" w:space="0" w:color="auto"/>
            </w:tcBorders>
            <w:shd w:val="clear" w:color="000000" w:fill="D9D9D9"/>
            <w:noWrap/>
            <w:vAlign w:val="bottom"/>
            <w:hideMark/>
          </w:tcPr>
          <w:p w14:paraId="25B5F0D8" w14:textId="77777777" w:rsidR="00DB0966" w:rsidRDefault="00DB0966">
            <w:pPr>
              <w:jc w:val="right"/>
              <w:rPr>
                <w:rFonts w:ascii="Calibri" w:hAnsi="Calibri" w:cs="Calibri"/>
                <w:sz w:val="22"/>
                <w:szCs w:val="22"/>
              </w:rPr>
            </w:pPr>
            <w:r>
              <w:rPr>
                <w:rFonts w:ascii="Calibri" w:hAnsi="Calibri" w:cs="Calibri"/>
                <w:sz w:val="22"/>
                <w:szCs w:val="22"/>
              </w:rPr>
              <w:t>123.459,39</w:t>
            </w:r>
          </w:p>
        </w:tc>
        <w:tc>
          <w:tcPr>
            <w:tcW w:w="877" w:type="dxa"/>
            <w:tcBorders>
              <w:top w:val="nil"/>
              <w:left w:val="nil"/>
              <w:bottom w:val="single" w:sz="4" w:space="0" w:color="auto"/>
              <w:right w:val="single" w:sz="4" w:space="0" w:color="auto"/>
            </w:tcBorders>
            <w:shd w:val="clear" w:color="000000" w:fill="D9D9D9"/>
            <w:noWrap/>
            <w:vAlign w:val="bottom"/>
            <w:hideMark/>
          </w:tcPr>
          <w:p w14:paraId="4FE5641C" w14:textId="77777777" w:rsidR="00DB0966" w:rsidRDefault="00DB0966">
            <w:pPr>
              <w:jc w:val="center"/>
              <w:rPr>
                <w:rFonts w:ascii="Calibri" w:hAnsi="Calibri" w:cs="Calibri"/>
                <w:sz w:val="22"/>
                <w:szCs w:val="22"/>
              </w:rPr>
            </w:pPr>
            <w:r>
              <w:rPr>
                <w:rFonts w:ascii="Calibri" w:hAnsi="Calibri" w:cs="Calibri"/>
                <w:sz w:val="22"/>
                <w:szCs w:val="22"/>
              </w:rPr>
              <w:t>719%</w:t>
            </w:r>
          </w:p>
        </w:tc>
        <w:tc>
          <w:tcPr>
            <w:tcW w:w="804" w:type="dxa"/>
            <w:tcBorders>
              <w:top w:val="nil"/>
              <w:left w:val="nil"/>
              <w:bottom w:val="single" w:sz="4" w:space="0" w:color="auto"/>
              <w:right w:val="single" w:sz="4" w:space="0" w:color="auto"/>
            </w:tcBorders>
            <w:shd w:val="clear" w:color="000000" w:fill="D9D9D9"/>
            <w:noWrap/>
            <w:vAlign w:val="bottom"/>
            <w:hideMark/>
          </w:tcPr>
          <w:p w14:paraId="2E3E779D" w14:textId="77777777" w:rsidR="00DB0966" w:rsidRDefault="00DB0966">
            <w:pPr>
              <w:jc w:val="center"/>
              <w:rPr>
                <w:rFonts w:ascii="Calibri" w:hAnsi="Calibri" w:cs="Calibri"/>
                <w:sz w:val="22"/>
                <w:szCs w:val="22"/>
              </w:rPr>
            </w:pPr>
            <w:r>
              <w:rPr>
                <w:rFonts w:ascii="Calibri" w:hAnsi="Calibri" w:cs="Calibri"/>
                <w:sz w:val="22"/>
                <w:szCs w:val="22"/>
              </w:rPr>
              <w:t>101%</w:t>
            </w:r>
          </w:p>
        </w:tc>
        <w:tc>
          <w:tcPr>
            <w:tcW w:w="222" w:type="dxa"/>
            <w:vAlign w:val="center"/>
            <w:hideMark/>
          </w:tcPr>
          <w:p w14:paraId="2D7F9C07" w14:textId="77777777" w:rsidR="00DB0966" w:rsidRDefault="00DB0966">
            <w:pPr>
              <w:rPr>
                <w:sz w:val="20"/>
                <w:szCs w:val="20"/>
              </w:rPr>
            </w:pPr>
          </w:p>
        </w:tc>
      </w:tr>
      <w:tr w:rsidR="00DB0966" w14:paraId="6ABCCEA1" w14:textId="77777777" w:rsidTr="00DB0966">
        <w:trPr>
          <w:trHeight w:val="290"/>
          <w:jc w:val="center"/>
        </w:trPr>
        <w:tc>
          <w:tcPr>
            <w:tcW w:w="665" w:type="dxa"/>
            <w:tcBorders>
              <w:top w:val="nil"/>
              <w:left w:val="single" w:sz="4" w:space="0" w:color="auto"/>
              <w:bottom w:val="single" w:sz="4" w:space="0" w:color="auto"/>
              <w:right w:val="single" w:sz="4" w:space="0" w:color="auto"/>
            </w:tcBorders>
            <w:shd w:val="clear" w:color="000000" w:fill="FFFFFF"/>
            <w:noWrap/>
            <w:vAlign w:val="bottom"/>
            <w:hideMark/>
          </w:tcPr>
          <w:p w14:paraId="4DC72388" w14:textId="77777777" w:rsidR="00DB0966" w:rsidRDefault="00DB0966">
            <w:pPr>
              <w:jc w:val="center"/>
              <w:rPr>
                <w:rFonts w:ascii="Calibri" w:hAnsi="Calibri" w:cs="Calibri"/>
                <w:b/>
                <w:bCs/>
                <w:sz w:val="22"/>
                <w:szCs w:val="22"/>
              </w:rPr>
            </w:pPr>
            <w:r>
              <w:rPr>
                <w:rFonts w:ascii="Calibri" w:hAnsi="Calibri" w:cs="Calibri"/>
                <w:b/>
                <w:bCs/>
                <w:sz w:val="22"/>
                <w:szCs w:val="22"/>
              </w:rPr>
              <w:t>372</w:t>
            </w:r>
          </w:p>
        </w:tc>
        <w:tc>
          <w:tcPr>
            <w:tcW w:w="4433" w:type="dxa"/>
            <w:tcBorders>
              <w:top w:val="nil"/>
              <w:left w:val="nil"/>
              <w:bottom w:val="single" w:sz="4" w:space="0" w:color="auto"/>
              <w:right w:val="single" w:sz="4" w:space="0" w:color="auto"/>
            </w:tcBorders>
            <w:vAlign w:val="bottom"/>
            <w:hideMark/>
          </w:tcPr>
          <w:p w14:paraId="6BAAE761" w14:textId="77777777" w:rsidR="00DB0966" w:rsidRDefault="00DB0966">
            <w:pPr>
              <w:rPr>
                <w:rFonts w:ascii="Calibri" w:hAnsi="Calibri" w:cs="Calibri"/>
                <w:b/>
                <w:bCs/>
                <w:sz w:val="22"/>
                <w:szCs w:val="22"/>
              </w:rPr>
            </w:pPr>
            <w:r>
              <w:rPr>
                <w:rFonts w:ascii="Calibri" w:hAnsi="Calibri" w:cs="Calibri"/>
                <w:b/>
                <w:bCs/>
                <w:sz w:val="22"/>
                <w:szCs w:val="22"/>
              </w:rPr>
              <w:t xml:space="preserve">Ostale naknade iz proračuna </w:t>
            </w:r>
          </w:p>
        </w:tc>
        <w:tc>
          <w:tcPr>
            <w:tcW w:w="1506" w:type="dxa"/>
            <w:tcBorders>
              <w:top w:val="nil"/>
              <w:left w:val="nil"/>
              <w:bottom w:val="single" w:sz="4" w:space="0" w:color="auto"/>
              <w:right w:val="single" w:sz="4" w:space="0" w:color="auto"/>
            </w:tcBorders>
            <w:noWrap/>
            <w:vAlign w:val="bottom"/>
            <w:hideMark/>
          </w:tcPr>
          <w:p w14:paraId="167B5F50" w14:textId="77777777" w:rsidR="00DB0966" w:rsidRDefault="00DB0966">
            <w:pPr>
              <w:jc w:val="right"/>
              <w:rPr>
                <w:rFonts w:ascii="Calibri" w:hAnsi="Calibri" w:cs="Calibri"/>
                <w:sz w:val="22"/>
                <w:szCs w:val="22"/>
              </w:rPr>
            </w:pPr>
            <w:r>
              <w:rPr>
                <w:rFonts w:ascii="Calibri" w:hAnsi="Calibri" w:cs="Calibri"/>
                <w:sz w:val="22"/>
                <w:szCs w:val="22"/>
              </w:rPr>
              <w:t>17.167,94</w:t>
            </w:r>
          </w:p>
        </w:tc>
        <w:tc>
          <w:tcPr>
            <w:tcW w:w="1506" w:type="dxa"/>
            <w:tcBorders>
              <w:top w:val="nil"/>
              <w:left w:val="nil"/>
              <w:bottom w:val="single" w:sz="4" w:space="0" w:color="auto"/>
              <w:right w:val="single" w:sz="4" w:space="0" w:color="auto"/>
            </w:tcBorders>
            <w:noWrap/>
            <w:vAlign w:val="bottom"/>
            <w:hideMark/>
          </w:tcPr>
          <w:p w14:paraId="16044945" w14:textId="77777777" w:rsidR="00DB0966" w:rsidRDefault="00DB0966">
            <w:pPr>
              <w:jc w:val="right"/>
              <w:rPr>
                <w:rFonts w:ascii="Calibri" w:hAnsi="Calibri" w:cs="Calibri"/>
                <w:sz w:val="22"/>
                <w:szCs w:val="22"/>
              </w:rPr>
            </w:pPr>
            <w:r>
              <w:rPr>
                <w:rFonts w:ascii="Calibri" w:hAnsi="Calibri" w:cs="Calibri"/>
                <w:sz w:val="22"/>
                <w:szCs w:val="22"/>
              </w:rPr>
              <w:t>0,00</w:t>
            </w:r>
          </w:p>
        </w:tc>
        <w:tc>
          <w:tcPr>
            <w:tcW w:w="1506" w:type="dxa"/>
            <w:tcBorders>
              <w:top w:val="nil"/>
              <w:left w:val="nil"/>
              <w:bottom w:val="single" w:sz="4" w:space="0" w:color="auto"/>
              <w:right w:val="single" w:sz="4" w:space="0" w:color="auto"/>
            </w:tcBorders>
            <w:noWrap/>
            <w:vAlign w:val="bottom"/>
            <w:hideMark/>
          </w:tcPr>
          <w:p w14:paraId="3D7BA14D" w14:textId="77777777" w:rsidR="00DB0966" w:rsidRDefault="00DB0966">
            <w:pPr>
              <w:jc w:val="right"/>
              <w:rPr>
                <w:rFonts w:ascii="Calibri" w:hAnsi="Calibri" w:cs="Calibri"/>
                <w:sz w:val="22"/>
                <w:szCs w:val="22"/>
              </w:rPr>
            </w:pPr>
            <w:r>
              <w:rPr>
                <w:rFonts w:ascii="Calibri" w:hAnsi="Calibri" w:cs="Calibri"/>
                <w:sz w:val="22"/>
                <w:szCs w:val="22"/>
              </w:rPr>
              <w:t>123.459,39</w:t>
            </w:r>
          </w:p>
        </w:tc>
        <w:tc>
          <w:tcPr>
            <w:tcW w:w="877" w:type="dxa"/>
            <w:tcBorders>
              <w:top w:val="nil"/>
              <w:left w:val="nil"/>
              <w:bottom w:val="single" w:sz="4" w:space="0" w:color="auto"/>
              <w:right w:val="single" w:sz="4" w:space="0" w:color="auto"/>
            </w:tcBorders>
            <w:noWrap/>
            <w:vAlign w:val="bottom"/>
            <w:hideMark/>
          </w:tcPr>
          <w:p w14:paraId="4AE7DA84"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719%</w:t>
            </w:r>
          </w:p>
        </w:tc>
        <w:tc>
          <w:tcPr>
            <w:tcW w:w="804" w:type="dxa"/>
            <w:tcBorders>
              <w:top w:val="nil"/>
              <w:left w:val="nil"/>
              <w:bottom w:val="single" w:sz="4" w:space="0" w:color="auto"/>
              <w:right w:val="single" w:sz="4" w:space="0" w:color="auto"/>
            </w:tcBorders>
            <w:noWrap/>
            <w:vAlign w:val="bottom"/>
            <w:hideMark/>
          </w:tcPr>
          <w:p w14:paraId="3BB6E819"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 </w:t>
            </w:r>
          </w:p>
        </w:tc>
        <w:tc>
          <w:tcPr>
            <w:tcW w:w="222" w:type="dxa"/>
            <w:vAlign w:val="center"/>
            <w:hideMark/>
          </w:tcPr>
          <w:p w14:paraId="72F2E15E" w14:textId="77777777" w:rsidR="00DB0966" w:rsidRDefault="00DB0966">
            <w:pPr>
              <w:rPr>
                <w:sz w:val="20"/>
                <w:szCs w:val="20"/>
              </w:rPr>
            </w:pPr>
          </w:p>
        </w:tc>
      </w:tr>
      <w:tr w:rsidR="00DB0966" w14:paraId="3915A5AC" w14:textId="77777777" w:rsidTr="00DB0966">
        <w:trPr>
          <w:trHeight w:val="290"/>
          <w:jc w:val="center"/>
        </w:trPr>
        <w:tc>
          <w:tcPr>
            <w:tcW w:w="665" w:type="dxa"/>
            <w:tcBorders>
              <w:top w:val="nil"/>
              <w:left w:val="single" w:sz="4" w:space="0" w:color="auto"/>
              <w:bottom w:val="single" w:sz="4" w:space="0" w:color="auto"/>
              <w:right w:val="single" w:sz="4" w:space="0" w:color="auto"/>
            </w:tcBorders>
            <w:noWrap/>
            <w:vAlign w:val="bottom"/>
            <w:hideMark/>
          </w:tcPr>
          <w:p w14:paraId="684FDD83"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3721</w:t>
            </w:r>
          </w:p>
        </w:tc>
        <w:tc>
          <w:tcPr>
            <w:tcW w:w="4433" w:type="dxa"/>
            <w:tcBorders>
              <w:top w:val="nil"/>
              <w:left w:val="nil"/>
              <w:bottom w:val="single" w:sz="4" w:space="0" w:color="auto"/>
              <w:right w:val="single" w:sz="4" w:space="0" w:color="auto"/>
            </w:tcBorders>
            <w:noWrap/>
            <w:vAlign w:val="bottom"/>
            <w:hideMark/>
          </w:tcPr>
          <w:p w14:paraId="5AF1E16D" w14:textId="77777777" w:rsidR="00DB0966" w:rsidRDefault="00DB0966">
            <w:pPr>
              <w:rPr>
                <w:rFonts w:ascii="Calibri" w:hAnsi="Calibri" w:cs="Calibri"/>
                <w:color w:val="000000"/>
                <w:sz w:val="22"/>
                <w:szCs w:val="22"/>
              </w:rPr>
            </w:pPr>
            <w:r>
              <w:rPr>
                <w:rFonts w:ascii="Calibri" w:hAnsi="Calibri" w:cs="Calibri"/>
                <w:color w:val="000000"/>
                <w:sz w:val="22"/>
                <w:szCs w:val="22"/>
              </w:rPr>
              <w:t>Školarine</w:t>
            </w:r>
          </w:p>
        </w:tc>
        <w:tc>
          <w:tcPr>
            <w:tcW w:w="1506" w:type="dxa"/>
            <w:tcBorders>
              <w:top w:val="nil"/>
              <w:left w:val="nil"/>
              <w:bottom w:val="single" w:sz="4" w:space="0" w:color="auto"/>
              <w:right w:val="single" w:sz="4" w:space="0" w:color="auto"/>
            </w:tcBorders>
            <w:noWrap/>
            <w:vAlign w:val="bottom"/>
            <w:hideMark/>
          </w:tcPr>
          <w:p w14:paraId="0C61EF96" w14:textId="77777777" w:rsidR="00DB0966" w:rsidRDefault="00DB0966">
            <w:pPr>
              <w:jc w:val="right"/>
              <w:rPr>
                <w:rFonts w:ascii="Calibri" w:hAnsi="Calibri" w:cs="Calibri"/>
                <w:color w:val="000000"/>
                <w:sz w:val="22"/>
                <w:szCs w:val="22"/>
              </w:rPr>
            </w:pPr>
            <w:r>
              <w:rPr>
                <w:rFonts w:ascii="Calibri" w:hAnsi="Calibri" w:cs="Calibri"/>
                <w:color w:val="000000"/>
                <w:sz w:val="22"/>
                <w:szCs w:val="22"/>
              </w:rPr>
              <w:t>17.167,94</w:t>
            </w:r>
          </w:p>
        </w:tc>
        <w:tc>
          <w:tcPr>
            <w:tcW w:w="1506" w:type="dxa"/>
            <w:tcBorders>
              <w:top w:val="nil"/>
              <w:left w:val="nil"/>
              <w:bottom w:val="single" w:sz="4" w:space="0" w:color="auto"/>
              <w:right w:val="single" w:sz="4" w:space="0" w:color="auto"/>
            </w:tcBorders>
            <w:shd w:val="clear" w:color="000000" w:fill="FFFFFF"/>
            <w:vAlign w:val="bottom"/>
            <w:hideMark/>
          </w:tcPr>
          <w:p w14:paraId="243110EE" w14:textId="77777777" w:rsidR="00DB0966" w:rsidRDefault="00DB0966">
            <w:pPr>
              <w:jc w:val="right"/>
              <w:rPr>
                <w:rFonts w:ascii="Calibri" w:hAnsi="Calibri" w:cs="Calibri"/>
                <w:sz w:val="20"/>
                <w:szCs w:val="20"/>
              </w:rPr>
            </w:pPr>
            <w:r>
              <w:rPr>
                <w:rFonts w:ascii="Calibri" w:hAnsi="Calibri" w:cs="Calibri"/>
                <w:sz w:val="20"/>
                <w:szCs w:val="20"/>
              </w:rPr>
              <w:t> </w:t>
            </w:r>
          </w:p>
        </w:tc>
        <w:tc>
          <w:tcPr>
            <w:tcW w:w="1506" w:type="dxa"/>
            <w:tcBorders>
              <w:top w:val="nil"/>
              <w:left w:val="nil"/>
              <w:bottom w:val="single" w:sz="4" w:space="0" w:color="auto"/>
              <w:right w:val="single" w:sz="4" w:space="0" w:color="auto"/>
            </w:tcBorders>
            <w:vAlign w:val="bottom"/>
            <w:hideMark/>
          </w:tcPr>
          <w:p w14:paraId="09634039" w14:textId="77777777" w:rsidR="00DB0966" w:rsidRDefault="00DB0966">
            <w:pPr>
              <w:jc w:val="right"/>
              <w:rPr>
                <w:rFonts w:ascii="Calibri" w:hAnsi="Calibri" w:cs="Calibri"/>
                <w:sz w:val="22"/>
                <w:szCs w:val="22"/>
              </w:rPr>
            </w:pPr>
            <w:r>
              <w:rPr>
                <w:rFonts w:ascii="Calibri" w:hAnsi="Calibri" w:cs="Calibri"/>
                <w:sz w:val="22"/>
                <w:szCs w:val="22"/>
              </w:rPr>
              <w:t>123.459,39</w:t>
            </w:r>
          </w:p>
        </w:tc>
        <w:tc>
          <w:tcPr>
            <w:tcW w:w="877" w:type="dxa"/>
            <w:tcBorders>
              <w:top w:val="nil"/>
              <w:left w:val="nil"/>
              <w:bottom w:val="single" w:sz="4" w:space="0" w:color="auto"/>
              <w:right w:val="single" w:sz="4" w:space="0" w:color="auto"/>
            </w:tcBorders>
            <w:noWrap/>
            <w:vAlign w:val="bottom"/>
            <w:hideMark/>
          </w:tcPr>
          <w:p w14:paraId="3FA3824E"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719%</w:t>
            </w:r>
          </w:p>
        </w:tc>
        <w:tc>
          <w:tcPr>
            <w:tcW w:w="804" w:type="dxa"/>
            <w:tcBorders>
              <w:top w:val="nil"/>
              <w:left w:val="nil"/>
              <w:bottom w:val="single" w:sz="4" w:space="0" w:color="auto"/>
              <w:right w:val="single" w:sz="4" w:space="0" w:color="auto"/>
            </w:tcBorders>
            <w:noWrap/>
            <w:vAlign w:val="bottom"/>
            <w:hideMark/>
          </w:tcPr>
          <w:p w14:paraId="7ECABBA1"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 </w:t>
            </w:r>
          </w:p>
        </w:tc>
        <w:tc>
          <w:tcPr>
            <w:tcW w:w="222" w:type="dxa"/>
            <w:vAlign w:val="center"/>
            <w:hideMark/>
          </w:tcPr>
          <w:p w14:paraId="428D12C3" w14:textId="77777777" w:rsidR="00DB0966" w:rsidRDefault="00DB0966">
            <w:pPr>
              <w:rPr>
                <w:sz w:val="20"/>
                <w:szCs w:val="20"/>
              </w:rPr>
            </w:pPr>
          </w:p>
        </w:tc>
      </w:tr>
      <w:tr w:rsidR="00DB0966" w14:paraId="2DB4FEB0" w14:textId="77777777" w:rsidTr="00DB0966">
        <w:trPr>
          <w:trHeight w:val="379"/>
          <w:jc w:val="center"/>
        </w:trPr>
        <w:tc>
          <w:tcPr>
            <w:tcW w:w="665" w:type="dxa"/>
            <w:tcBorders>
              <w:top w:val="nil"/>
              <w:left w:val="single" w:sz="4" w:space="0" w:color="auto"/>
              <w:bottom w:val="single" w:sz="4" w:space="0" w:color="auto"/>
              <w:right w:val="single" w:sz="4" w:space="0" w:color="auto"/>
            </w:tcBorders>
            <w:shd w:val="clear" w:color="000000" w:fill="D9D9D9"/>
            <w:noWrap/>
            <w:vAlign w:val="bottom"/>
            <w:hideMark/>
          </w:tcPr>
          <w:p w14:paraId="0E81815E" w14:textId="77777777" w:rsidR="00DB0966" w:rsidRDefault="00DB0966">
            <w:pPr>
              <w:jc w:val="center"/>
              <w:rPr>
                <w:rFonts w:ascii="Calibri" w:hAnsi="Calibri" w:cs="Calibri"/>
                <w:b/>
                <w:bCs/>
                <w:sz w:val="22"/>
                <w:szCs w:val="22"/>
              </w:rPr>
            </w:pPr>
            <w:r>
              <w:rPr>
                <w:rFonts w:ascii="Calibri" w:hAnsi="Calibri" w:cs="Calibri"/>
                <w:b/>
                <w:bCs/>
                <w:sz w:val="22"/>
                <w:szCs w:val="22"/>
              </w:rPr>
              <w:t>38</w:t>
            </w:r>
          </w:p>
        </w:tc>
        <w:tc>
          <w:tcPr>
            <w:tcW w:w="4433" w:type="dxa"/>
            <w:tcBorders>
              <w:top w:val="nil"/>
              <w:left w:val="nil"/>
              <w:bottom w:val="single" w:sz="4" w:space="0" w:color="auto"/>
              <w:right w:val="single" w:sz="4" w:space="0" w:color="auto"/>
            </w:tcBorders>
            <w:shd w:val="clear" w:color="000000" w:fill="D9D9D9"/>
            <w:vAlign w:val="bottom"/>
            <w:hideMark/>
          </w:tcPr>
          <w:p w14:paraId="194CAA60" w14:textId="77777777" w:rsidR="00DB0966" w:rsidRDefault="00DB0966">
            <w:pPr>
              <w:rPr>
                <w:rFonts w:ascii="Calibri" w:hAnsi="Calibri" w:cs="Calibri"/>
                <w:b/>
                <w:bCs/>
                <w:sz w:val="22"/>
                <w:szCs w:val="22"/>
              </w:rPr>
            </w:pPr>
            <w:r>
              <w:rPr>
                <w:rFonts w:ascii="Calibri" w:hAnsi="Calibri" w:cs="Calibri"/>
                <w:b/>
                <w:bCs/>
                <w:sz w:val="22"/>
                <w:szCs w:val="22"/>
              </w:rPr>
              <w:t>OSTALI RASHODI</w:t>
            </w:r>
          </w:p>
        </w:tc>
        <w:tc>
          <w:tcPr>
            <w:tcW w:w="1506" w:type="dxa"/>
            <w:tcBorders>
              <w:top w:val="nil"/>
              <w:left w:val="nil"/>
              <w:bottom w:val="single" w:sz="4" w:space="0" w:color="auto"/>
              <w:right w:val="single" w:sz="4" w:space="0" w:color="auto"/>
            </w:tcBorders>
            <w:shd w:val="clear" w:color="000000" w:fill="D9D9D9"/>
            <w:noWrap/>
            <w:vAlign w:val="bottom"/>
            <w:hideMark/>
          </w:tcPr>
          <w:p w14:paraId="2D30D355" w14:textId="77777777" w:rsidR="00DB0966" w:rsidRDefault="00DB0966">
            <w:pPr>
              <w:jc w:val="right"/>
              <w:rPr>
                <w:rFonts w:ascii="Calibri" w:hAnsi="Calibri" w:cs="Calibri"/>
                <w:sz w:val="22"/>
                <w:szCs w:val="22"/>
              </w:rPr>
            </w:pPr>
            <w:r>
              <w:rPr>
                <w:rFonts w:ascii="Calibri" w:hAnsi="Calibri" w:cs="Calibri"/>
                <w:sz w:val="22"/>
                <w:szCs w:val="22"/>
              </w:rPr>
              <w:t>2.281,92</w:t>
            </w:r>
          </w:p>
        </w:tc>
        <w:tc>
          <w:tcPr>
            <w:tcW w:w="1506" w:type="dxa"/>
            <w:tcBorders>
              <w:top w:val="nil"/>
              <w:left w:val="nil"/>
              <w:bottom w:val="single" w:sz="4" w:space="0" w:color="auto"/>
              <w:right w:val="single" w:sz="4" w:space="0" w:color="auto"/>
            </w:tcBorders>
            <w:shd w:val="clear" w:color="000000" w:fill="D9D9D9"/>
            <w:noWrap/>
            <w:vAlign w:val="bottom"/>
            <w:hideMark/>
          </w:tcPr>
          <w:p w14:paraId="45282F08" w14:textId="77777777" w:rsidR="00DB0966" w:rsidRDefault="00DB0966">
            <w:pPr>
              <w:jc w:val="right"/>
              <w:rPr>
                <w:rFonts w:ascii="Calibri" w:hAnsi="Calibri" w:cs="Calibri"/>
                <w:sz w:val="22"/>
                <w:szCs w:val="22"/>
              </w:rPr>
            </w:pPr>
            <w:r>
              <w:rPr>
                <w:rFonts w:ascii="Calibri" w:hAnsi="Calibri" w:cs="Calibri"/>
                <w:sz w:val="22"/>
                <w:szCs w:val="22"/>
              </w:rPr>
              <w:t>3.800,00</w:t>
            </w:r>
          </w:p>
        </w:tc>
        <w:tc>
          <w:tcPr>
            <w:tcW w:w="1506" w:type="dxa"/>
            <w:tcBorders>
              <w:top w:val="nil"/>
              <w:left w:val="nil"/>
              <w:bottom w:val="single" w:sz="4" w:space="0" w:color="auto"/>
              <w:right w:val="single" w:sz="4" w:space="0" w:color="auto"/>
            </w:tcBorders>
            <w:shd w:val="clear" w:color="000000" w:fill="D9D9D9"/>
            <w:noWrap/>
            <w:vAlign w:val="bottom"/>
            <w:hideMark/>
          </w:tcPr>
          <w:p w14:paraId="31A126DD" w14:textId="77777777" w:rsidR="00DB0966" w:rsidRDefault="00DB0966">
            <w:pPr>
              <w:jc w:val="right"/>
              <w:rPr>
                <w:rFonts w:ascii="Calibri" w:hAnsi="Calibri" w:cs="Calibri"/>
                <w:sz w:val="22"/>
                <w:szCs w:val="22"/>
              </w:rPr>
            </w:pPr>
            <w:r>
              <w:rPr>
                <w:rFonts w:ascii="Calibri" w:hAnsi="Calibri" w:cs="Calibri"/>
                <w:sz w:val="22"/>
                <w:szCs w:val="22"/>
              </w:rPr>
              <w:t>3.839,89</w:t>
            </w:r>
          </w:p>
        </w:tc>
        <w:tc>
          <w:tcPr>
            <w:tcW w:w="877" w:type="dxa"/>
            <w:tcBorders>
              <w:top w:val="nil"/>
              <w:left w:val="nil"/>
              <w:bottom w:val="single" w:sz="4" w:space="0" w:color="auto"/>
              <w:right w:val="single" w:sz="4" w:space="0" w:color="auto"/>
            </w:tcBorders>
            <w:shd w:val="clear" w:color="000000" w:fill="D9D9D9"/>
            <w:noWrap/>
            <w:vAlign w:val="bottom"/>
            <w:hideMark/>
          </w:tcPr>
          <w:p w14:paraId="0E5CC7C7" w14:textId="77777777" w:rsidR="00DB0966" w:rsidRDefault="00DB0966">
            <w:pPr>
              <w:jc w:val="center"/>
              <w:rPr>
                <w:rFonts w:ascii="Calibri" w:hAnsi="Calibri" w:cs="Calibri"/>
                <w:sz w:val="22"/>
                <w:szCs w:val="22"/>
              </w:rPr>
            </w:pPr>
            <w:r>
              <w:rPr>
                <w:rFonts w:ascii="Calibri" w:hAnsi="Calibri" w:cs="Calibri"/>
                <w:sz w:val="22"/>
                <w:szCs w:val="22"/>
              </w:rPr>
              <w:t>168%</w:t>
            </w:r>
          </w:p>
        </w:tc>
        <w:tc>
          <w:tcPr>
            <w:tcW w:w="804" w:type="dxa"/>
            <w:tcBorders>
              <w:top w:val="nil"/>
              <w:left w:val="nil"/>
              <w:bottom w:val="single" w:sz="4" w:space="0" w:color="auto"/>
              <w:right w:val="single" w:sz="4" w:space="0" w:color="auto"/>
            </w:tcBorders>
            <w:shd w:val="clear" w:color="000000" w:fill="D9D9D9"/>
            <w:noWrap/>
            <w:vAlign w:val="bottom"/>
            <w:hideMark/>
          </w:tcPr>
          <w:p w14:paraId="1868C874" w14:textId="77777777" w:rsidR="00DB0966" w:rsidRDefault="00DB0966">
            <w:pPr>
              <w:jc w:val="center"/>
              <w:rPr>
                <w:rFonts w:ascii="Calibri" w:hAnsi="Calibri" w:cs="Calibri"/>
                <w:sz w:val="22"/>
                <w:szCs w:val="22"/>
              </w:rPr>
            </w:pPr>
            <w:r>
              <w:rPr>
                <w:rFonts w:ascii="Calibri" w:hAnsi="Calibri" w:cs="Calibri"/>
                <w:sz w:val="22"/>
                <w:szCs w:val="22"/>
              </w:rPr>
              <w:t>101%</w:t>
            </w:r>
          </w:p>
        </w:tc>
        <w:tc>
          <w:tcPr>
            <w:tcW w:w="222" w:type="dxa"/>
            <w:vAlign w:val="center"/>
            <w:hideMark/>
          </w:tcPr>
          <w:p w14:paraId="06DED599" w14:textId="77777777" w:rsidR="00DB0966" w:rsidRDefault="00DB0966">
            <w:pPr>
              <w:rPr>
                <w:sz w:val="20"/>
                <w:szCs w:val="20"/>
              </w:rPr>
            </w:pPr>
          </w:p>
        </w:tc>
      </w:tr>
      <w:tr w:rsidR="00DB0966" w14:paraId="313CFB59" w14:textId="77777777" w:rsidTr="00DB0966">
        <w:trPr>
          <w:trHeight w:val="290"/>
          <w:jc w:val="center"/>
        </w:trPr>
        <w:tc>
          <w:tcPr>
            <w:tcW w:w="665" w:type="dxa"/>
            <w:tcBorders>
              <w:top w:val="nil"/>
              <w:left w:val="single" w:sz="4" w:space="0" w:color="auto"/>
              <w:bottom w:val="single" w:sz="4" w:space="0" w:color="auto"/>
              <w:right w:val="single" w:sz="4" w:space="0" w:color="auto"/>
            </w:tcBorders>
            <w:noWrap/>
            <w:vAlign w:val="bottom"/>
            <w:hideMark/>
          </w:tcPr>
          <w:p w14:paraId="139B70F2" w14:textId="77777777" w:rsidR="00DB0966" w:rsidRDefault="00DB0966">
            <w:pPr>
              <w:jc w:val="center"/>
              <w:rPr>
                <w:rFonts w:ascii="Calibri" w:hAnsi="Calibri" w:cs="Calibri"/>
                <w:b/>
                <w:bCs/>
                <w:sz w:val="22"/>
                <w:szCs w:val="22"/>
              </w:rPr>
            </w:pPr>
            <w:r>
              <w:rPr>
                <w:rFonts w:ascii="Calibri" w:hAnsi="Calibri" w:cs="Calibri"/>
                <w:b/>
                <w:bCs/>
                <w:sz w:val="22"/>
                <w:szCs w:val="22"/>
              </w:rPr>
              <w:t>383</w:t>
            </w:r>
          </w:p>
        </w:tc>
        <w:tc>
          <w:tcPr>
            <w:tcW w:w="4433" w:type="dxa"/>
            <w:tcBorders>
              <w:top w:val="nil"/>
              <w:left w:val="nil"/>
              <w:bottom w:val="single" w:sz="4" w:space="0" w:color="auto"/>
              <w:right w:val="single" w:sz="4" w:space="0" w:color="auto"/>
            </w:tcBorders>
            <w:vAlign w:val="bottom"/>
            <w:hideMark/>
          </w:tcPr>
          <w:p w14:paraId="4D48A092" w14:textId="77777777" w:rsidR="00DB0966" w:rsidRDefault="00DB0966">
            <w:pPr>
              <w:rPr>
                <w:rFonts w:ascii="Calibri" w:hAnsi="Calibri" w:cs="Calibri"/>
                <w:b/>
                <w:bCs/>
                <w:sz w:val="22"/>
                <w:szCs w:val="22"/>
              </w:rPr>
            </w:pPr>
            <w:r>
              <w:rPr>
                <w:rFonts w:ascii="Calibri" w:hAnsi="Calibri" w:cs="Calibri"/>
                <w:b/>
                <w:bCs/>
                <w:sz w:val="22"/>
                <w:szCs w:val="22"/>
              </w:rPr>
              <w:t xml:space="preserve">Kazne, penali i </w:t>
            </w:r>
            <w:proofErr w:type="spellStart"/>
            <w:r>
              <w:rPr>
                <w:rFonts w:ascii="Calibri" w:hAnsi="Calibri" w:cs="Calibri"/>
                <w:b/>
                <w:bCs/>
                <w:sz w:val="22"/>
                <w:szCs w:val="22"/>
              </w:rPr>
              <w:t>naknde</w:t>
            </w:r>
            <w:proofErr w:type="spellEnd"/>
            <w:r>
              <w:rPr>
                <w:rFonts w:ascii="Calibri" w:hAnsi="Calibri" w:cs="Calibri"/>
                <w:b/>
                <w:bCs/>
                <w:sz w:val="22"/>
                <w:szCs w:val="22"/>
              </w:rPr>
              <w:t xml:space="preserve"> štete</w:t>
            </w:r>
          </w:p>
        </w:tc>
        <w:tc>
          <w:tcPr>
            <w:tcW w:w="1506" w:type="dxa"/>
            <w:tcBorders>
              <w:top w:val="nil"/>
              <w:left w:val="nil"/>
              <w:bottom w:val="single" w:sz="4" w:space="0" w:color="auto"/>
              <w:right w:val="single" w:sz="4" w:space="0" w:color="auto"/>
            </w:tcBorders>
            <w:noWrap/>
            <w:vAlign w:val="bottom"/>
            <w:hideMark/>
          </w:tcPr>
          <w:p w14:paraId="7644E4C4" w14:textId="77777777" w:rsidR="00DB0966" w:rsidRDefault="00DB0966">
            <w:pPr>
              <w:jc w:val="right"/>
              <w:rPr>
                <w:rFonts w:ascii="Calibri" w:hAnsi="Calibri" w:cs="Calibri"/>
                <w:b/>
                <w:bCs/>
                <w:sz w:val="22"/>
                <w:szCs w:val="22"/>
              </w:rPr>
            </w:pPr>
            <w:r>
              <w:rPr>
                <w:rFonts w:ascii="Calibri" w:hAnsi="Calibri" w:cs="Calibri"/>
                <w:b/>
                <w:bCs/>
                <w:sz w:val="22"/>
                <w:szCs w:val="22"/>
              </w:rPr>
              <w:t>2.281,92</w:t>
            </w:r>
          </w:p>
        </w:tc>
        <w:tc>
          <w:tcPr>
            <w:tcW w:w="1506" w:type="dxa"/>
            <w:tcBorders>
              <w:top w:val="nil"/>
              <w:left w:val="nil"/>
              <w:bottom w:val="single" w:sz="4" w:space="0" w:color="auto"/>
              <w:right w:val="single" w:sz="4" w:space="0" w:color="auto"/>
            </w:tcBorders>
            <w:noWrap/>
            <w:vAlign w:val="bottom"/>
            <w:hideMark/>
          </w:tcPr>
          <w:p w14:paraId="4C092A57" w14:textId="77777777" w:rsidR="00DB0966" w:rsidRDefault="00DB0966">
            <w:pPr>
              <w:jc w:val="right"/>
              <w:rPr>
                <w:rFonts w:ascii="Calibri" w:hAnsi="Calibri" w:cs="Calibri"/>
                <w:b/>
                <w:bCs/>
                <w:sz w:val="22"/>
                <w:szCs w:val="22"/>
              </w:rPr>
            </w:pPr>
            <w:r>
              <w:rPr>
                <w:rFonts w:ascii="Calibri" w:hAnsi="Calibri" w:cs="Calibri"/>
                <w:b/>
                <w:bCs/>
                <w:sz w:val="22"/>
                <w:szCs w:val="22"/>
              </w:rPr>
              <w:t> </w:t>
            </w:r>
          </w:p>
        </w:tc>
        <w:tc>
          <w:tcPr>
            <w:tcW w:w="1506" w:type="dxa"/>
            <w:tcBorders>
              <w:top w:val="nil"/>
              <w:left w:val="nil"/>
              <w:bottom w:val="single" w:sz="4" w:space="0" w:color="auto"/>
              <w:right w:val="single" w:sz="4" w:space="0" w:color="auto"/>
            </w:tcBorders>
            <w:noWrap/>
            <w:vAlign w:val="bottom"/>
            <w:hideMark/>
          </w:tcPr>
          <w:p w14:paraId="16AA1E41" w14:textId="77777777" w:rsidR="00DB0966" w:rsidRDefault="00DB0966">
            <w:pPr>
              <w:jc w:val="right"/>
              <w:rPr>
                <w:rFonts w:ascii="Calibri" w:hAnsi="Calibri" w:cs="Calibri"/>
                <w:b/>
                <w:bCs/>
                <w:sz w:val="22"/>
                <w:szCs w:val="22"/>
              </w:rPr>
            </w:pPr>
            <w:r>
              <w:rPr>
                <w:rFonts w:ascii="Calibri" w:hAnsi="Calibri" w:cs="Calibri"/>
                <w:b/>
                <w:bCs/>
                <w:sz w:val="22"/>
                <w:szCs w:val="22"/>
              </w:rPr>
              <w:t>3.839,89</w:t>
            </w:r>
          </w:p>
        </w:tc>
        <w:tc>
          <w:tcPr>
            <w:tcW w:w="877" w:type="dxa"/>
            <w:tcBorders>
              <w:top w:val="nil"/>
              <w:left w:val="nil"/>
              <w:bottom w:val="single" w:sz="4" w:space="0" w:color="auto"/>
              <w:right w:val="single" w:sz="4" w:space="0" w:color="auto"/>
            </w:tcBorders>
            <w:noWrap/>
            <w:vAlign w:val="bottom"/>
            <w:hideMark/>
          </w:tcPr>
          <w:p w14:paraId="17576481" w14:textId="77777777" w:rsidR="00DB0966" w:rsidRDefault="00DB0966">
            <w:pPr>
              <w:jc w:val="center"/>
              <w:rPr>
                <w:rFonts w:ascii="Calibri" w:hAnsi="Calibri" w:cs="Calibri"/>
                <w:b/>
                <w:bCs/>
                <w:color w:val="000000"/>
                <w:sz w:val="22"/>
                <w:szCs w:val="22"/>
              </w:rPr>
            </w:pPr>
            <w:r>
              <w:rPr>
                <w:rFonts w:ascii="Calibri" w:hAnsi="Calibri" w:cs="Calibri"/>
                <w:b/>
                <w:bCs/>
                <w:color w:val="000000"/>
                <w:sz w:val="22"/>
                <w:szCs w:val="22"/>
              </w:rPr>
              <w:t>168%</w:t>
            </w:r>
          </w:p>
        </w:tc>
        <w:tc>
          <w:tcPr>
            <w:tcW w:w="804" w:type="dxa"/>
            <w:tcBorders>
              <w:top w:val="nil"/>
              <w:left w:val="nil"/>
              <w:bottom w:val="single" w:sz="4" w:space="0" w:color="auto"/>
              <w:right w:val="single" w:sz="4" w:space="0" w:color="auto"/>
            </w:tcBorders>
            <w:noWrap/>
            <w:vAlign w:val="bottom"/>
            <w:hideMark/>
          </w:tcPr>
          <w:p w14:paraId="0EB767E2" w14:textId="77777777" w:rsidR="00DB0966" w:rsidRDefault="00DB0966">
            <w:pPr>
              <w:jc w:val="center"/>
              <w:rPr>
                <w:rFonts w:ascii="Calibri" w:hAnsi="Calibri" w:cs="Calibri"/>
                <w:b/>
                <w:bCs/>
                <w:color w:val="000000"/>
                <w:sz w:val="22"/>
                <w:szCs w:val="22"/>
              </w:rPr>
            </w:pPr>
            <w:r>
              <w:rPr>
                <w:rFonts w:ascii="Calibri" w:hAnsi="Calibri" w:cs="Calibri"/>
                <w:b/>
                <w:bCs/>
                <w:color w:val="000000"/>
                <w:sz w:val="22"/>
                <w:szCs w:val="22"/>
              </w:rPr>
              <w:t> </w:t>
            </w:r>
          </w:p>
        </w:tc>
        <w:tc>
          <w:tcPr>
            <w:tcW w:w="222" w:type="dxa"/>
            <w:vAlign w:val="center"/>
            <w:hideMark/>
          </w:tcPr>
          <w:p w14:paraId="2D18F35D" w14:textId="77777777" w:rsidR="00DB0966" w:rsidRDefault="00DB0966">
            <w:pPr>
              <w:rPr>
                <w:sz w:val="20"/>
                <w:szCs w:val="20"/>
              </w:rPr>
            </w:pPr>
          </w:p>
        </w:tc>
      </w:tr>
      <w:tr w:rsidR="00DB0966" w14:paraId="08703C32" w14:textId="77777777" w:rsidTr="00DB0966">
        <w:trPr>
          <w:trHeight w:val="290"/>
          <w:jc w:val="center"/>
        </w:trPr>
        <w:tc>
          <w:tcPr>
            <w:tcW w:w="665" w:type="dxa"/>
            <w:tcBorders>
              <w:top w:val="nil"/>
              <w:left w:val="single" w:sz="4" w:space="0" w:color="auto"/>
              <w:bottom w:val="single" w:sz="4" w:space="0" w:color="auto"/>
              <w:right w:val="single" w:sz="4" w:space="0" w:color="auto"/>
            </w:tcBorders>
            <w:noWrap/>
            <w:vAlign w:val="bottom"/>
            <w:hideMark/>
          </w:tcPr>
          <w:p w14:paraId="0B834087"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3834</w:t>
            </w:r>
          </w:p>
        </w:tc>
        <w:tc>
          <w:tcPr>
            <w:tcW w:w="4433" w:type="dxa"/>
            <w:tcBorders>
              <w:top w:val="nil"/>
              <w:left w:val="nil"/>
              <w:bottom w:val="single" w:sz="4" w:space="0" w:color="auto"/>
              <w:right w:val="single" w:sz="4" w:space="0" w:color="auto"/>
            </w:tcBorders>
            <w:noWrap/>
            <w:vAlign w:val="bottom"/>
            <w:hideMark/>
          </w:tcPr>
          <w:p w14:paraId="454F418D" w14:textId="77777777" w:rsidR="00DB0966" w:rsidRDefault="00DB0966">
            <w:pPr>
              <w:rPr>
                <w:rFonts w:ascii="Calibri" w:hAnsi="Calibri" w:cs="Calibri"/>
                <w:color w:val="000000"/>
                <w:sz w:val="22"/>
                <w:szCs w:val="22"/>
              </w:rPr>
            </w:pPr>
            <w:r>
              <w:rPr>
                <w:rFonts w:ascii="Calibri" w:hAnsi="Calibri" w:cs="Calibri"/>
                <w:color w:val="000000"/>
                <w:sz w:val="22"/>
                <w:szCs w:val="22"/>
              </w:rPr>
              <w:t>Ugovorene kazne i ostale naknade šteta</w:t>
            </w:r>
          </w:p>
        </w:tc>
        <w:tc>
          <w:tcPr>
            <w:tcW w:w="1506" w:type="dxa"/>
            <w:tcBorders>
              <w:top w:val="nil"/>
              <w:left w:val="nil"/>
              <w:bottom w:val="single" w:sz="4" w:space="0" w:color="auto"/>
              <w:right w:val="single" w:sz="4" w:space="0" w:color="auto"/>
            </w:tcBorders>
            <w:noWrap/>
            <w:vAlign w:val="bottom"/>
            <w:hideMark/>
          </w:tcPr>
          <w:p w14:paraId="0C929525" w14:textId="77777777" w:rsidR="00DB0966" w:rsidRDefault="00DB0966">
            <w:pPr>
              <w:jc w:val="right"/>
              <w:rPr>
                <w:rFonts w:ascii="Calibri" w:hAnsi="Calibri" w:cs="Calibri"/>
                <w:color w:val="000000"/>
                <w:sz w:val="22"/>
                <w:szCs w:val="22"/>
              </w:rPr>
            </w:pPr>
            <w:r>
              <w:rPr>
                <w:rFonts w:ascii="Calibri" w:hAnsi="Calibri" w:cs="Calibri"/>
                <w:color w:val="000000"/>
                <w:sz w:val="22"/>
                <w:szCs w:val="22"/>
              </w:rPr>
              <w:t>2.281,92</w:t>
            </w:r>
          </w:p>
        </w:tc>
        <w:tc>
          <w:tcPr>
            <w:tcW w:w="1506" w:type="dxa"/>
            <w:tcBorders>
              <w:top w:val="nil"/>
              <w:left w:val="nil"/>
              <w:bottom w:val="single" w:sz="4" w:space="0" w:color="auto"/>
              <w:right w:val="single" w:sz="4" w:space="0" w:color="auto"/>
            </w:tcBorders>
            <w:shd w:val="clear" w:color="000000" w:fill="FFFFFF"/>
            <w:vAlign w:val="bottom"/>
            <w:hideMark/>
          </w:tcPr>
          <w:p w14:paraId="6E705487" w14:textId="77777777" w:rsidR="00DB0966" w:rsidRDefault="00DB0966">
            <w:pPr>
              <w:jc w:val="right"/>
              <w:rPr>
                <w:rFonts w:ascii="Calibri" w:hAnsi="Calibri" w:cs="Calibri"/>
                <w:sz w:val="20"/>
                <w:szCs w:val="20"/>
              </w:rPr>
            </w:pPr>
            <w:r>
              <w:rPr>
                <w:rFonts w:ascii="Calibri" w:hAnsi="Calibri" w:cs="Calibri"/>
                <w:sz w:val="20"/>
                <w:szCs w:val="20"/>
              </w:rPr>
              <w:t> </w:t>
            </w:r>
          </w:p>
        </w:tc>
        <w:tc>
          <w:tcPr>
            <w:tcW w:w="1506" w:type="dxa"/>
            <w:tcBorders>
              <w:top w:val="nil"/>
              <w:left w:val="nil"/>
              <w:bottom w:val="single" w:sz="4" w:space="0" w:color="auto"/>
              <w:right w:val="single" w:sz="4" w:space="0" w:color="auto"/>
            </w:tcBorders>
            <w:vAlign w:val="bottom"/>
            <w:hideMark/>
          </w:tcPr>
          <w:p w14:paraId="66679FB3" w14:textId="77777777" w:rsidR="00DB0966" w:rsidRDefault="00DB0966">
            <w:pPr>
              <w:jc w:val="right"/>
              <w:rPr>
                <w:rFonts w:ascii="Calibri" w:hAnsi="Calibri" w:cs="Calibri"/>
                <w:sz w:val="22"/>
                <w:szCs w:val="22"/>
              </w:rPr>
            </w:pPr>
            <w:r>
              <w:rPr>
                <w:rFonts w:ascii="Calibri" w:hAnsi="Calibri" w:cs="Calibri"/>
                <w:sz w:val="22"/>
                <w:szCs w:val="22"/>
              </w:rPr>
              <w:t>2.373,89</w:t>
            </w:r>
          </w:p>
        </w:tc>
        <w:tc>
          <w:tcPr>
            <w:tcW w:w="877" w:type="dxa"/>
            <w:tcBorders>
              <w:top w:val="nil"/>
              <w:left w:val="nil"/>
              <w:bottom w:val="single" w:sz="4" w:space="0" w:color="auto"/>
              <w:right w:val="single" w:sz="4" w:space="0" w:color="auto"/>
            </w:tcBorders>
            <w:noWrap/>
            <w:vAlign w:val="bottom"/>
            <w:hideMark/>
          </w:tcPr>
          <w:p w14:paraId="30667C28"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104%</w:t>
            </w:r>
          </w:p>
        </w:tc>
        <w:tc>
          <w:tcPr>
            <w:tcW w:w="804" w:type="dxa"/>
            <w:tcBorders>
              <w:top w:val="nil"/>
              <w:left w:val="nil"/>
              <w:bottom w:val="single" w:sz="4" w:space="0" w:color="auto"/>
              <w:right w:val="single" w:sz="4" w:space="0" w:color="auto"/>
            </w:tcBorders>
            <w:noWrap/>
            <w:vAlign w:val="bottom"/>
            <w:hideMark/>
          </w:tcPr>
          <w:p w14:paraId="66B5D41C"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 </w:t>
            </w:r>
          </w:p>
        </w:tc>
        <w:tc>
          <w:tcPr>
            <w:tcW w:w="222" w:type="dxa"/>
            <w:vAlign w:val="center"/>
            <w:hideMark/>
          </w:tcPr>
          <w:p w14:paraId="68971E3F" w14:textId="77777777" w:rsidR="00DB0966" w:rsidRDefault="00DB0966">
            <w:pPr>
              <w:rPr>
                <w:sz w:val="20"/>
                <w:szCs w:val="20"/>
              </w:rPr>
            </w:pPr>
          </w:p>
        </w:tc>
      </w:tr>
      <w:tr w:rsidR="00DB0966" w14:paraId="5DDBA1E0" w14:textId="77777777" w:rsidTr="00DB0966">
        <w:trPr>
          <w:trHeight w:val="290"/>
          <w:jc w:val="center"/>
        </w:trPr>
        <w:tc>
          <w:tcPr>
            <w:tcW w:w="665" w:type="dxa"/>
            <w:tcBorders>
              <w:top w:val="nil"/>
              <w:left w:val="single" w:sz="4" w:space="0" w:color="auto"/>
              <w:bottom w:val="single" w:sz="4" w:space="0" w:color="auto"/>
              <w:right w:val="single" w:sz="4" w:space="0" w:color="auto"/>
            </w:tcBorders>
            <w:noWrap/>
            <w:vAlign w:val="bottom"/>
            <w:hideMark/>
          </w:tcPr>
          <w:p w14:paraId="54C1ED74"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3835</w:t>
            </w:r>
          </w:p>
        </w:tc>
        <w:tc>
          <w:tcPr>
            <w:tcW w:w="4433" w:type="dxa"/>
            <w:tcBorders>
              <w:top w:val="nil"/>
              <w:left w:val="nil"/>
              <w:bottom w:val="single" w:sz="4" w:space="0" w:color="auto"/>
              <w:right w:val="single" w:sz="4" w:space="0" w:color="auto"/>
            </w:tcBorders>
            <w:noWrap/>
            <w:vAlign w:val="bottom"/>
            <w:hideMark/>
          </w:tcPr>
          <w:p w14:paraId="2EBF6A30" w14:textId="77777777" w:rsidR="00DB0966" w:rsidRDefault="00DB0966">
            <w:pPr>
              <w:rPr>
                <w:rFonts w:ascii="Calibri" w:hAnsi="Calibri" w:cs="Calibri"/>
                <w:color w:val="000000"/>
                <w:sz w:val="22"/>
                <w:szCs w:val="22"/>
              </w:rPr>
            </w:pPr>
            <w:r>
              <w:rPr>
                <w:rFonts w:ascii="Calibri" w:hAnsi="Calibri" w:cs="Calibri"/>
                <w:color w:val="000000"/>
                <w:sz w:val="22"/>
                <w:szCs w:val="22"/>
              </w:rPr>
              <w:t>Ostale kazne</w:t>
            </w:r>
          </w:p>
        </w:tc>
        <w:tc>
          <w:tcPr>
            <w:tcW w:w="1506" w:type="dxa"/>
            <w:tcBorders>
              <w:top w:val="nil"/>
              <w:left w:val="nil"/>
              <w:bottom w:val="single" w:sz="4" w:space="0" w:color="auto"/>
              <w:right w:val="single" w:sz="4" w:space="0" w:color="auto"/>
            </w:tcBorders>
            <w:noWrap/>
            <w:vAlign w:val="bottom"/>
            <w:hideMark/>
          </w:tcPr>
          <w:p w14:paraId="00596E43" w14:textId="77777777" w:rsidR="00DB0966" w:rsidRDefault="00DB0966">
            <w:pPr>
              <w:jc w:val="right"/>
              <w:rPr>
                <w:rFonts w:ascii="Calibri" w:hAnsi="Calibri" w:cs="Calibri"/>
                <w:color w:val="000000"/>
                <w:sz w:val="22"/>
                <w:szCs w:val="22"/>
              </w:rPr>
            </w:pPr>
            <w:r>
              <w:rPr>
                <w:rFonts w:ascii="Calibri" w:hAnsi="Calibri" w:cs="Calibri"/>
                <w:color w:val="000000"/>
                <w:sz w:val="22"/>
                <w:szCs w:val="22"/>
              </w:rPr>
              <w:t>0,00</w:t>
            </w:r>
          </w:p>
        </w:tc>
        <w:tc>
          <w:tcPr>
            <w:tcW w:w="1506" w:type="dxa"/>
            <w:tcBorders>
              <w:top w:val="nil"/>
              <w:left w:val="nil"/>
              <w:bottom w:val="single" w:sz="4" w:space="0" w:color="auto"/>
              <w:right w:val="single" w:sz="4" w:space="0" w:color="auto"/>
            </w:tcBorders>
            <w:shd w:val="clear" w:color="000000" w:fill="FFFFFF"/>
            <w:vAlign w:val="bottom"/>
            <w:hideMark/>
          </w:tcPr>
          <w:p w14:paraId="01E7A403" w14:textId="77777777" w:rsidR="00DB0966" w:rsidRDefault="00DB0966">
            <w:pPr>
              <w:jc w:val="right"/>
              <w:rPr>
                <w:rFonts w:ascii="Calibri" w:hAnsi="Calibri" w:cs="Calibri"/>
                <w:sz w:val="20"/>
                <w:szCs w:val="20"/>
              </w:rPr>
            </w:pPr>
            <w:r>
              <w:rPr>
                <w:rFonts w:ascii="Calibri" w:hAnsi="Calibri" w:cs="Calibri"/>
                <w:sz w:val="20"/>
                <w:szCs w:val="20"/>
              </w:rPr>
              <w:t> </w:t>
            </w:r>
          </w:p>
        </w:tc>
        <w:tc>
          <w:tcPr>
            <w:tcW w:w="1506" w:type="dxa"/>
            <w:tcBorders>
              <w:top w:val="nil"/>
              <w:left w:val="nil"/>
              <w:bottom w:val="single" w:sz="4" w:space="0" w:color="auto"/>
              <w:right w:val="single" w:sz="4" w:space="0" w:color="auto"/>
            </w:tcBorders>
            <w:vAlign w:val="bottom"/>
            <w:hideMark/>
          </w:tcPr>
          <w:p w14:paraId="2E8BA5E3" w14:textId="77777777" w:rsidR="00DB0966" w:rsidRDefault="00DB0966">
            <w:pPr>
              <w:jc w:val="right"/>
              <w:rPr>
                <w:rFonts w:ascii="Calibri" w:hAnsi="Calibri" w:cs="Calibri"/>
                <w:sz w:val="22"/>
                <w:szCs w:val="22"/>
              </w:rPr>
            </w:pPr>
            <w:r>
              <w:rPr>
                <w:rFonts w:ascii="Calibri" w:hAnsi="Calibri" w:cs="Calibri"/>
                <w:sz w:val="22"/>
                <w:szCs w:val="22"/>
              </w:rPr>
              <w:t>1.466,00</w:t>
            </w:r>
          </w:p>
        </w:tc>
        <w:tc>
          <w:tcPr>
            <w:tcW w:w="877" w:type="dxa"/>
            <w:tcBorders>
              <w:top w:val="nil"/>
              <w:left w:val="nil"/>
              <w:bottom w:val="single" w:sz="4" w:space="0" w:color="auto"/>
              <w:right w:val="single" w:sz="4" w:space="0" w:color="auto"/>
            </w:tcBorders>
            <w:noWrap/>
            <w:vAlign w:val="bottom"/>
            <w:hideMark/>
          </w:tcPr>
          <w:p w14:paraId="3E67D06B"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 </w:t>
            </w:r>
          </w:p>
        </w:tc>
        <w:tc>
          <w:tcPr>
            <w:tcW w:w="804" w:type="dxa"/>
            <w:tcBorders>
              <w:top w:val="nil"/>
              <w:left w:val="nil"/>
              <w:bottom w:val="single" w:sz="4" w:space="0" w:color="auto"/>
              <w:right w:val="single" w:sz="4" w:space="0" w:color="auto"/>
            </w:tcBorders>
            <w:noWrap/>
            <w:vAlign w:val="bottom"/>
            <w:hideMark/>
          </w:tcPr>
          <w:p w14:paraId="2FB36017"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 </w:t>
            </w:r>
          </w:p>
        </w:tc>
        <w:tc>
          <w:tcPr>
            <w:tcW w:w="222" w:type="dxa"/>
            <w:vAlign w:val="center"/>
            <w:hideMark/>
          </w:tcPr>
          <w:p w14:paraId="0F7A31F8" w14:textId="77777777" w:rsidR="00DB0966" w:rsidRDefault="00DB0966">
            <w:pPr>
              <w:rPr>
                <w:sz w:val="20"/>
                <w:szCs w:val="20"/>
              </w:rPr>
            </w:pPr>
          </w:p>
        </w:tc>
      </w:tr>
      <w:tr w:rsidR="00DB0966" w14:paraId="7A6D52D5" w14:textId="77777777" w:rsidTr="00DB0966">
        <w:trPr>
          <w:trHeight w:val="580"/>
          <w:jc w:val="center"/>
        </w:trPr>
        <w:tc>
          <w:tcPr>
            <w:tcW w:w="665" w:type="dxa"/>
            <w:tcBorders>
              <w:top w:val="nil"/>
              <w:left w:val="single" w:sz="4" w:space="0" w:color="auto"/>
              <w:bottom w:val="single" w:sz="4" w:space="0" w:color="auto"/>
              <w:right w:val="single" w:sz="4" w:space="0" w:color="auto"/>
            </w:tcBorders>
            <w:shd w:val="clear" w:color="000000" w:fill="D9D9D9"/>
            <w:noWrap/>
            <w:vAlign w:val="center"/>
            <w:hideMark/>
          </w:tcPr>
          <w:p w14:paraId="4DDE03B6" w14:textId="77777777" w:rsidR="00DB0966" w:rsidRDefault="00DB0966">
            <w:pPr>
              <w:jc w:val="center"/>
              <w:rPr>
                <w:rFonts w:ascii="Calibri" w:hAnsi="Calibri" w:cs="Calibri"/>
                <w:b/>
                <w:bCs/>
              </w:rPr>
            </w:pPr>
            <w:r>
              <w:rPr>
                <w:rFonts w:ascii="Calibri" w:hAnsi="Calibri" w:cs="Calibri"/>
                <w:b/>
                <w:bCs/>
              </w:rPr>
              <w:t>4</w:t>
            </w:r>
          </w:p>
        </w:tc>
        <w:tc>
          <w:tcPr>
            <w:tcW w:w="4433" w:type="dxa"/>
            <w:tcBorders>
              <w:top w:val="nil"/>
              <w:left w:val="nil"/>
              <w:bottom w:val="single" w:sz="4" w:space="0" w:color="auto"/>
              <w:right w:val="single" w:sz="4" w:space="0" w:color="auto"/>
            </w:tcBorders>
            <w:shd w:val="clear" w:color="000000" w:fill="D9D9D9"/>
            <w:vAlign w:val="bottom"/>
            <w:hideMark/>
          </w:tcPr>
          <w:p w14:paraId="59414830" w14:textId="77777777" w:rsidR="00DB0966" w:rsidRDefault="00DB0966">
            <w:pPr>
              <w:jc w:val="center"/>
              <w:rPr>
                <w:rFonts w:ascii="Calibri" w:hAnsi="Calibri" w:cs="Calibri"/>
                <w:b/>
                <w:bCs/>
                <w:sz w:val="22"/>
                <w:szCs w:val="22"/>
              </w:rPr>
            </w:pPr>
            <w:r>
              <w:rPr>
                <w:rFonts w:ascii="Calibri" w:hAnsi="Calibri" w:cs="Calibri"/>
                <w:b/>
                <w:bCs/>
                <w:sz w:val="22"/>
                <w:szCs w:val="22"/>
              </w:rPr>
              <w:t>RASHODI ZA NABAVU NEFINANCIJSKE IMOVINE</w:t>
            </w:r>
          </w:p>
        </w:tc>
        <w:tc>
          <w:tcPr>
            <w:tcW w:w="1506" w:type="dxa"/>
            <w:tcBorders>
              <w:top w:val="nil"/>
              <w:left w:val="nil"/>
              <w:bottom w:val="single" w:sz="4" w:space="0" w:color="auto"/>
              <w:right w:val="single" w:sz="4" w:space="0" w:color="auto"/>
            </w:tcBorders>
            <w:shd w:val="clear" w:color="000000" w:fill="D9D9D9"/>
            <w:noWrap/>
            <w:vAlign w:val="bottom"/>
            <w:hideMark/>
          </w:tcPr>
          <w:p w14:paraId="387B48EE" w14:textId="77777777" w:rsidR="00DB0966" w:rsidRDefault="00DB0966">
            <w:pPr>
              <w:jc w:val="right"/>
              <w:rPr>
                <w:rFonts w:ascii="Calibri" w:hAnsi="Calibri" w:cs="Calibri"/>
                <w:b/>
                <w:bCs/>
                <w:sz w:val="22"/>
                <w:szCs w:val="22"/>
              </w:rPr>
            </w:pPr>
            <w:r>
              <w:rPr>
                <w:rFonts w:ascii="Calibri" w:hAnsi="Calibri" w:cs="Calibri"/>
                <w:b/>
                <w:bCs/>
                <w:sz w:val="22"/>
                <w:szCs w:val="22"/>
              </w:rPr>
              <w:t>718.517,91</w:t>
            </w:r>
          </w:p>
        </w:tc>
        <w:tc>
          <w:tcPr>
            <w:tcW w:w="1506" w:type="dxa"/>
            <w:tcBorders>
              <w:top w:val="nil"/>
              <w:left w:val="nil"/>
              <w:bottom w:val="single" w:sz="4" w:space="0" w:color="auto"/>
              <w:right w:val="single" w:sz="4" w:space="0" w:color="auto"/>
            </w:tcBorders>
            <w:shd w:val="clear" w:color="000000" w:fill="D9D9D9"/>
            <w:noWrap/>
            <w:vAlign w:val="bottom"/>
            <w:hideMark/>
          </w:tcPr>
          <w:p w14:paraId="6CA9B716" w14:textId="77777777" w:rsidR="00DB0966" w:rsidRDefault="00DB0966">
            <w:pPr>
              <w:jc w:val="right"/>
              <w:rPr>
                <w:rFonts w:ascii="Calibri" w:hAnsi="Calibri" w:cs="Calibri"/>
                <w:b/>
                <w:bCs/>
                <w:sz w:val="22"/>
                <w:szCs w:val="22"/>
              </w:rPr>
            </w:pPr>
            <w:r>
              <w:rPr>
                <w:rFonts w:ascii="Calibri" w:hAnsi="Calibri" w:cs="Calibri"/>
                <w:b/>
                <w:bCs/>
                <w:sz w:val="22"/>
                <w:szCs w:val="22"/>
              </w:rPr>
              <w:t>845.481,00</w:t>
            </w:r>
          </w:p>
        </w:tc>
        <w:tc>
          <w:tcPr>
            <w:tcW w:w="1506" w:type="dxa"/>
            <w:tcBorders>
              <w:top w:val="nil"/>
              <w:left w:val="nil"/>
              <w:bottom w:val="single" w:sz="4" w:space="0" w:color="auto"/>
              <w:right w:val="single" w:sz="4" w:space="0" w:color="auto"/>
            </w:tcBorders>
            <w:shd w:val="clear" w:color="000000" w:fill="D9D9D9"/>
            <w:noWrap/>
            <w:vAlign w:val="bottom"/>
            <w:hideMark/>
          </w:tcPr>
          <w:p w14:paraId="45E1C506" w14:textId="77777777" w:rsidR="00DB0966" w:rsidRDefault="00DB0966">
            <w:pPr>
              <w:jc w:val="right"/>
              <w:rPr>
                <w:rFonts w:ascii="Calibri" w:hAnsi="Calibri" w:cs="Calibri"/>
                <w:b/>
                <w:bCs/>
                <w:sz w:val="22"/>
                <w:szCs w:val="22"/>
              </w:rPr>
            </w:pPr>
            <w:r>
              <w:rPr>
                <w:rFonts w:ascii="Calibri" w:hAnsi="Calibri" w:cs="Calibri"/>
                <w:b/>
                <w:bCs/>
                <w:sz w:val="22"/>
                <w:szCs w:val="22"/>
              </w:rPr>
              <w:t>771.463,24</w:t>
            </w:r>
          </w:p>
        </w:tc>
        <w:tc>
          <w:tcPr>
            <w:tcW w:w="877" w:type="dxa"/>
            <w:tcBorders>
              <w:top w:val="nil"/>
              <w:left w:val="nil"/>
              <w:bottom w:val="single" w:sz="4" w:space="0" w:color="auto"/>
              <w:right w:val="single" w:sz="4" w:space="0" w:color="auto"/>
            </w:tcBorders>
            <w:shd w:val="clear" w:color="000000" w:fill="D9D9D9"/>
            <w:noWrap/>
            <w:vAlign w:val="bottom"/>
            <w:hideMark/>
          </w:tcPr>
          <w:p w14:paraId="01503EBE" w14:textId="77777777" w:rsidR="00DB0966" w:rsidRDefault="00DB0966">
            <w:pPr>
              <w:jc w:val="center"/>
              <w:rPr>
                <w:rFonts w:ascii="Calibri" w:hAnsi="Calibri" w:cs="Calibri"/>
                <w:b/>
                <w:bCs/>
                <w:sz w:val="22"/>
                <w:szCs w:val="22"/>
              </w:rPr>
            </w:pPr>
            <w:r>
              <w:rPr>
                <w:rFonts w:ascii="Calibri" w:hAnsi="Calibri" w:cs="Calibri"/>
                <w:b/>
                <w:bCs/>
                <w:sz w:val="22"/>
                <w:szCs w:val="22"/>
              </w:rPr>
              <w:t>107%</w:t>
            </w:r>
          </w:p>
        </w:tc>
        <w:tc>
          <w:tcPr>
            <w:tcW w:w="804" w:type="dxa"/>
            <w:tcBorders>
              <w:top w:val="nil"/>
              <w:left w:val="nil"/>
              <w:bottom w:val="single" w:sz="4" w:space="0" w:color="auto"/>
              <w:right w:val="single" w:sz="4" w:space="0" w:color="auto"/>
            </w:tcBorders>
            <w:shd w:val="clear" w:color="000000" w:fill="D9D9D9"/>
            <w:noWrap/>
            <w:vAlign w:val="bottom"/>
            <w:hideMark/>
          </w:tcPr>
          <w:p w14:paraId="7E839E0A" w14:textId="77777777" w:rsidR="00DB0966" w:rsidRDefault="00DB0966">
            <w:pPr>
              <w:jc w:val="center"/>
              <w:rPr>
                <w:rFonts w:ascii="Calibri" w:hAnsi="Calibri" w:cs="Calibri"/>
                <w:b/>
                <w:bCs/>
                <w:sz w:val="22"/>
                <w:szCs w:val="22"/>
              </w:rPr>
            </w:pPr>
            <w:r>
              <w:rPr>
                <w:rFonts w:ascii="Calibri" w:hAnsi="Calibri" w:cs="Calibri"/>
                <w:b/>
                <w:bCs/>
                <w:sz w:val="22"/>
                <w:szCs w:val="22"/>
              </w:rPr>
              <w:t>91%</w:t>
            </w:r>
          </w:p>
        </w:tc>
        <w:tc>
          <w:tcPr>
            <w:tcW w:w="222" w:type="dxa"/>
            <w:vAlign w:val="center"/>
            <w:hideMark/>
          </w:tcPr>
          <w:p w14:paraId="1A52ED7B" w14:textId="77777777" w:rsidR="00DB0966" w:rsidRDefault="00DB0966">
            <w:pPr>
              <w:rPr>
                <w:sz w:val="20"/>
                <w:szCs w:val="20"/>
              </w:rPr>
            </w:pPr>
          </w:p>
        </w:tc>
      </w:tr>
      <w:tr w:rsidR="00DB0966" w14:paraId="22CDB9D0" w14:textId="77777777" w:rsidTr="00DB0966">
        <w:trPr>
          <w:trHeight w:val="580"/>
          <w:jc w:val="center"/>
        </w:trPr>
        <w:tc>
          <w:tcPr>
            <w:tcW w:w="665" w:type="dxa"/>
            <w:tcBorders>
              <w:top w:val="nil"/>
              <w:left w:val="single" w:sz="4" w:space="0" w:color="auto"/>
              <w:bottom w:val="single" w:sz="4" w:space="0" w:color="auto"/>
              <w:right w:val="single" w:sz="4" w:space="0" w:color="auto"/>
            </w:tcBorders>
            <w:shd w:val="clear" w:color="000000" w:fill="D9D9D9"/>
            <w:noWrap/>
            <w:vAlign w:val="bottom"/>
            <w:hideMark/>
          </w:tcPr>
          <w:p w14:paraId="4F0FBCB3" w14:textId="77777777" w:rsidR="00DB0966" w:rsidRDefault="00DB0966">
            <w:pPr>
              <w:jc w:val="center"/>
              <w:rPr>
                <w:rFonts w:ascii="Calibri" w:hAnsi="Calibri" w:cs="Calibri"/>
                <w:b/>
                <w:bCs/>
                <w:sz w:val="22"/>
                <w:szCs w:val="22"/>
              </w:rPr>
            </w:pPr>
            <w:r>
              <w:rPr>
                <w:rFonts w:ascii="Calibri" w:hAnsi="Calibri" w:cs="Calibri"/>
                <w:b/>
                <w:bCs/>
                <w:sz w:val="22"/>
                <w:szCs w:val="22"/>
              </w:rPr>
              <w:t>41</w:t>
            </w:r>
          </w:p>
        </w:tc>
        <w:tc>
          <w:tcPr>
            <w:tcW w:w="4433" w:type="dxa"/>
            <w:tcBorders>
              <w:top w:val="nil"/>
              <w:left w:val="nil"/>
              <w:bottom w:val="single" w:sz="4" w:space="0" w:color="auto"/>
              <w:right w:val="single" w:sz="4" w:space="0" w:color="auto"/>
            </w:tcBorders>
            <w:shd w:val="clear" w:color="000000" w:fill="D9D9D9"/>
            <w:vAlign w:val="center"/>
            <w:hideMark/>
          </w:tcPr>
          <w:p w14:paraId="29C6FAAB" w14:textId="77777777" w:rsidR="00DB0966" w:rsidRDefault="00DB0966">
            <w:pPr>
              <w:rPr>
                <w:rFonts w:ascii="Calibri" w:hAnsi="Calibri" w:cs="Calibri"/>
                <w:b/>
                <w:bCs/>
                <w:sz w:val="22"/>
                <w:szCs w:val="22"/>
              </w:rPr>
            </w:pPr>
            <w:r>
              <w:rPr>
                <w:rFonts w:ascii="Calibri" w:hAnsi="Calibri" w:cs="Calibri"/>
                <w:b/>
                <w:bCs/>
                <w:sz w:val="22"/>
                <w:szCs w:val="22"/>
              </w:rPr>
              <w:t>RASHODI ZA NABAVU NEPROIZVEDENE DUGOTRAJNE IMOVINE</w:t>
            </w:r>
          </w:p>
        </w:tc>
        <w:tc>
          <w:tcPr>
            <w:tcW w:w="1506" w:type="dxa"/>
            <w:tcBorders>
              <w:top w:val="nil"/>
              <w:left w:val="nil"/>
              <w:bottom w:val="single" w:sz="4" w:space="0" w:color="auto"/>
              <w:right w:val="single" w:sz="4" w:space="0" w:color="auto"/>
            </w:tcBorders>
            <w:shd w:val="clear" w:color="000000" w:fill="D9D9D9"/>
            <w:noWrap/>
            <w:vAlign w:val="bottom"/>
            <w:hideMark/>
          </w:tcPr>
          <w:p w14:paraId="518B2B37" w14:textId="77777777" w:rsidR="00DB0966" w:rsidRDefault="00DB0966">
            <w:pPr>
              <w:jc w:val="right"/>
              <w:rPr>
                <w:rFonts w:ascii="Calibri" w:hAnsi="Calibri" w:cs="Calibri"/>
                <w:b/>
                <w:bCs/>
                <w:sz w:val="22"/>
                <w:szCs w:val="22"/>
              </w:rPr>
            </w:pPr>
            <w:r>
              <w:rPr>
                <w:rFonts w:ascii="Calibri" w:hAnsi="Calibri" w:cs="Calibri"/>
                <w:b/>
                <w:bCs/>
                <w:sz w:val="22"/>
                <w:szCs w:val="22"/>
              </w:rPr>
              <w:t>74.188,77</w:t>
            </w:r>
          </w:p>
        </w:tc>
        <w:tc>
          <w:tcPr>
            <w:tcW w:w="1506" w:type="dxa"/>
            <w:tcBorders>
              <w:top w:val="nil"/>
              <w:left w:val="nil"/>
              <w:bottom w:val="single" w:sz="4" w:space="0" w:color="auto"/>
              <w:right w:val="single" w:sz="4" w:space="0" w:color="auto"/>
            </w:tcBorders>
            <w:shd w:val="clear" w:color="000000" w:fill="D9D9D9"/>
            <w:noWrap/>
            <w:vAlign w:val="bottom"/>
            <w:hideMark/>
          </w:tcPr>
          <w:p w14:paraId="6305C68D" w14:textId="77777777" w:rsidR="00DB0966" w:rsidRDefault="00DB0966">
            <w:pPr>
              <w:jc w:val="right"/>
              <w:rPr>
                <w:rFonts w:ascii="Calibri" w:hAnsi="Calibri" w:cs="Calibri"/>
                <w:b/>
                <w:bCs/>
                <w:sz w:val="22"/>
                <w:szCs w:val="22"/>
              </w:rPr>
            </w:pPr>
            <w:r>
              <w:rPr>
                <w:rFonts w:ascii="Calibri" w:hAnsi="Calibri" w:cs="Calibri"/>
                <w:b/>
                <w:bCs/>
                <w:sz w:val="22"/>
                <w:szCs w:val="22"/>
              </w:rPr>
              <w:t>33.400,00</w:t>
            </w:r>
          </w:p>
        </w:tc>
        <w:tc>
          <w:tcPr>
            <w:tcW w:w="1506" w:type="dxa"/>
            <w:tcBorders>
              <w:top w:val="nil"/>
              <w:left w:val="nil"/>
              <w:bottom w:val="single" w:sz="4" w:space="0" w:color="auto"/>
              <w:right w:val="single" w:sz="4" w:space="0" w:color="auto"/>
            </w:tcBorders>
            <w:shd w:val="clear" w:color="000000" w:fill="D9D9D9"/>
            <w:noWrap/>
            <w:vAlign w:val="bottom"/>
            <w:hideMark/>
          </w:tcPr>
          <w:p w14:paraId="6F9F0CCD" w14:textId="77777777" w:rsidR="00DB0966" w:rsidRDefault="00DB0966">
            <w:pPr>
              <w:jc w:val="right"/>
              <w:rPr>
                <w:rFonts w:ascii="Calibri" w:hAnsi="Calibri" w:cs="Calibri"/>
                <w:b/>
                <w:bCs/>
                <w:sz w:val="22"/>
                <w:szCs w:val="22"/>
              </w:rPr>
            </w:pPr>
            <w:r>
              <w:rPr>
                <w:rFonts w:ascii="Calibri" w:hAnsi="Calibri" w:cs="Calibri"/>
                <w:b/>
                <w:bCs/>
                <w:sz w:val="22"/>
                <w:szCs w:val="22"/>
              </w:rPr>
              <w:t>33.372,34</w:t>
            </w:r>
          </w:p>
        </w:tc>
        <w:tc>
          <w:tcPr>
            <w:tcW w:w="877" w:type="dxa"/>
            <w:tcBorders>
              <w:top w:val="nil"/>
              <w:left w:val="nil"/>
              <w:bottom w:val="single" w:sz="4" w:space="0" w:color="auto"/>
              <w:right w:val="single" w:sz="4" w:space="0" w:color="auto"/>
            </w:tcBorders>
            <w:shd w:val="clear" w:color="000000" w:fill="D9D9D9"/>
            <w:noWrap/>
            <w:vAlign w:val="bottom"/>
            <w:hideMark/>
          </w:tcPr>
          <w:p w14:paraId="43BAFECC" w14:textId="77777777" w:rsidR="00DB0966" w:rsidRDefault="00DB0966">
            <w:pPr>
              <w:jc w:val="center"/>
              <w:rPr>
                <w:rFonts w:ascii="Calibri" w:hAnsi="Calibri" w:cs="Calibri"/>
                <w:b/>
                <w:bCs/>
                <w:sz w:val="22"/>
                <w:szCs w:val="22"/>
              </w:rPr>
            </w:pPr>
            <w:r>
              <w:rPr>
                <w:rFonts w:ascii="Calibri" w:hAnsi="Calibri" w:cs="Calibri"/>
                <w:b/>
                <w:bCs/>
                <w:sz w:val="22"/>
                <w:szCs w:val="22"/>
              </w:rPr>
              <w:t>45%</w:t>
            </w:r>
          </w:p>
        </w:tc>
        <w:tc>
          <w:tcPr>
            <w:tcW w:w="804" w:type="dxa"/>
            <w:tcBorders>
              <w:top w:val="nil"/>
              <w:left w:val="nil"/>
              <w:bottom w:val="single" w:sz="4" w:space="0" w:color="auto"/>
              <w:right w:val="single" w:sz="4" w:space="0" w:color="auto"/>
            </w:tcBorders>
            <w:shd w:val="clear" w:color="000000" w:fill="D9D9D9"/>
            <w:noWrap/>
            <w:vAlign w:val="bottom"/>
            <w:hideMark/>
          </w:tcPr>
          <w:p w14:paraId="77CDA85B" w14:textId="77777777" w:rsidR="00DB0966" w:rsidRDefault="00DB0966">
            <w:pPr>
              <w:jc w:val="center"/>
              <w:rPr>
                <w:rFonts w:ascii="Calibri" w:hAnsi="Calibri" w:cs="Calibri"/>
                <w:b/>
                <w:bCs/>
                <w:sz w:val="22"/>
                <w:szCs w:val="22"/>
              </w:rPr>
            </w:pPr>
            <w:r>
              <w:rPr>
                <w:rFonts w:ascii="Calibri" w:hAnsi="Calibri" w:cs="Calibri"/>
                <w:b/>
                <w:bCs/>
                <w:sz w:val="22"/>
                <w:szCs w:val="22"/>
              </w:rPr>
              <w:t>100%</w:t>
            </w:r>
          </w:p>
        </w:tc>
        <w:tc>
          <w:tcPr>
            <w:tcW w:w="222" w:type="dxa"/>
            <w:vAlign w:val="center"/>
            <w:hideMark/>
          </w:tcPr>
          <w:p w14:paraId="27C09981" w14:textId="77777777" w:rsidR="00DB0966" w:rsidRDefault="00DB0966">
            <w:pPr>
              <w:rPr>
                <w:sz w:val="20"/>
                <w:szCs w:val="20"/>
              </w:rPr>
            </w:pPr>
          </w:p>
        </w:tc>
      </w:tr>
      <w:tr w:rsidR="00DB0966" w14:paraId="1F3054D1" w14:textId="77777777" w:rsidTr="00DB0966">
        <w:trPr>
          <w:trHeight w:val="290"/>
          <w:jc w:val="center"/>
        </w:trPr>
        <w:tc>
          <w:tcPr>
            <w:tcW w:w="665" w:type="dxa"/>
            <w:tcBorders>
              <w:top w:val="nil"/>
              <w:left w:val="single" w:sz="4" w:space="0" w:color="auto"/>
              <w:bottom w:val="single" w:sz="4" w:space="0" w:color="auto"/>
              <w:right w:val="single" w:sz="4" w:space="0" w:color="auto"/>
            </w:tcBorders>
            <w:shd w:val="clear" w:color="000000" w:fill="FFFFFF"/>
            <w:noWrap/>
            <w:vAlign w:val="bottom"/>
            <w:hideMark/>
          </w:tcPr>
          <w:p w14:paraId="495E3322" w14:textId="77777777" w:rsidR="00DB0966" w:rsidRDefault="00DB0966">
            <w:pPr>
              <w:jc w:val="center"/>
              <w:rPr>
                <w:rFonts w:ascii="Calibri" w:hAnsi="Calibri" w:cs="Calibri"/>
                <w:b/>
                <w:bCs/>
                <w:sz w:val="22"/>
                <w:szCs w:val="22"/>
              </w:rPr>
            </w:pPr>
            <w:r>
              <w:rPr>
                <w:rFonts w:ascii="Calibri" w:hAnsi="Calibri" w:cs="Calibri"/>
                <w:b/>
                <w:bCs/>
                <w:sz w:val="22"/>
                <w:szCs w:val="22"/>
              </w:rPr>
              <w:t>412</w:t>
            </w:r>
          </w:p>
        </w:tc>
        <w:tc>
          <w:tcPr>
            <w:tcW w:w="4433" w:type="dxa"/>
            <w:tcBorders>
              <w:top w:val="nil"/>
              <w:left w:val="nil"/>
              <w:bottom w:val="single" w:sz="4" w:space="0" w:color="auto"/>
              <w:right w:val="single" w:sz="4" w:space="0" w:color="auto"/>
            </w:tcBorders>
            <w:vAlign w:val="bottom"/>
            <w:hideMark/>
          </w:tcPr>
          <w:p w14:paraId="3DDC7FA3" w14:textId="77777777" w:rsidR="00DB0966" w:rsidRDefault="00DB0966">
            <w:pPr>
              <w:rPr>
                <w:rFonts w:ascii="Calibri" w:hAnsi="Calibri" w:cs="Calibri"/>
                <w:b/>
                <w:bCs/>
                <w:sz w:val="22"/>
                <w:szCs w:val="22"/>
              </w:rPr>
            </w:pPr>
            <w:r>
              <w:rPr>
                <w:rFonts w:ascii="Calibri" w:hAnsi="Calibri" w:cs="Calibri"/>
                <w:b/>
                <w:bCs/>
                <w:sz w:val="22"/>
                <w:szCs w:val="22"/>
              </w:rPr>
              <w:t>Nematerijalna imovina</w:t>
            </w:r>
          </w:p>
        </w:tc>
        <w:tc>
          <w:tcPr>
            <w:tcW w:w="1506" w:type="dxa"/>
            <w:tcBorders>
              <w:top w:val="nil"/>
              <w:left w:val="nil"/>
              <w:bottom w:val="single" w:sz="4" w:space="0" w:color="auto"/>
              <w:right w:val="single" w:sz="4" w:space="0" w:color="auto"/>
            </w:tcBorders>
            <w:shd w:val="clear" w:color="000000" w:fill="FFFFFF"/>
            <w:noWrap/>
            <w:vAlign w:val="bottom"/>
            <w:hideMark/>
          </w:tcPr>
          <w:p w14:paraId="4F19535A" w14:textId="77777777" w:rsidR="00DB0966" w:rsidRDefault="00DB0966">
            <w:pPr>
              <w:jc w:val="right"/>
              <w:rPr>
                <w:rFonts w:ascii="Calibri" w:hAnsi="Calibri" w:cs="Calibri"/>
                <w:sz w:val="22"/>
                <w:szCs w:val="22"/>
              </w:rPr>
            </w:pPr>
            <w:r>
              <w:rPr>
                <w:rFonts w:ascii="Calibri" w:hAnsi="Calibri" w:cs="Calibri"/>
                <w:sz w:val="22"/>
                <w:szCs w:val="22"/>
              </w:rPr>
              <w:t>74.188,77</w:t>
            </w:r>
          </w:p>
        </w:tc>
        <w:tc>
          <w:tcPr>
            <w:tcW w:w="1506" w:type="dxa"/>
            <w:tcBorders>
              <w:top w:val="nil"/>
              <w:left w:val="nil"/>
              <w:bottom w:val="single" w:sz="4" w:space="0" w:color="auto"/>
              <w:right w:val="single" w:sz="4" w:space="0" w:color="auto"/>
            </w:tcBorders>
            <w:shd w:val="clear" w:color="000000" w:fill="FFFFFF"/>
            <w:noWrap/>
            <w:vAlign w:val="bottom"/>
            <w:hideMark/>
          </w:tcPr>
          <w:p w14:paraId="199F73F2" w14:textId="77777777" w:rsidR="00DB0966" w:rsidRDefault="00DB0966">
            <w:pPr>
              <w:jc w:val="right"/>
              <w:rPr>
                <w:rFonts w:ascii="Calibri" w:hAnsi="Calibri" w:cs="Calibri"/>
                <w:sz w:val="22"/>
                <w:szCs w:val="22"/>
              </w:rPr>
            </w:pPr>
            <w:r>
              <w:rPr>
                <w:rFonts w:ascii="Calibri" w:hAnsi="Calibri" w:cs="Calibri"/>
                <w:sz w:val="22"/>
                <w:szCs w:val="22"/>
              </w:rPr>
              <w:t> </w:t>
            </w:r>
          </w:p>
        </w:tc>
        <w:tc>
          <w:tcPr>
            <w:tcW w:w="1506" w:type="dxa"/>
            <w:tcBorders>
              <w:top w:val="nil"/>
              <w:left w:val="nil"/>
              <w:bottom w:val="single" w:sz="4" w:space="0" w:color="auto"/>
              <w:right w:val="single" w:sz="4" w:space="0" w:color="auto"/>
            </w:tcBorders>
            <w:shd w:val="clear" w:color="000000" w:fill="FFFFFF"/>
            <w:noWrap/>
            <w:vAlign w:val="bottom"/>
            <w:hideMark/>
          </w:tcPr>
          <w:p w14:paraId="152FD2FF" w14:textId="77777777" w:rsidR="00DB0966" w:rsidRDefault="00DB0966">
            <w:pPr>
              <w:jc w:val="right"/>
              <w:rPr>
                <w:rFonts w:ascii="Calibri" w:hAnsi="Calibri" w:cs="Calibri"/>
                <w:sz w:val="22"/>
                <w:szCs w:val="22"/>
              </w:rPr>
            </w:pPr>
            <w:r>
              <w:rPr>
                <w:rFonts w:ascii="Calibri" w:hAnsi="Calibri" w:cs="Calibri"/>
                <w:sz w:val="22"/>
                <w:szCs w:val="22"/>
              </w:rPr>
              <w:t>33.372,34</w:t>
            </w:r>
          </w:p>
        </w:tc>
        <w:tc>
          <w:tcPr>
            <w:tcW w:w="877" w:type="dxa"/>
            <w:tcBorders>
              <w:top w:val="nil"/>
              <w:left w:val="nil"/>
              <w:bottom w:val="single" w:sz="4" w:space="0" w:color="auto"/>
              <w:right w:val="single" w:sz="4" w:space="0" w:color="auto"/>
            </w:tcBorders>
            <w:noWrap/>
            <w:vAlign w:val="bottom"/>
            <w:hideMark/>
          </w:tcPr>
          <w:p w14:paraId="66BE506F"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 </w:t>
            </w:r>
          </w:p>
        </w:tc>
        <w:tc>
          <w:tcPr>
            <w:tcW w:w="804" w:type="dxa"/>
            <w:tcBorders>
              <w:top w:val="nil"/>
              <w:left w:val="nil"/>
              <w:bottom w:val="single" w:sz="4" w:space="0" w:color="auto"/>
              <w:right w:val="single" w:sz="4" w:space="0" w:color="auto"/>
            </w:tcBorders>
            <w:noWrap/>
            <w:vAlign w:val="bottom"/>
            <w:hideMark/>
          </w:tcPr>
          <w:p w14:paraId="2E209D53"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 </w:t>
            </w:r>
          </w:p>
        </w:tc>
        <w:tc>
          <w:tcPr>
            <w:tcW w:w="222" w:type="dxa"/>
            <w:vAlign w:val="center"/>
            <w:hideMark/>
          </w:tcPr>
          <w:p w14:paraId="34403B51" w14:textId="77777777" w:rsidR="00DB0966" w:rsidRDefault="00DB0966">
            <w:pPr>
              <w:rPr>
                <w:sz w:val="20"/>
                <w:szCs w:val="20"/>
              </w:rPr>
            </w:pPr>
          </w:p>
        </w:tc>
      </w:tr>
      <w:tr w:rsidR="00DB0966" w14:paraId="0DABA484" w14:textId="77777777" w:rsidTr="00DB0966">
        <w:trPr>
          <w:trHeight w:val="290"/>
          <w:jc w:val="center"/>
        </w:trPr>
        <w:tc>
          <w:tcPr>
            <w:tcW w:w="665" w:type="dxa"/>
            <w:tcBorders>
              <w:top w:val="nil"/>
              <w:left w:val="single" w:sz="4" w:space="0" w:color="auto"/>
              <w:bottom w:val="single" w:sz="4" w:space="0" w:color="auto"/>
              <w:right w:val="single" w:sz="4" w:space="0" w:color="auto"/>
            </w:tcBorders>
            <w:noWrap/>
            <w:vAlign w:val="bottom"/>
            <w:hideMark/>
          </w:tcPr>
          <w:p w14:paraId="1C3286DB"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4123</w:t>
            </w:r>
          </w:p>
        </w:tc>
        <w:tc>
          <w:tcPr>
            <w:tcW w:w="4433" w:type="dxa"/>
            <w:tcBorders>
              <w:top w:val="nil"/>
              <w:left w:val="nil"/>
              <w:bottom w:val="single" w:sz="4" w:space="0" w:color="auto"/>
              <w:right w:val="single" w:sz="4" w:space="0" w:color="auto"/>
            </w:tcBorders>
            <w:shd w:val="clear" w:color="000000" w:fill="FFFFFF"/>
            <w:vAlign w:val="bottom"/>
            <w:hideMark/>
          </w:tcPr>
          <w:p w14:paraId="596C4A7C" w14:textId="77777777" w:rsidR="00DB0966" w:rsidRDefault="00DB0966">
            <w:pPr>
              <w:rPr>
                <w:rFonts w:ascii="Calibri" w:hAnsi="Calibri" w:cs="Calibri"/>
                <w:sz w:val="22"/>
                <w:szCs w:val="22"/>
              </w:rPr>
            </w:pPr>
            <w:r>
              <w:rPr>
                <w:rFonts w:ascii="Calibri" w:hAnsi="Calibri" w:cs="Calibri"/>
                <w:sz w:val="22"/>
                <w:szCs w:val="22"/>
              </w:rPr>
              <w:t>Licence</w:t>
            </w:r>
          </w:p>
        </w:tc>
        <w:tc>
          <w:tcPr>
            <w:tcW w:w="1506" w:type="dxa"/>
            <w:tcBorders>
              <w:top w:val="nil"/>
              <w:left w:val="nil"/>
              <w:bottom w:val="single" w:sz="4" w:space="0" w:color="auto"/>
              <w:right w:val="single" w:sz="4" w:space="0" w:color="auto"/>
            </w:tcBorders>
            <w:shd w:val="clear" w:color="000000" w:fill="FFFFFF"/>
            <w:vAlign w:val="bottom"/>
            <w:hideMark/>
          </w:tcPr>
          <w:p w14:paraId="2A726977" w14:textId="77777777" w:rsidR="00DB0966" w:rsidRDefault="00DB0966">
            <w:pPr>
              <w:jc w:val="right"/>
              <w:rPr>
                <w:rFonts w:ascii="Calibri" w:hAnsi="Calibri" w:cs="Calibri"/>
                <w:sz w:val="22"/>
                <w:szCs w:val="22"/>
              </w:rPr>
            </w:pPr>
            <w:r>
              <w:rPr>
                <w:rFonts w:ascii="Calibri" w:hAnsi="Calibri" w:cs="Calibri"/>
                <w:sz w:val="22"/>
                <w:szCs w:val="22"/>
              </w:rPr>
              <w:t>16.241,88</w:t>
            </w:r>
          </w:p>
        </w:tc>
        <w:tc>
          <w:tcPr>
            <w:tcW w:w="1506" w:type="dxa"/>
            <w:tcBorders>
              <w:top w:val="nil"/>
              <w:left w:val="nil"/>
              <w:bottom w:val="single" w:sz="4" w:space="0" w:color="auto"/>
              <w:right w:val="single" w:sz="4" w:space="0" w:color="auto"/>
            </w:tcBorders>
            <w:shd w:val="clear" w:color="000000" w:fill="FFFFFF"/>
            <w:vAlign w:val="bottom"/>
            <w:hideMark/>
          </w:tcPr>
          <w:p w14:paraId="0244BBB9" w14:textId="77777777" w:rsidR="00DB0966" w:rsidRDefault="00DB0966">
            <w:pPr>
              <w:jc w:val="right"/>
              <w:rPr>
                <w:rFonts w:ascii="Calibri" w:hAnsi="Calibri" w:cs="Calibri"/>
                <w:sz w:val="22"/>
                <w:szCs w:val="22"/>
              </w:rPr>
            </w:pPr>
            <w:r>
              <w:rPr>
                <w:rFonts w:ascii="Calibri" w:hAnsi="Calibri" w:cs="Calibri"/>
                <w:sz w:val="22"/>
                <w:szCs w:val="22"/>
              </w:rPr>
              <w:t> </w:t>
            </w:r>
          </w:p>
        </w:tc>
        <w:tc>
          <w:tcPr>
            <w:tcW w:w="1506" w:type="dxa"/>
            <w:tcBorders>
              <w:top w:val="nil"/>
              <w:left w:val="nil"/>
              <w:bottom w:val="single" w:sz="4" w:space="0" w:color="auto"/>
              <w:right w:val="single" w:sz="4" w:space="0" w:color="auto"/>
            </w:tcBorders>
            <w:vAlign w:val="bottom"/>
            <w:hideMark/>
          </w:tcPr>
          <w:p w14:paraId="21E2523E" w14:textId="77777777" w:rsidR="00DB0966" w:rsidRDefault="00DB0966">
            <w:pPr>
              <w:jc w:val="right"/>
              <w:rPr>
                <w:rFonts w:ascii="Calibri" w:hAnsi="Calibri" w:cs="Calibri"/>
                <w:sz w:val="22"/>
                <w:szCs w:val="22"/>
              </w:rPr>
            </w:pPr>
            <w:r>
              <w:rPr>
                <w:rFonts w:ascii="Calibri" w:hAnsi="Calibri" w:cs="Calibri"/>
                <w:sz w:val="22"/>
                <w:szCs w:val="22"/>
              </w:rPr>
              <w:t>872,34</w:t>
            </w:r>
          </w:p>
        </w:tc>
        <w:tc>
          <w:tcPr>
            <w:tcW w:w="877" w:type="dxa"/>
            <w:tcBorders>
              <w:top w:val="nil"/>
              <w:left w:val="nil"/>
              <w:bottom w:val="single" w:sz="4" w:space="0" w:color="auto"/>
              <w:right w:val="single" w:sz="4" w:space="0" w:color="auto"/>
            </w:tcBorders>
            <w:noWrap/>
            <w:vAlign w:val="bottom"/>
            <w:hideMark/>
          </w:tcPr>
          <w:p w14:paraId="0279EA8C"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 </w:t>
            </w:r>
          </w:p>
        </w:tc>
        <w:tc>
          <w:tcPr>
            <w:tcW w:w="804" w:type="dxa"/>
            <w:tcBorders>
              <w:top w:val="nil"/>
              <w:left w:val="nil"/>
              <w:bottom w:val="single" w:sz="4" w:space="0" w:color="auto"/>
              <w:right w:val="single" w:sz="4" w:space="0" w:color="auto"/>
            </w:tcBorders>
            <w:noWrap/>
            <w:vAlign w:val="bottom"/>
            <w:hideMark/>
          </w:tcPr>
          <w:p w14:paraId="1A27B50F"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 </w:t>
            </w:r>
          </w:p>
        </w:tc>
        <w:tc>
          <w:tcPr>
            <w:tcW w:w="222" w:type="dxa"/>
            <w:vAlign w:val="center"/>
            <w:hideMark/>
          </w:tcPr>
          <w:p w14:paraId="0059BCC6" w14:textId="77777777" w:rsidR="00DB0966" w:rsidRDefault="00DB0966">
            <w:pPr>
              <w:rPr>
                <w:sz w:val="20"/>
                <w:szCs w:val="20"/>
              </w:rPr>
            </w:pPr>
          </w:p>
        </w:tc>
      </w:tr>
      <w:tr w:rsidR="00DB0966" w14:paraId="172396D9" w14:textId="77777777" w:rsidTr="00DB0966">
        <w:trPr>
          <w:trHeight w:val="290"/>
          <w:jc w:val="center"/>
        </w:trPr>
        <w:tc>
          <w:tcPr>
            <w:tcW w:w="665" w:type="dxa"/>
            <w:tcBorders>
              <w:top w:val="nil"/>
              <w:left w:val="single" w:sz="4" w:space="0" w:color="auto"/>
              <w:bottom w:val="single" w:sz="4" w:space="0" w:color="auto"/>
              <w:right w:val="single" w:sz="4" w:space="0" w:color="auto"/>
            </w:tcBorders>
            <w:noWrap/>
            <w:vAlign w:val="bottom"/>
            <w:hideMark/>
          </w:tcPr>
          <w:p w14:paraId="0CD3125B"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lastRenderedPageBreak/>
              <w:t>4124</w:t>
            </w:r>
          </w:p>
        </w:tc>
        <w:tc>
          <w:tcPr>
            <w:tcW w:w="4433" w:type="dxa"/>
            <w:tcBorders>
              <w:top w:val="nil"/>
              <w:left w:val="nil"/>
              <w:bottom w:val="single" w:sz="4" w:space="0" w:color="auto"/>
              <w:right w:val="single" w:sz="4" w:space="0" w:color="auto"/>
            </w:tcBorders>
            <w:shd w:val="clear" w:color="000000" w:fill="FFFFFF"/>
            <w:vAlign w:val="bottom"/>
            <w:hideMark/>
          </w:tcPr>
          <w:p w14:paraId="1873E9F6" w14:textId="77777777" w:rsidR="00DB0966" w:rsidRDefault="00DB0966">
            <w:pPr>
              <w:rPr>
                <w:rFonts w:ascii="Calibri" w:hAnsi="Calibri" w:cs="Calibri"/>
                <w:sz w:val="22"/>
                <w:szCs w:val="22"/>
              </w:rPr>
            </w:pPr>
            <w:r>
              <w:rPr>
                <w:rFonts w:ascii="Calibri" w:hAnsi="Calibri" w:cs="Calibri"/>
                <w:sz w:val="22"/>
                <w:szCs w:val="22"/>
              </w:rPr>
              <w:t>Ostala prava</w:t>
            </w:r>
          </w:p>
        </w:tc>
        <w:tc>
          <w:tcPr>
            <w:tcW w:w="1506" w:type="dxa"/>
            <w:tcBorders>
              <w:top w:val="nil"/>
              <w:left w:val="nil"/>
              <w:bottom w:val="single" w:sz="4" w:space="0" w:color="auto"/>
              <w:right w:val="single" w:sz="4" w:space="0" w:color="auto"/>
            </w:tcBorders>
            <w:shd w:val="clear" w:color="000000" w:fill="FFFFFF"/>
            <w:vAlign w:val="bottom"/>
            <w:hideMark/>
          </w:tcPr>
          <w:p w14:paraId="31E3312E" w14:textId="77777777" w:rsidR="00DB0966" w:rsidRDefault="00DB0966">
            <w:pPr>
              <w:jc w:val="right"/>
              <w:rPr>
                <w:rFonts w:ascii="Calibri" w:hAnsi="Calibri" w:cs="Calibri"/>
                <w:sz w:val="22"/>
                <w:szCs w:val="22"/>
              </w:rPr>
            </w:pPr>
            <w:r>
              <w:rPr>
                <w:rFonts w:ascii="Calibri" w:hAnsi="Calibri" w:cs="Calibri"/>
                <w:sz w:val="22"/>
                <w:szCs w:val="22"/>
              </w:rPr>
              <w:t>57.946,89</w:t>
            </w:r>
          </w:p>
        </w:tc>
        <w:tc>
          <w:tcPr>
            <w:tcW w:w="1506" w:type="dxa"/>
            <w:tcBorders>
              <w:top w:val="nil"/>
              <w:left w:val="nil"/>
              <w:bottom w:val="single" w:sz="4" w:space="0" w:color="auto"/>
              <w:right w:val="single" w:sz="4" w:space="0" w:color="auto"/>
            </w:tcBorders>
            <w:shd w:val="clear" w:color="000000" w:fill="FFFFFF"/>
            <w:vAlign w:val="bottom"/>
            <w:hideMark/>
          </w:tcPr>
          <w:p w14:paraId="73E28130" w14:textId="77777777" w:rsidR="00DB0966" w:rsidRDefault="00DB0966">
            <w:pPr>
              <w:jc w:val="right"/>
              <w:rPr>
                <w:rFonts w:ascii="Calibri" w:hAnsi="Calibri" w:cs="Calibri"/>
                <w:sz w:val="22"/>
                <w:szCs w:val="22"/>
              </w:rPr>
            </w:pPr>
            <w:r>
              <w:rPr>
                <w:rFonts w:ascii="Calibri" w:hAnsi="Calibri" w:cs="Calibri"/>
                <w:sz w:val="22"/>
                <w:szCs w:val="22"/>
              </w:rPr>
              <w:t> </w:t>
            </w:r>
          </w:p>
        </w:tc>
        <w:tc>
          <w:tcPr>
            <w:tcW w:w="1506" w:type="dxa"/>
            <w:tcBorders>
              <w:top w:val="nil"/>
              <w:left w:val="nil"/>
              <w:bottom w:val="single" w:sz="4" w:space="0" w:color="auto"/>
              <w:right w:val="single" w:sz="4" w:space="0" w:color="auto"/>
            </w:tcBorders>
            <w:shd w:val="clear" w:color="000000" w:fill="FFFFFF"/>
            <w:vAlign w:val="bottom"/>
            <w:hideMark/>
          </w:tcPr>
          <w:p w14:paraId="53830BCB" w14:textId="77777777" w:rsidR="00DB0966" w:rsidRDefault="00DB0966">
            <w:pPr>
              <w:jc w:val="right"/>
              <w:rPr>
                <w:rFonts w:ascii="Calibri" w:hAnsi="Calibri" w:cs="Calibri"/>
                <w:sz w:val="22"/>
                <w:szCs w:val="22"/>
              </w:rPr>
            </w:pPr>
            <w:r>
              <w:rPr>
                <w:rFonts w:ascii="Calibri" w:hAnsi="Calibri" w:cs="Calibri"/>
                <w:sz w:val="22"/>
                <w:szCs w:val="22"/>
              </w:rPr>
              <w:t>0,00</w:t>
            </w:r>
          </w:p>
        </w:tc>
        <w:tc>
          <w:tcPr>
            <w:tcW w:w="877" w:type="dxa"/>
            <w:tcBorders>
              <w:top w:val="nil"/>
              <w:left w:val="nil"/>
              <w:bottom w:val="single" w:sz="4" w:space="0" w:color="auto"/>
              <w:right w:val="single" w:sz="4" w:space="0" w:color="auto"/>
            </w:tcBorders>
            <w:noWrap/>
            <w:vAlign w:val="bottom"/>
            <w:hideMark/>
          </w:tcPr>
          <w:p w14:paraId="6568403D"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 </w:t>
            </w:r>
          </w:p>
        </w:tc>
        <w:tc>
          <w:tcPr>
            <w:tcW w:w="804" w:type="dxa"/>
            <w:tcBorders>
              <w:top w:val="nil"/>
              <w:left w:val="nil"/>
              <w:bottom w:val="single" w:sz="4" w:space="0" w:color="auto"/>
              <w:right w:val="single" w:sz="4" w:space="0" w:color="auto"/>
            </w:tcBorders>
            <w:noWrap/>
            <w:vAlign w:val="bottom"/>
            <w:hideMark/>
          </w:tcPr>
          <w:p w14:paraId="6B7547AA"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 </w:t>
            </w:r>
          </w:p>
        </w:tc>
        <w:tc>
          <w:tcPr>
            <w:tcW w:w="222" w:type="dxa"/>
            <w:vAlign w:val="center"/>
            <w:hideMark/>
          </w:tcPr>
          <w:p w14:paraId="0D4B26FE" w14:textId="77777777" w:rsidR="00DB0966" w:rsidRDefault="00DB0966">
            <w:pPr>
              <w:rPr>
                <w:sz w:val="20"/>
                <w:szCs w:val="20"/>
              </w:rPr>
            </w:pPr>
          </w:p>
        </w:tc>
      </w:tr>
      <w:tr w:rsidR="00DB0966" w14:paraId="60EF39A5" w14:textId="77777777" w:rsidTr="00DB0966">
        <w:trPr>
          <w:trHeight w:val="290"/>
          <w:jc w:val="center"/>
        </w:trPr>
        <w:tc>
          <w:tcPr>
            <w:tcW w:w="665" w:type="dxa"/>
            <w:tcBorders>
              <w:top w:val="nil"/>
              <w:left w:val="single" w:sz="4" w:space="0" w:color="auto"/>
              <w:bottom w:val="single" w:sz="4" w:space="0" w:color="auto"/>
              <w:right w:val="single" w:sz="4" w:space="0" w:color="auto"/>
            </w:tcBorders>
            <w:noWrap/>
            <w:vAlign w:val="bottom"/>
            <w:hideMark/>
          </w:tcPr>
          <w:p w14:paraId="4B5EBBA1"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4126</w:t>
            </w:r>
          </w:p>
        </w:tc>
        <w:tc>
          <w:tcPr>
            <w:tcW w:w="4433" w:type="dxa"/>
            <w:tcBorders>
              <w:top w:val="nil"/>
              <w:left w:val="nil"/>
              <w:bottom w:val="single" w:sz="4" w:space="0" w:color="auto"/>
              <w:right w:val="single" w:sz="4" w:space="0" w:color="auto"/>
            </w:tcBorders>
            <w:shd w:val="clear" w:color="000000" w:fill="FFFFFF"/>
            <w:vAlign w:val="bottom"/>
            <w:hideMark/>
          </w:tcPr>
          <w:p w14:paraId="0C50DD31" w14:textId="77777777" w:rsidR="00DB0966" w:rsidRDefault="00DB0966">
            <w:pPr>
              <w:rPr>
                <w:rFonts w:ascii="Calibri" w:hAnsi="Calibri" w:cs="Calibri"/>
                <w:sz w:val="22"/>
                <w:szCs w:val="22"/>
              </w:rPr>
            </w:pPr>
            <w:r>
              <w:rPr>
                <w:rFonts w:ascii="Calibri" w:hAnsi="Calibri" w:cs="Calibri"/>
                <w:sz w:val="22"/>
                <w:szCs w:val="22"/>
              </w:rPr>
              <w:t>Ostala nematerijalna imovina</w:t>
            </w:r>
          </w:p>
        </w:tc>
        <w:tc>
          <w:tcPr>
            <w:tcW w:w="1506" w:type="dxa"/>
            <w:tcBorders>
              <w:top w:val="nil"/>
              <w:left w:val="nil"/>
              <w:bottom w:val="single" w:sz="4" w:space="0" w:color="auto"/>
              <w:right w:val="single" w:sz="4" w:space="0" w:color="auto"/>
            </w:tcBorders>
            <w:shd w:val="clear" w:color="000000" w:fill="FFFFFF"/>
            <w:vAlign w:val="bottom"/>
            <w:hideMark/>
          </w:tcPr>
          <w:p w14:paraId="15426224" w14:textId="77777777" w:rsidR="00DB0966" w:rsidRDefault="00DB0966">
            <w:pPr>
              <w:jc w:val="right"/>
              <w:rPr>
                <w:rFonts w:ascii="Calibri" w:hAnsi="Calibri" w:cs="Calibri"/>
                <w:sz w:val="22"/>
                <w:szCs w:val="22"/>
              </w:rPr>
            </w:pPr>
            <w:r>
              <w:rPr>
                <w:rFonts w:ascii="Calibri" w:hAnsi="Calibri" w:cs="Calibri"/>
                <w:sz w:val="22"/>
                <w:szCs w:val="22"/>
              </w:rPr>
              <w:t>0,00</w:t>
            </w:r>
          </w:p>
        </w:tc>
        <w:tc>
          <w:tcPr>
            <w:tcW w:w="1506" w:type="dxa"/>
            <w:tcBorders>
              <w:top w:val="nil"/>
              <w:left w:val="nil"/>
              <w:bottom w:val="single" w:sz="4" w:space="0" w:color="auto"/>
              <w:right w:val="single" w:sz="4" w:space="0" w:color="auto"/>
            </w:tcBorders>
            <w:shd w:val="clear" w:color="000000" w:fill="FFFFFF"/>
            <w:vAlign w:val="bottom"/>
            <w:hideMark/>
          </w:tcPr>
          <w:p w14:paraId="2EBBC18A" w14:textId="77777777" w:rsidR="00DB0966" w:rsidRDefault="00DB0966">
            <w:pPr>
              <w:jc w:val="right"/>
              <w:rPr>
                <w:rFonts w:ascii="Calibri" w:hAnsi="Calibri" w:cs="Calibri"/>
                <w:sz w:val="22"/>
                <w:szCs w:val="22"/>
              </w:rPr>
            </w:pPr>
            <w:r>
              <w:rPr>
                <w:rFonts w:ascii="Calibri" w:hAnsi="Calibri" w:cs="Calibri"/>
                <w:sz w:val="22"/>
                <w:szCs w:val="22"/>
              </w:rPr>
              <w:t> </w:t>
            </w:r>
          </w:p>
        </w:tc>
        <w:tc>
          <w:tcPr>
            <w:tcW w:w="1506" w:type="dxa"/>
            <w:tcBorders>
              <w:top w:val="nil"/>
              <w:left w:val="nil"/>
              <w:bottom w:val="single" w:sz="4" w:space="0" w:color="auto"/>
              <w:right w:val="single" w:sz="4" w:space="0" w:color="auto"/>
            </w:tcBorders>
            <w:shd w:val="clear" w:color="000000" w:fill="FFFFFF"/>
            <w:vAlign w:val="bottom"/>
            <w:hideMark/>
          </w:tcPr>
          <w:p w14:paraId="73FCA964" w14:textId="77777777" w:rsidR="00DB0966" w:rsidRDefault="00DB0966">
            <w:pPr>
              <w:jc w:val="right"/>
              <w:rPr>
                <w:rFonts w:ascii="Calibri" w:hAnsi="Calibri" w:cs="Calibri"/>
                <w:sz w:val="22"/>
                <w:szCs w:val="22"/>
              </w:rPr>
            </w:pPr>
            <w:r>
              <w:rPr>
                <w:rFonts w:ascii="Calibri" w:hAnsi="Calibri" w:cs="Calibri"/>
                <w:sz w:val="22"/>
                <w:szCs w:val="22"/>
              </w:rPr>
              <w:t>32.500,00</w:t>
            </w:r>
          </w:p>
        </w:tc>
        <w:tc>
          <w:tcPr>
            <w:tcW w:w="877" w:type="dxa"/>
            <w:tcBorders>
              <w:top w:val="nil"/>
              <w:left w:val="nil"/>
              <w:bottom w:val="single" w:sz="4" w:space="0" w:color="auto"/>
              <w:right w:val="single" w:sz="4" w:space="0" w:color="auto"/>
            </w:tcBorders>
            <w:noWrap/>
            <w:vAlign w:val="bottom"/>
            <w:hideMark/>
          </w:tcPr>
          <w:p w14:paraId="3EFB4E80"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 </w:t>
            </w:r>
          </w:p>
        </w:tc>
        <w:tc>
          <w:tcPr>
            <w:tcW w:w="804" w:type="dxa"/>
            <w:tcBorders>
              <w:top w:val="nil"/>
              <w:left w:val="nil"/>
              <w:bottom w:val="single" w:sz="4" w:space="0" w:color="auto"/>
              <w:right w:val="single" w:sz="4" w:space="0" w:color="auto"/>
            </w:tcBorders>
            <w:noWrap/>
            <w:vAlign w:val="bottom"/>
            <w:hideMark/>
          </w:tcPr>
          <w:p w14:paraId="49FF5100"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 </w:t>
            </w:r>
          </w:p>
        </w:tc>
        <w:tc>
          <w:tcPr>
            <w:tcW w:w="222" w:type="dxa"/>
            <w:vAlign w:val="center"/>
            <w:hideMark/>
          </w:tcPr>
          <w:p w14:paraId="62D3584C" w14:textId="77777777" w:rsidR="00DB0966" w:rsidRDefault="00DB0966">
            <w:pPr>
              <w:rPr>
                <w:sz w:val="20"/>
                <w:szCs w:val="20"/>
              </w:rPr>
            </w:pPr>
          </w:p>
        </w:tc>
      </w:tr>
      <w:tr w:rsidR="00DB0966" w14:paraId="5FED7073" w14:textId="77777777" w:rsidTr="00DB0966">
        <w:trPr>
          <w:trHeight w:val="580"/>
          <w:jc w:val="center"/>
        </w:trPr>
        <w:tc>
          <w:tcPr>
            <w:tcW w:w="665" w:type="dxa"/>
            <w:tcBorders>
              <w:top w:val="nil"/>
              <w:left w:val="single" w:sz="4" w:space="0" w:color="auto"/>
              <w:bottom w:val="single" w:sz="4" w:space="0" w:color="auto"/>
              <w:right w:val="single" w:sz="4" w:space="0" w:color="auto"/>
            </w:tcBorders>
            <w:shd w:val="clear" w:color="000000" w:fill="D9D9D9"/>
            <w:noWrap/>
            <w:vAlign w:val="bottom"/>
            <w:hideMark/>
          </w:tcPr>
          <w:p w14:paraId="54834735" w14:textId="77777777" w:rsidR="00DB0966" w:rsidRDefault="00DB0966">
            <w:pPr>
              <w:jc w:val="center"/>
              <w:rPr>
                <w:rFonts w:ascii="Calibri" w:hAnsi="Calibri" w:cs="Calibri"/>
                <w:b/>
                <w:bCs/>
                <w:sz w:val="22"/>
                <w:szCs w:val="22"/>
              </w:rPr>
            </w:pPr>
            <w:r>
              <w:rPr>
                <w:rFonts w:ascii="Calibri" w:hAnsi="Calibri" w:cs="Calibri"/>
                <w:b/>
                <w:bCs/>
                <w:sz w:val="22"/>
                <w:szCs w:val="22"/>
              </w:rPr>
              <w:t>42</w:t>
            </w:r>
          </w:p>
        </w:tc>
        <w:tc>
          <w:tcPr>
            <w:tcW w:w="4433" w:type="dxa"/>
            <w:tcBorders>
              <w:top w:val="nil"/>
              <w:left w:val="nil"/>
              <w:bottom w:val="single" w:sz="4" w:space="0" w:color="auto"/>
              <w:right w:val="single" w:sz="4" w:space="0" w:color="auto"/>
            </w:tcBorders>
            <w:shd w:val="clear" w:color="000000" w:fill="D9D9D9"/>
            <w:vAlign w:val="bottom"/>
            <w:hideMark/>
          </w:tcPr>
          <w:p w14:paraId="4B4F950B" w14:textId="77777777" w:rsidR="00DB0966" w:rsidRDefault="00DB0966">
            <w:pPr>
              <w:rPr>
                <w:rFonts w:ascii="Calibri" w:hAnsi="Calibri" w:cs="Calibri"/>
                <w:b/>
                <w:bCs/>
                <w:sz w:val="22"/>
                <w:szCs w:val="22"/>
              </w:rPr>
            </w:pPr>
            <w:r>
              <w:rPr>
                <w:rFonts w:ascii="Calibri" w:hAnsi="Calibri" w:cs="Calibri"/>
                <w:b/>
                <w:bCs/>
                <w:sz w:val="22"/>
                <w:szCs w:val="22"/>
              </w:rPr>
              <w:t>RASHODI ZA NABAVU PROIZV. DUGOTR. IMOVINE</w:t>
            </w:r>
          </w:p>
        </w:tc>
        <w:tc>
          <w:tcPr>
            <w:tcW w:w="1506" w:type="dxa"/>
            <w:tcBorders>
              <w:top w:val="nil"/>
              <w:left w:val="nil"/>
              <w:bottom w:val="single" w:sz="4" w:space="0" w:color="auto"/>
              <w:right w:val="single" w:sz="4" w:space="0" w:color="auto"/>
            </w:tcBorders>
            <w:shd w:val="clear" w:color="000000" w:fill="D9D9D9"/>
            <w:noWrap/>
            <w:vAlign w:val="bottom"/>
            <w:hideMark/>
          </w:tcPr>
          <w:p w14:paraId="4715AA33" w14:textId="77777777" w:rsidR="00DB0966" w:rsidRDefault="00DB0966">
            <w:pPr>
              <w:jc w:val="right"/>
              <w:rPr>
                <w:rFonts w:ascii="Calibri" w:hAnsi="Calibri" w:cs="Calibri"/>
                <w:b/>
                <w:bCs/>
                <w:sz w:val="22"/>
                <w:szCs w:val="22"/>
              </w:rPr>
            </w:pPr>
            <w:r>
              <w:rPr>
                <w:rFonts w:ascii="Calibri" w:hAnsi="Calibri" w:cs="Calibri"/>
                <w:b/>
                <w:bCs/>
                <w:sz w:val="22"/>
                <w:szCs w:val="22"/>
              </w:rPr>
              <w:t>610.941,39</w:t>
            </w:r>
          </w:p>
        </w:tc>
        <w:tc>
          <w:tcPr>
            <w:tcW w:w="1506" w:type="dxa"/>
            <w:tcBorders>
              <w:top w:val="nil"/>
              <w:left w:val="nil"/>
              <w:bottom w:val="single" w:sz="4" w:space="0" w:color="auto"/>
              <w:right w:val="single" w:sz="4" w:space="0" w:color="auto"/>
            </w:tcBorders>
            <w:shd w:val="clear" w:color="000000" w:fill="D9D9D9"/>
            <w:noWrap/>
            <w:vAlign w:val="bottom"/>
            <w:hideMark/>
          </w:tcPr>
          <w:p w14:paraId="252F5340" w14:textId="77777777" w:rsidR="00DB0966" w:rsidRDefault="00DB0966">
            <w:pPr>
              <w:jc w:val="right"/>
              <w:rPr>
                <w:rFonts w:ascii="Calibri" w:hAnsi="Calibri" w:cs="Calibri"/>
                <w:b/>
                <w:bCs/>
                <w:sz w:val="22"/>
                <w:szCs w:val="22"/>
              </w:rPr>
            </w:pPr>
            <w:r>
              <w:rPr>
                <w:rFonts w:ascii="Calibri" w:hAnsi="Calibri" w:cs="Calibri"/>
                <w:b/>
                <w:bCs/>
                <w:sz w:val="22"/>
                <w:szCs w:val="22"/>
              </w:rPr>
              <w:t>449.081,00</w:t>
            </w:r>
          </w:p>
        </w:tc>
        <w:tc>
          <w:tcPr>
            <w:tcW w:w="1506" w:type="dxa"/>
            <w:tcBorders>
              <w:top w:val="nil"/>
              <w:left w:val="nil"/>
              <w:bottom w:val="single" w:sz="4" w:space="0" w:color="auto"/>
              <w:right w:val="single" w:sz="4" w:space="0" w:color="auto"/>
            </w:tcBorders>
            <w:shd w:val="clear" w:color="000000" w:fill="D9D9D9"/>
            <w:noWrap/>
            <w:vAlign w:val="bottom"/>
            <w:hideMark/>
          </w:tcPr>
          <w:p w14:paraId="2399873B" w14:textId="77777777" w:rsidR="00DB0966" w:rsidRDefault="00DB0966">
            <w:pPr>
              <w:jc w:val="right"/>
              <w:rPr>
                <w:rFonts w:ascii="Calibri" w:hAnsi="Calibri" w:cs="Calibri"/>
                <w:b/>
                <w:bCs/>
                <w:sz w:val="22"/>
                <w:szCs w:val="22"/>
              </w:rPr>
            </w:pPr>
            <w:r>
              <w:rPr>
                <w:rFonts w:ascii="Calibri" w:hAnsi="Calibri" w:cs="Calibri"/>
                <w:b/>
                <w:bCs/>
                <w:sz w:val="22"/>
                <w:szCs w:val="22"/>
              </w:rPr>
              <w:t>450.688,50</w:t>
            </w:r>
          </w:p>
        </w:tc>
        <w:tc>
          <w:tcPr>
            <w:tcW w:w="877" w:type="dxa"/>
            <w:tcBorders>
              <w:top w:val="nil"/>
              <w:left w:val="nil"/>
              <w:bottom w:val="single" w:sz="4" w:space="0" w:color="auto"/>
              <w:right w:val="single" w:sz="4" w:space="0" w:color="auto"/>
            </w:tcBorders>
            <w:shd w:val="clear" w:color="000000" w:fill="D9D9D9"/>
            <w:noWrap/>
            <w:vAlign w:val="bottom"/>
            <w:hideMark/>
          </w:tcPr>
          <w:p w14:paraId="53E5B920" w14:textId="77777777" w:rsidR="00DB0966" w:rsidRDefault="00DB0966">
            <w:pPr>
              <w:jc w:val="center"/>
              <w:rPr>
                <w:rFonts w:ascii="Calibri" w:hAnsi="Calibri" w:cs="Calibri"/>
                <w:b/>
                <w:bCs/>
                <w:sz w:val="22"/>
                <w:szCs w:val="22"/>
              </w:rPr>
            </w:pPr>
            <w:r>
              <w:rPr>
                <w:rFonts w:ascii="Calibri" w:hAnsi="Calibri" w:cs="Calibri"/>
                <w:b/>
                <w:bCs/>
                <w:sz w:val="22"/>
                <w:szCs w:val="22"/>
              </w:rPr>
              <w:t>74%</w:t>
            </w:r>
          </w:p>
        </w:tc>
        <w:tc>
          <w:tcPr>
            <w:tcW w:w="804" w:type="dxa"/>
            <w:tcBorders>
              <w:top w:val="nil"/>
              <w:left w:val="nil"/>
              <w:bottom w:val="single" w:sz="4" w:space="0" w:color="auto"/>
              <w:right w:val="single" w:sz="4" w:space="0" w:color="auto"/>
            </w:tcBorders>
            <w:shd w:val="clear" w:color="000000" w:fill="D9D9D9"/>
            <w:noWrap/>
            <w:vAlign w:val="bottom"/>
            <w:hideMark/>
          </w:tcPr>
          <w:p w14:paraId="2EFBE089" w14:textId="77777777" w:rsidR="00DB0966" w:rsidRDefault="00DB0966">
            <w:pPr>
              <w:jc w:val="center"/>
              <w:rPr>
                <w:rFonts w:ascii="Calibri" w:hAnsi="Calibri" w:cs="Calibri"/>
                <w:b/>
                <w:bCs/>
                <w:sz w:val="22"/>
                <w:szCs w:val="22"/>
              </w:rPr>
            </w:pPr>
            <w:r>
              <w:rPr>
                <w:rFonts w:ascii="Calibri" w:hAnsi="Calibri" w:cs="Calibri"/>
                <w:b/>
                <w:bCs/>
                <w:sz w:val="22"/>
                <w:szCs w:val="22"/>
              </w:rPr>
              <w:t>100%</w:t>
            </w:r>
          </w:p>
        </w:tc>
        <w:tc>
          <w:tcPr>
            <w:tcW w:w="222" w:type="dxa"/>
            <w:vAlign w:val="center"/>
            <w:hideMark/>
          </w:tcPr>
          <w:p w14:paraId="0FE1AE6E" w14:textId="77777777" w:rsidR="00DB0966" w:rsidRDefault="00DB0966">
            <w:pPr>
              <w:rPr>
                <w:sz w:val="20"/>
                <w:szCs w:val="20"/>
              </w:rPr>
            </w:pPr>
          </w:p>
        </w:tc>
      </w:tr>
      <w:tr w:rsidR="00DB0966" w14:paraId="5A1848C4" w14:textId="77777777" w:rsidTr="00DB0966">
        <w:trPr>
          <w:trHeight w:val="290"/>
          <w:jc w:val="center"/>
        </w:trPr>
        <w:tc>
          <w:tcPr>
            <w:tcW w:w="665" w:type="dxa"/>
            <w:tcBorders>
              <w:top w:val="nil"/>
              <w:left w:val="single" w:sz="4" w:space="0" w:color="auto"/>
              <w:bottom w:val="single" w:sz="4" w:space="0" w:color="auto"/>
              <w:right w:val="single" w:sz="4" w:space="0" w:color="auto"/>
            </w:tcBorders>
            <w:shd w:val="clear" w:color="000000" w:fill="FFFFFF"/>
            <w:noWrap/>
            <w:vAlign w:val="bottom"/>
            <w:hideMark/>
          </w:tcPr>
          <w:p w14:paraId="32FFD859" w14:textId="77777777" w:rsidR="00DB0966" w:rsidRDefault="00DB0966">
            <w:pPr>
              <w:jc w:val="center"/>
              <w:rPr>
                <w:rFonts w:ascii="Calibri" w:hAnsi="Calibri" w:cs="Calibri"/>
                <w:b/>
                <w:bCs/>
                <w:sz w:val="22"/>
                <w:szCs w:val="22"/>
              </w:rPr>
            </w:pPr>
            <w:r>
              <w:rPr>
                <w:rFonts w:ascii="Calibri" w:hAnsi="Calibri" w:cs="Calibri"/>
                <w:b/>
                <w:bCs/>
                <w:sz w:val="22"/>
                <w:szCs w:val="22"/>
              </w:rPr>
              <w:t>422</w:t>
            </w:r>
          </w:p>
        </w:tc>
        <w:tc>
          <w:tcPr>
            <w:tcW w:w="4433" w:type="dxa"/>
            <w:tcBorders>
              <w:top w:val="nil"/>
              <w:left w:val="nil"/>
              <w:bottom w:val="single" w:sz="4" w:space="0" w:color="auto"/>
              <w:right w:val="single" w:sz="4" w:space="0" w:color="auto"/>
            </w:tcBorders>
            <w:vAlign w:val="bottom"/>
            <w:hideMark/>
          </w:tcPr>
          <w:p w14:paraId="1C1BAFBE" w14:textId="77777777" w:rsidR="00DB0966" w:rsidRDefault="00DB0966">
            <w:pPr>
              <w:rPr>
                <w:rFonts w:ascii="Calibri" w:hAnsi="Calibri" w:cs="Calibri"/>
                <w:b/>
                <w:bCs/>
                <w:sz w:val="22"/>
                <w:szCs w:val="22"/>
              </w:rPr>
            </w:pPr>
            <w:r>
              <w:rPr>
                <w:rFonts w:ascii="Calibri" w:hAnsi="Calibri" w:cs="Calibri"/>
                <w:b/>
                <w:bCs/>
                <w:sz w:val="22"/>
                <w:szCs w:val="22"/>
              </w:rPr>
              <w:t>Postrojenja i oprema</w:t>
            </w:r>
          </w:p>
        </w:tc>
        <w:tc>
          <w:tcPr>
            <w:tcW w:w="1506" w:type="dxa"/>
            <w:tcBorders>
              <w:top w:val="nil"/>
              <w:left w:val="nil"/>
              <w:bottom w:val="single" w:sz="4" w:space="0" w:color="auto"/>
              <w:right w:val="single" w:sz="4" w:space="0" w:color="auto"/>
            </w:tcBorders>
            <w:noWrap/>
            <w:vAlign w:val="bottom"/>
            <w:hideMark/>
          </w:tcPr>
          <w:p w14:paraId="6D31C498" w14:textId="77777777" w:rsidR="00DB0966" w:rsidRDefault="00DB0966">
            <w:pPr>
              <w:jc w:val="right"/>
              <w:rPr>
                <w:rFonts w:ascii="Calibri" w:hAnsi="Calibri" w:cs="Calibri"/>
                <w:b/>
                <w:bCs/>
                <w:sz w:val="22"/>
                <w:szCs w:val="22"/>
              </w:rPr>
            </w:pPr>
            <w:r>
              <w:rPr>
                <w:rFonts w:ascii="Calibri" w:hAnsi="Calibri" w:cs="Calibri"/>
                <w:b/>
                <w:bCs/>
                <w:sz w:val="22"/>
                <w:szCs w:val="22"/>
              </w:rPr>
              <w:t>588.596,48</w:t>
            </w:r>
          </w:p>
        </w:tc>
        <w:tc>
          <w:tcPr>
            <w:tcW w:w="1506" w:type="dxa"/>
            <w:tcBorders>
              <w:top w:val="nil"/>
              <w:left w:val="nil"/>
              <w:bottom w:val="single" w:sz="4" w:space="0" w:color="auto"/>
              <w:right w:val="single" w:sz="4" w:space="0" w:color="auto"/>
            </w:tcBorders>
            <w:noWrap/>
            <w:vAlign w:val="bottom"/>
            <w:hideMark/>
          </w:tcPr>
          <w:p w14:paraId="294FDA61" w14:textId="77777777" w:rsidR="00DB0966" w:rsidRDefault="00DB0966">
            <w:pPr>
              <w:jc w:val="right"/>
              <w:rPr>
                <w:rFonts w:ascii="Calibri" w:hAnsi="Calibri" w:cs="Calibri"/>
                <w:b/>
                <w:bCs/>
                <w:sz w:val="22"/>
                <w:szCs w:val="22"/>
              </w:rPr>
            </w:pPr>
            <w:r>
              <w:rPr>
                <w:rFonts w:ascii="Calibri" w:hAnsi="Calibri" w:cs="Calibri"/>
                <w:b/>
                <w:bCs/>
                <w:sz w:val="22"/>
                <w:szCs w:val="22"/>
              </w:rPr>
              <w:t> </w:t>
            </w:r>
          </w:p>
        </w:tc>
        <w:tc>
          <w:tcPr>
            <w:tcW w:w="1506" w:type="dxa"/>
            <w:tcBorders>
              <w:top w:val="nil"/>
              <w:left w:val="nil"/>
              <w:bottom w:val="single" w:sz="4" w:space="0" w:color="auto"/>
              <w:right w:val="single" w:sz="4" w:space="0" w:color="auto"/>
            </w:tcBorders>
            <w:noWrap/>
            <w:vAlign w:val="bottom"/>
            <w:hideMark/>
          </w:tcPr>
          <w:p w14:paraId="77798916" w14:textId="77777777" w:rsidR="00DB0966" w:rsidRDefault="00DB0966">
            <w:pPr>
              <w:jc w:val="right"/>
              <w:rPr>
                <w:rFonts w:ascii="Calibri" w:hAnsi="Calibri" w:cs="Calibri"/>
                <w:b/>
                <w:bCs/>
                <w:sz w:val="22"/>
                <w:szCs w:val="22"/>
              </w:rPr>
            </w:pPr>
            <w:r>
              <w:rPr>
                <w:rFonts w:ascii="Calibri" w:hAnsi="Calibri" w:cs="Calibri"/>
                <w:b/>
                <w:bCs/>
                <w:sz w:val="22"/>
                <w:szCs w:val="22"/>
              </w:rPr>
              <w:t>440.227,43</w:t>
            </w:r>
          </w:p>
        </w:tc>
        <w:tc>
          <w:tcPr>
            <w:tcW w:w="877" w:type="dxa"/>
            <w:tcBorders>
              <w:top w:val="nil"/>
              <w:left w:val="nil"/>
              <w:bottom w:val="single" w:sz="4" w:space="0" w:color="auto"/>
              <w:right w:val="single" w:sz="4" w:space="0" w:color="auto"/>
            </w:tcBorders>
            <w:noWrap/>
            <w:vAlign w:val="bottom"/>
            <w:hideMark/>
          </w:tcPr>
          <w:p w14:paraId="0C8D06A2" w14:textId="77777777" w:rsidR="00DB0966" w:rsidRDefault="00DB0966">
            <w:pPr>
              <w:jc w:val="center"/>
              <w:rPr>
                <w:rFonts w:ascii="Calibri" w:hAnsi="Calibri" w:cs="Calibri"/>
                <w:b/>
                <w:bCs/>
                <w:color w:val="000000"/>
                <w:sz w:val="22"/>
                <w:szCs w:val="22"/>
              </w:rPr>
            </w:pPr>
            <w:r>
              <w:rPr>
                <w:rFonts w:ascii="Calibri" w:hAnsi="Calibri" w:cs="Calibri"/>
                <w:b/>
                <w:bCs/>
                <w:color w:val="000000"/>
                <w:sz w:val="22"/>
                <w:szCs w:val="22"/>
              </w:rPr>
              <w:t>75%</w:t>
            </w:r>
          </w:p>
        </w:tc>
        <w:tc>
          <w:tcPr>
            <w:tcW w:w="804" w:type="dxa"/>
            <w:tcBorders>
              <w:top w:val="nil"/>
              <w:left w:val="nil"/>
              <w:bottom w:val="single" w:sz="4" w:space="0" w:color="auto"/>
              <w:right w:val="single" w:sz="4" w:space="0" w:color="auto"/>
            </w:tcBorders>
            <w:noWrap/>
            <w:vAlign w:val="bottom"/>
            <w:hideMark/>
          </w:tcPr>
          <w:p w14:paraId="19442F39" w14:textId="77777777" w:rsidR="00DB0966" w:rsidRDefault="00DB0966">
            <w:pPr>
              <w:jc w:val="center"/>
              <w:rPr>
                <w:rFonts w:ascii="Calibri" w:hAnsi="Calibri" w:cs="Calibri"/>
                <w:b/>
                <w:bCs/>
                <w:color w:val="000000"/>
                <w:sz w:val="22"/>
                <w:szCs w:val="22"/>
              </w:rPr>
            </w:pPr>
            <w:r>
              <w:rPr>
                <w:rFonts w:ascii="Calibri" w:hAnsi="Calibri" w:cs="Calibri"/>
                <w:b/>
                <w:bCs/>
                <w:color w:val="000000"/>
                <w:sz w:val="22"/>
                <w:szCs w:val="22"/>
              </w:rPr>
              <w:t> </w:t>
            </w:r>
          </w:p>
        </w:tc>
        <w:tc>
          <w:tcPr>
            <w:tcW w:w="222" w:type="dxa"/>
            <w:vAlign w:val="center"/>
            <w:hideMark/>
          </w:tcPr>
          <w:p w14:paraId="67D4644A" w14:textId="77777777" w:rsidR="00DB0966" w:rsidRDefault="00DB0966">
            <w:pPr>
              <w:rPr>
                <w:sz w:val="20"/>
                <w:szCs w:val="20"/>
              </w:rPr>
            </w:pPr>
          </w:p>
        </w:tc>
      </w:tr>
      <w:tr w:rsidR="00DB0966" w14:paraId="4FEA9CD5" w14:textId="77777777" w:rsidTr="00DB0966">
        <w:trPr>
          <w:trHeight w:val="290"/>
          <w:jc w:val="center"/>
        </w:trPr>
        <w:tc>
          <w:tcPr>
            <w:tcW w:w="665" w:type="dxa"/>
            <w:tcBorders>
              <w:top w:val="nil"/>
              <w:left w:val="single" w:sz="4" w:space="0" w:color="auto"/>
              <w:bottom w:val="single" w:sz="4" w:space="0" w:color="auto"/>
              <w:right w:val="single" w:sz="4" w:space="0" w:color="auto"/>
            </w:tcBorders>
            <w:noWrap/>
            <w:vAlign w:val="bottom"/>
            <w:hideMark/>
          </w:tcPr>
          <w:p w14:paraId="70AC77E5"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4221</w:t>
            </w:r>
          </w:p>
        </w:tc>
        <w:tc>
          <w:tcPr>
            <w:tcW w:w="4433" w:type="dxa"/>
            <w:tcBorders>
              <w:top w:val="nil"/>
              <w:left w:val="nil"/>
              <w:bottom w:val="single" w:sz="4" w:space="0" w:color="auto"/>
              <w:right w:val="single" w:sz="4" w:space="0" w:color="auto"/>
            </w:tcBorders>
            <w:noWrap/>
            <w:vAlign w:val="bottom"/>
            <w:hideMark/>
          </w:tcPr>
          <w:p w14:paraId="23806D3A" w14:textId="77777777" w:rsidR="00DB0966" w:rsidRDefault="00DB0966">
            <w:pPr>
              <w:rPr>
                <w:rFonts w:ascii="Calibri" w:hAnsi="Calibri" w:cs="Calibri"/>
                <w:color w:val="000000"/>
                <w:sz w:val="22"/>
                <w:szCs w:val="22"/>
              </w:rPr>
            </w:pPr>
            <w:r>
              <w:rPr>
                <w:rFonts w:ascii="Calibri" w:hAnsi="Calibri" w:cs="Calibri"/>
                <w:color w:val="000000"/>
                <w:sz w:val="22"/>
                <w:szCs w:val="22"/>
              </w:rPr>
              <w:t>Uredska oprema i namještaj</w:t>
            </w:r>
          </w:p>
        </w:tc>
        <w:tc>
          <w:tcPr>
            <w:tcW w:w="1506" w:type="dxa"/>
            <w:tcBorders>
              <w:top w:val="nil"/>
              <w:left w:val="nil"/>
              <w:bottom w:val="single" w:sz="4" w:space="0" w:color="auto"/>
              <w:right w:val="single" w:sz="4" w:space="0" w:color="auto"/>
            </w:tcBorders>
            <w:noWrap/>
            <w:vAlign w:val="bottom"/>
            <w:hideMark/>
          </w:tcPr>
          <w:p w14:paraId="10EB063E" w14:textId="77777777" w:rsidR="00DB0966" w:rsidRDefault="00DB0966">
            <w:pPr>
              <w:jc w:val="right"/>
              <w:rPr>
                <w:rFonts w:ascii="Calibri" w:hAnsi="Calibri" w:cs="Calibri"/>
                <w:color w:val="000000"/>
                <w:sz w:val="22"/>
                <w:szCs w:val="22"/>
              </w:rPr>
            </w:pPr>
            <w:r>
              <w:rPr>
                <w:rFonts w:ascii="Calibri" w:hAnsi="Calibri" w:cs="Calibri"/>
                <w:color w:val="000000"/>
                <w:sz w:val="22"/>
                <w:szCs w:val="22"/>
              </w:rPr>
              <w:t>90.323,17</w:t>
            </w:r>
          </w:p>
        </w:tc>
        <w:tc>
          <w:tcPr>
            <w:tcW w:w="1506" w:type="dxa"/>
            <w:tcBorders>
              <w:top w:val="nil"/>
              <w:left w:val="nil"/>
              <w:bottom w:val="single" w:sz="4" w:space="0" w:color="auto"/>
              <w:right w:val="single" w:sz="4" w:space="0" w:color="auto"/>
            </w:tcBorders>
            <w:shd w:val="clear" w:color="000000" w:fill="FFFFFF"/>
            <w:vAlign w:val="bottom"/>
            <w:hideMark/>
          </w:tcPr>
          <w:p w14:paraId="235B2688" w14:textId="77777777" w:rsidR="00DB0966" w:rsidRDefault="00DB0966">
            <w:pPr>
              <w:jc w:val="right"/>
              <w:rPr>
                <w:rFonts w:ascii="Calibri" w:hAnsi="Calibri" w:cs="Calibri"/>
                <w:sz w:val="20"/>
                <w:szCs w:val="20"/>
              </w:rPr>
            </w:pPr>
            <w:r>
              <w:rPr>
                <w:rFonts w:ascii="Calibri" w:hAnsi="Calibri" w:cs="Calibri"/>
                <w:sz w:val="20"/>
                <w:szCs w:val="20"/>
              </w:rPr>
              <w:t> </w:t>
            </w:r>
          </w:p>
        </w:tc>
        <w:tc>
          <w:tcPr>
            <w:tcW w:w="1506" w:type="dxa"/>
            <w:tcBorders>
              <w:top w:val="nil"/>
              <w:left w:val="nil"/>
              <w:bottom w:val="single" w:sz="4" w:space="0" w:color="auto"/>
              <w:right w:val="single" w:sz="4" w:space="0" w:color="auto"/>
            </w:tcBorders>
            <w:vAlign w:val="bottom"/>
            <w:hideMark/>
          </w:tcPr>
          <w:p w14:paraId="7AE1F71C" w14:textId="77777777" w:rsidR="00DB0966" w:rsidRDefault="00DB0966">
            <w:pPr>
              <w:jc w:val="right"/>
              <w:rPr>
                <w:rFonts w:ascii="Calibri" w:hAnsi="Calibri" w:cs="Calibri"/>
                <w:sz w:val="22"/>
                <w:szCs w:val="22"/>
              </w:rPr>
            </w:pPr>
            <w:r>
              <w:rPr>
                <w:rFonts w:ascii="Calibri" w:hAnsi="Calibri" w:cs="Calibri"/>
                <w:sz w:val="22"/>
                <w:szCs w:val="22"/>
              </w:rPr>
              <w:t>82.371,14</w:t>
            </w:r>
          </w:p>
        </w:tc>
        <w:tc>
          <w:tcPr>
            <w:tcW w:w="877" w:type="dxa"/>
            <w:tcBorders>
              <w:top w:val="nil"/>
              <w:left w:val="nil"/>
              <w:bottom w:val="single" w:sz="4" w:space="0" w:color="auto"/>
              <w:right w:val="single" w:sz="4" w:space="0" w:color="auto"/>
            </w:tcBorders>
            <w:noWrap/>
            <w:vAlign w:val="bottom"/>
            <w:hideMark/>
          </w:tcPr>
          <w:p w14:paraId="49D1E6DB"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91%</w:t>
            </w:r>
          </w:p>
        </w:tc>
        <w:tc>
          <w:tcPr>
            <w:tcW w:w="804" w:type="dxa"/>
            <w:tcBorders>
              <w:top w:val="nil"/>
              <w:left w:val="nil"/>
              <w:bottom w:val="single" w:sz="4" w:space="0" w:color="auto"/>
              <w:right w:val="single" w:sz="4" w:space="0" w:color="auto"/>
            </w:tcBorders>
            <w:noWrap/>
            <w:vAlign w:val="bottom"/>
            <w:hideMark/>
          </w:tcPr>
          <w:p w14:paraId="149238CD"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 </w:t>
            </w:r>
          </w:p>
        </w:tc>
        <w:tc>
          <w:tcPr>
            <w:tcW w:w="222" w:type="dxa"/>
            <w:vAlign w:val="center"/>
            <w:hideMark/>
          </w:tcPr>
          <w:p w14:paraId="4899D0C3" w14:textId="77777777" w:rsidR="00DB0966" w:rsidRDefault="00DB0966">
            <w:pPr>
              <w:rPr>
                <w:sz w:val="20"/>
                <w:szCs w:val="20"/>
              </w:rPr>
            </w:pPr>
          </w:p>
        </w:tc>
      </w:tr>
      <w:tr w:rsidR="00DB0966" w14:paraId="1F64A0FD" w14:textId="77777777" w:rsidTr="00DB0966">
        <w:trPr>
          <w:trHeight w:val="290"/>
          <w:jc w:val="center"/>
        </w:trPr>
        <w:tc>
          <w:tcPr>
            <w:tcW w:w="665" w:type="dxa"/>
            <w:tcBorders>
              <w:top w:val="nil"/>
              <w:left w:val="single" w:sz="4" w:space="0" w:color="auto"/>
              <w:bottom w:val="single" w:sz="4" w:space="0" w:color="auto"/>
              <w:right w:val="single" w:sz="4" w:space="0" w:color="auto"/>
            </w:tcBorders>
            <w:noWrap/>
            <w:vAlign w:val="bottom"/>
            <w:hideMark/>
          </w:tcPr>
          <w:p w14:paraId="768F88F8"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4222</w:t>
            </w:r>
          </w:p>
        </w:tc>
        <w:tc>
          <w:tcPr>
            <w:tcW w:w="4433" w:type="dxa"/>
            <w:tcBorders>
              <w:top w:val="nil"/>
              <w:left w:val="nil"/>
              <w:bottom w:val="single" w:sz="4" w:space="0" w:color="auto"/>
              <w:right w:val="single" w:sz="4" w:space="0" w:color="auto"/>
            </w:tcBorders>
            <w:noWrap/>
            <w:vAlign w:val="bottom"/>
            <w:hideMark/>
          </w:tcPr>
          <w:p w14:paraId="7B867A04" w14:textId="77777777" w:rsidR="00DB0966" w:rsidRDefault="00DB0966">
            <w:pPr>
              <w:rPr>
                <w:rFonts w:ascii="Calibri" w:hAnsi="Calibri" w:cs="Calibri"/>
                <w:color w:val="000000"/>
                <w:sz w:val="22"/>
                <w:szCs w:val="22"/>
              </w:rPr>
            </w:pPr>
            <w:r>
              <w:rPr>
                <w:rFonts w:ascii="Calibri" w:hAnsi="Calibri" w:cs="Calibri"/>
                <w:color w:val="000000"/>
                <w:sz w:val="22"/>
                <w:szCs w:val="22"/>
              </w:rPr>
              <w:t>Komunikacijska oprema</w:t>
            </w:r>
          </w:p>
        </w:tc>
        <w:tc>
          <w:tcPr>
            <w:tcW w:w="1506" w:type="dxa"/>
            <w:tcBorders>
              <w:top w:val="nil"/>
              <w:left w:val="nil"/>
              <w:bottom w:val="single" w:sz="4" w:space="0" w:color="auto"/>
              <w:right w:val="single" w:sz="4" w:space="0" w:color="auto"/>
            </w:tcBorders>
            <w:noWrap/>
            <w:vAlign w:val="bottom"/>
            <w:hideMark/>
          </w:tcPr>
          <w:p w14:paraId="7103E941" w14:textId="77777777" w:rsidR="00DB0966" w:rsidRDefault="00DB0966">
            <w:pPr>
              <w:jc w:val="right"/>
              <w:rPr>
                <w:rFonts w:ascii="Calibri" w:hAnsi="Calibri" w:cs="Calibri"/>
                <w:color w:val="000000"/>
                <w:sz w:val="22"/>
                <w:szCs w:val="22"/>
              </w:rPr>
            </w:pPr>
            <w:r>
              <w:rPr>
                <w:rFonts w:ascii="Calibri" w:hAnsi="Calibri" w:cs="Calibri"/>
                <w:color w:val="000000"/>
                <w:sz w:val="22"/>
                <w:szCs w:val="22"/>
              </w:rPr>
              <w:t>356,25</w:t>
            </w:r>
          </w:p>
        </w:tc>
        <w:tc>
          <w:tcPr>
            <w:tcW w:w="1506" w:type="dxa"/>
            <w:tcBorders>
              <w:top w:val="nil"/>
              <w:left w:val="nil"/>
              <w:bottom w:val="single" w:sz="4" w:space="0" w:color="auto"/>
              <w:right w:val="single" w:sz="4" w:space="0" w:color="auto"/>
            </w:tcBorders>
            <w:shd w:val="clear" w:color="000000" w:fill="FFFFFF"/>
            <w:vAlign w:val="bottom"/>
            <w:hideMark/>
          </w:tcPr>
          <w:p w14:paraId="3E1861EB" w14:textId="77777777" w:rsidR="00DB0966" w:rsidRDefault="00DB0966">
            <w:pPr>
              <w:jc w:val="right"/>
              <w:rPr>
                <w:rFonts w:ascii="Calibri" w:hAnsi="Calibri" w:cs="Calibri"/>
                <w:sz w:val="20"/>
                <w:szCs w:val="20"/>
              </w:rPr>
            </w:pPr>
            <w:r>
              <w:rPr>
                <w:rFonts w:ascii="Calibri" w:hAnsi="Calibri" w:cs="Calibri"/>
                <w:sz w:val="20"/>
                <w:szCs w:val="20"/>
              </w:rPr>
              <w:t> </w:t>
            </w:r>
          </w:p>
        </w:tc>
        <w:tc>
          <w:tcPr>
            <w:tcW w:w="1506" w:type="dxa"/>
            <w:tcBorders>
              <w:top w:val="nil"/>
              <w:left w:val="nil"/>
              <w:bottom w:val="single" w:sz="4" w:space="0" w:color="auto"/>
              <w:right w:val="single" w:sz="4" w:space="0" w:color="auto"/>
            </w:tcBorders>
            <w:vAlign w:val="bottom"/>
            <w:hideMark/>
          </w:tcPr>
          <w:p w14:paraId="48713F39" w14:textId="77777777" w:rsidR="00DB0966" w:rsidRDefault="00DB0966">
            <w:pPr>
              <w:jc w:val="right"/>
              <w:rPr>
                <w:rFonts w:ascii="Calibri" w:hAnsi="Calibri" w:cs="Calibri"/>
                <w:sz w:val="22"/>
                <w:szCs w:val="22"/>
              </w:rPr>
            </w:pPr>
            <w:r>
              <w:rPr>
                <w:rFonts w:ascii="Calibri" w:hAnsi="Calibri" w:cs="Calibri"/>
                <w:sz w:val="22"/>
                <w:szCs w:val="22"/>
              </w:rPr>
              <w:t>544,99</w:t>
            </w:r>
          </w:p>
        </w:tc>
        <w:tc>
          <w:tcPr>
            <w:tcW w:w="877" w:type="dxa"/>
            <w:tcBorders>
              <w:top w:val="nil"/>
              <w:left w:val="nil"/>
              <w:bottom w:val="single" w:sz="4" w:space="0" w:color="auto"/>
              <w:right w:val="single" w:sz="4" w:space="0" w:color="auto"/>
            </w:tcBorders>
            <w:noWrap/>
            <w:vAlign w:val="bottom"/>
            <w:hideMark/>
          </w:tcPr>
          <w:p w14:paraId="3B935928"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153%</w:t>
            </w:r>
          </w:p>
        </w:tc>
        <w:tc>
          <w:tcPr>
            <w:tcW w:w="804" w:type="dxa"/>
            <w:tcBorders>
              <w:top w:val="nil"/>
              <w:left w:val="nil"/>
              <w:bottom w:val="single" w:sz="4" w:space="0" w:color="auto"/>
              <w:right w:val="single" w:sz="4" w:space="0" w:color="auto"/>
            </w:tcBorders>
            <w:noWrap/>
            <w:vAlign w:val="bottom"/>
            <w:hideMark/>
          </w:tcPr>
          <w:p w14:paraId="1ED01924"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 </w:t>
            </w:r>
          </w:p>
        </w:tc>
        <w:tc>
          <w:tcPr>
            <w:tcW w:w="222" w:type="dxa"/>
            <w:vAlign w:val="center"/>
            <w:hideMark/>
          </w:tcPr>
          <w:p w14:paraId="30614A1A" w14:textId="77777777" w:rsidR="00DB0966" w:rsidRDefault="00DB0966">
            <w:pPr>
              <w:rPr>
                <w:sz w:val="20"/>
                <w:szCs w:val="20"/>
              </w:rPr>
            </w:pPr>
          </w:p>
        </w:tc>
      </w:tr>
      <w:tr w:rsidR="00DB0966" w14:paraId="538CFB93" w14:textId="77777777" w:rsidTr="00DB0966">
        <w:trPr>
          <w:trHeight w:val="290"/>
          <w:jc w:val="center"/>
        </w:trPr>
        <w:tc>
          <w:tcPr>
            <w:tcW w:w="665" w:type="dxa"/>
            <w:tcBorders>
              <w:top w:val="nil"/>
              <w:left w:val="single" w:sz="4" w:space="0" w:color="auto"/>
              <w:bottom w:val="single" w:sz="4" w:space="0" w:color="auto"/>
              <w:right w:val="single" w:sz="4" w:space="0" w:color="auto"/>
            </w:tcBorders>
            <w:noWrap/>
            <w:vAlign w:val="bottom"/>
            <w:hideMark/>
          </w:tcPr>
          <w:p w14:paraId="7280BFB5"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4223</w:t>
            </w:r>
          </w:p>
        </w:tc>
        <w:tc>
          <w:tcPr>
            <w:tcW w:w="4433" w:type="dxa"/>
            <w:tcBorders>
              <w:top w:val="nil"/>
              <w:left w:val="nil"/>
              <w:bottom w:val="single" w:sz="4" w:space="0" w:color="auto"/>
              <w:right w:val="single" w:sz="4" w:space="0" w:color="auto"/>
            </w:tcBorders>
            <w:noWrap/>
            <w:vAlign w:val="bottom"/>
            <w:hideMark/>
          </w:tcPr>
          <w:p w14:paraId="50476CA0" w14:textId="77777777" w:rsidR="00DB0966" w:rsidRDefault="00DB0966">
            <w:pPr>
              <w:rPr>
                <w:rFonts w:ascii="Calibri" w:hAnsi="Calibri" w:cs="Calibri"/>
                <w:color w:val="000000"/>
                <w:sz w:val="22"/>
                <w:szCs w:val="22"/>
              </w:rPr>
            </w:pPr>
            <w:r>
              <w:rPr>
                <w:rFonts w:ascii="Calibri" w:hAnsi="Calibri" w:cs="Calibri"/>
                <w:color w:val="000000"/>
                <w:sz w:val="22"/>
                <w:szCs w:val="22"/>
              </w:rPr>
              <w:t>Oprema za održavanje i zaštitu</w:t>
            </w:r>
          </w:p>
        </w:tc>
        <w:tc>
          <w:tcPr>
            <w:tcW w:w="1506" w:type="dxa"/>
            <w:tcBorders>
              <w:top w:val="nil"/>
              <w:left w:val="nil"/>
              <w:bottom w:val="single" w:sz="4" w:space="0" w:color="auto"/>
              <w:right w:val="single" w:sz="4" w:space="0" w:color="auto"/>
            </w:tcBorders>
            <w:noWrap/>
            <w:vAlign w:val="bottom"/>
            <w:hideMark/>
          </w:tcPr>
          <w:p w14:paraId="5F1F294A" w14:textId="77777777" w:rsidR="00DB0966" w:rsidRDefault="00DB0966">
            <w:pPr>
              <w:jc w:val="right"/>
              <w:rPr>
                <w:rFonts w:ascii="Calibri" w:hAnsi="Calibri" w:cs="Calibri"/>
                <w:color w:val="000000"/>
                <w:sz w:val="22"/>
                <w:szCs w:val="22"/>
              </w:rPr>
            </w:pPr>
            <w:r>
              <w:rPr>
                <w:rFonts w:ascii="Calibri" w:hAnsi="Calibri" w:cs="Calibri"/>
                <w:color w:val="000000"/>
                <w:sz w:val="22"/>
                <w:szCs w:val="22"/>
              </w:rPr>
              <w:t>16.402,33</w:t>
            </w:r>
          </w:p>
        </w:tc>
        <w:tc>
          <w:tcPr>
            <w:tcW w:w="1506" w:type="dxa"/>
            <w:tcBorders>
              <w:top w:val="nil"/>
              <w:left w:val="nil"/>
              <w:bottom w:val="single" w:sz="4" w:space="0" w:color="auto"/>
              <w:right w:val="single" w:sz="4" w:space="0" w:color="auto"/>
            </w:tcBorders>
            <w:shd w:val="clear" w:color="000000" w:fill="FFFFFF"/>
            <w:vAlign w:val="bottom"/>
            <w:hideMark/>
          </w:tcPr>
          <w:p w14:paraId="497FDCB1" w14:textId="77777777" w:rsidR="00DB0966" w:rsidRDefault="00DB0966">
            <w:pPr>
              <w:jc w:val="right"/>
              <w:rPr>
                <w:rFonts w:ascii="Calibri" w:hAnsi="Calibri" w:cs="Calibri"/>
                <w:sz w:val="20"/>
                <w:szCs w:val="20"/>
              </w:rPr>
            </w:pPr>
            <w:r>
              <w:rPr>
                <w:rFonts w:ascii="Calibri" w:hAnsi="Calibri" w:cs="Calibri"/>
                <w:sz w:val="20"/>
                <w:szCs w:val="20"/>
              </w:rPr>
              <w:t> </w:t>
            </w:r>
          </w:p>
        </w:tc>
        <w:tc>
          <w:tcPr>
            <w:tcW w:w="1506" w:type="dxa"/>
            <w:tcBorders>
              <w:top w:val="nil"/>
              <w:left w:val="nil"/>
              <w:bottom w:val="single" w:sz="4" w:space="0" w:color="auto"/>
              <w:right w:val="single" w:sz="4" w:space="0" w:color="auto"/>
            </w:tcBorders>
            <w:vAlign w:val="bottom"/>
            <w:hideMark/>
          </w:tcPr>
          <w:p w14:paraId="49423FDA" w14:textId="77777777" w:rsidR="00DB0966" w:rsidRDefault="00DB0966">
            <w:pPr>
              <w:jc w:val="right"/>
              <w:rPr>
                <w:rFonts w:ascii="Calibri" w:hAnsi="Calibri" w:cs="Calibri"/>
                <w:sz w:val="22"/>
                <w:szCs w:val="22"/>
              </w:rPr>
            </w:pPr>
            <w:r>
              <w:rPr>
                <w:rFonts w:ascii="Calibri" w:hAnsi="Calibri" w:cs="Calibri"/>
                <w:sz w:val="22"/>
                <w:szCs w:val="22"/>
              </w:rPr>
              <w:t>23.595,00</w:t>
            </w:r>
          </w:p>
        </w:tc>
        <w:tc>
          <w:tcPr>
            <w:tcW w:w="877" w:type="dxa"/>
            <w:tcBorders>
              <w:top w:val="nil"/>
              <w:left w:val="nil"/>
              <w:bottom w:val="single" w:sz="4" w:space="0" w:color="auto"/>
              <w:right w:val="single" w:sz="4" w:space="0" w:color="auto"/>
            </w:tcBorders>
            <w:noWrap/>
            <w:vAlign w:val="bottom"/>
            <w:hideMark/>
          </w:tcPr>
          <w:p w14:paraId="0D9867F6"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144%</w:t>
            </w:r>
          </w:p>
        </w:tc>
        <w:tc>
          <w:tcPr>
            <w:tcW w:w="804" w:type="dxa"/>
            <w:tcBorders>
              <w:top w:val="nil"/>
              <w:left w:val="nil"/>
              <w:bottom w:val="single" w:sz="4" w:space="0" w:color="auto"/>
              <w:right w:val="single" w:sz="4" w:space="0" w:color="auto"/>
            </w:tcBorders>
            <w:noWrap/>
            <w:vAlign w:val="bottom"/>
            <w:hideMark/>
          </w:tcPr>
          <w:p w14:paraId="2AD91313"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 </w:t>
            </w:r>
          </w:p>
        </w:tc>
        <w:tc>
          <w:tcPr>
            <w:tcW w:w="222" w:type="dxa"/>
            <w:vAlign w:val="center"/>
            <w:hideMark/>
          </w:tcPr>
          <w:p w14:paraId="64BD770C" w14:textId="77777777" w:rsidR="00DB0966" w:rsidRDefault="00DB0966">
            <w:pPr>
              <w:rPr>
                <w:sz w:val="20"/>
                <w:szCs w:val="20"/>
              </w:rPr>
            </w:pPr>
          </w:p>
        </w:tc>
      </w:tr>
      <w:tr w:rsidR="00DB0966" w14:paraId="5C48B9EC" w14:textId="77777777" w:rsidTr="00DB0966">
        <w:trPr>
          <w:trHeight w:val="290"/>
          <w:jc w:val="center"/>
        </w:trPr>
        <w:tc>
          <w:tcPr>
            <w:tcW w:w="665" w:type="dxa"/>
            <w:tcBorders>
              <w:top w:val="nil"/>
              <w:left w:val="single" w:sz="4" w:space="0" w:color="auto"/>
              <w:bottom w:val="single" w:sz="4" w:space="0" w:color="auto"/>
              <w:right w:val="single" w:sz="4" w:space="0" w:color="auto"/>
            </w:tcBorders>
            <w:noWrap/>
            <w:vAlign w:val="bottom"/>
            <w:hideMark/>
          </w:tcPr>
          <w:p w14:paraId="629C05AD"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4224</w:t>
            </w:r>
          </w:p>
        </w:tc>
        <w:tc>
          <w:tcPr>
            <w:tcW w:w="4433" w:type="dxa"/>
            <w:tcBorders>
              <w:top w:val="nil"/>
              <w:left w:val="nil"/>
              <w:bottom w:val="single" w:sz="4" w:space="0" w:color="auto"/>
              <w:right w:val="single" w:sz="4" w:space="0" w:color="auto"/>
            </w:tcBorders>
            <w:noWrap/>
            <w:vAlign w:val="bottom"/>
            <w:hideMark/>
          </w:tcPr>
          <w:p w14:paraId="16929E6F" w14:textId="77777777" w:rsidR="00DB0966" w:rsidRDefault="00DB0966">
            <w:pPr>
              <w:rPr>
                <w:rFonts w:ascii="Calibri" w:hAnsi="Calibri" w:cs="Calibri"/>
                <w:color w:val="000000"/>
                <w:sz w:val="22"/>
                <w:szCs w:val="22"/>
              </w:rPr>
            </w:pPr>
            <w:r>
              <w:rPr>
                <w:rFonts w:ascii="Calibri" w:hAnsi="Calibri" w:cs="Calibri"/>
                <w:color w:val="000000"/>
                <w:sz w:val="22"/>
                <w:szCs w:val="22"/>
              </w:rPr>
              <w:t>Medicinska i laboratorijska oprema</w:t>
            </w:r>
          </w:p>
        </w:tc>
        <w:tc>
          <w:tcPr>
            <w:tcW w:w="1506" w:type="dxa"/>
            <w:tcBorders>
              <w:top w:val="nil"/>
              <w:left w:val="nil"/>
              <w:bottom w:val="single" w:sz="4" w:space="0" w:color="auto"/>
              <w:right w:val="single" w:sz="4" w:space="0" w:color="auto"/>
            </w:tcBorders>
            <w:noWrap/>
            <w:vAlign w:val="bottom"/>
            <w:hideMark/>
          </w:tcPr>
          <w:p w14:paraId="11D4C0F9" w14:textId="77777777" w:rsidR="00DB0966" w:rsidRDefault="00DB0966">
            <w:pPr>
              <w:jc w:val="right"/>
              <w:rPr>
                <w:rFonts w:ascii="Calibri" w:hAnsi="Calibri" w:cs="Calibri"/>
                <w:color w:val="000000"/>
                <w:sz w:val="22"/>
                <w:szCs w:val="22"/>
              </w:rPr>
            </w:pPr>
            <w:r>
              <w:rPr>
                <w:rFonts w:ascii="Calibri" w:hAnsi="Calibri" w:cs="Calibri"/>
                <w:color w:val="000000"/>
                <w:sz w:val="22"/>
                <w:szCs w:val="22"/>
              </w:rPr>
              <w:t>402.836,63</w:t>
            </w:r>
          </w:p>
        </w:tc>
        <w:tc>
          <w:tcPr>
            <w:tcW w:w="1506" w:type="dxa"/>
            <w:tcBorders>
              <w:top w:val="nil"/>
              <w:left w:val="nil"/>
              <w:bottom w:val="single" w:sz="4" w:space="0" w:color="auto"/>
              <w:right w:val="single" w:sz="4" w:space="0" w:color="auto"/>
            </w:tcBorders>
            <w:shd w:val="clear" w:color="000000" w:fill="FFFFFF"/>
            <w:vAlign w:val="bottom"/>
            <w:hideMark/>
          </w:tcPr>
          <w:p w14:paraId="29FBD039" w14:textId="77777777" w:rsidR="00DB0966" w:rsidRDefault="00DB0966">
            <w:pPr>
              <w:jc w:val="right"/>
              <w:rPr>
                <w:rFonts w:ascii="Calibri" w:hAnsi="Calibri" w:cs="Calibri"/>
                <w:sz w:val="20"/>
                <w:szCs w:val="20"/>
              </w:rPr>
            </w:pPr>
            <w:r>
              <w:rPr>
                <w:rFonts w:ascii="Calibri" w:hAnsi="Calibri" w:cs="Calibri"/>
                <w:sz w:val="20"/>
                <w:szCs w:val="20"/>
              </w:rPr>
              <w:t> </w:t>
            </w:r>
          </w:p>
        </w:tc>
        <w:tc>
          <w:tcPr>
            <w:tcW w:w="1506" w:type="dxa"/>
            <w:tcBorders>
              <w:top w:val="nil"/>
              <w:left w:val="nil"/>
              <w:bottom w:val="single" w:sz="4" w:space="0" w:color="auto"/>
              <w:right w:val="single" w:sz="4" w:space="0" w:color="auto"/>
            </w:tcBorders>
            <w:vAlign w:val="bottom"/>
            <w:hideMark/>
          </w:tcPr>
          <w:p w14:paraId="3C6FE44A" w14:textId="77777777" w:rsidR="00DB0966" w:rsidRDefault="00DB0966">
            <w:pPr>
              <w:jc w:val="right"/>
              <w:rPr>
                <w:rFonts w:ascii="Calibri" w:hAnsi="Calibri" w:cs="Calibri"/>
                <w:sz w:val="22"/>
                <w:szCs w:val="22"/>
              </w:rPr>
            </w:pPr>
            <w:r>
              <w:rPr>
                <w:rFonts w:ascii="Calibri" w:hAnsi="Calibri" w:cs="Calibri"/>
                <w:sz w:val="22"/>
                <w:szCs w:val="22"/>
              </w:rPr>
              <w:t>323.767,04</w:t>
            </w:r>
          </w:p>
        </w:tc>
        <w:tc>
          <w:tcPr>
            <w:tcW w:w="877" w:type="dxa"/>
            <w:tcBorders>
              <w:top w:val="nil"/>
              <w:left w:val="nil"/>
              <w:bottom w:val="single" w:sz="4" w:space="0" w:color="auto"/>
              <w:right w:val="single" w:sz="4" w:space="0" w:color="auto"/>
            </w:tcBorders>
            <w:noWrap/>
            <w:vAlign w:val="bottom"/>
            <w:hideMark/>
          </w:tcPr>
          <w:p w14:paraId="2B95AC99"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80%</w:t>
            </w:r>
          </w:p>
        </w:tc>
        <w:tc>
          <w:tcPr>
            <w:tcW w:w="804" w:type="dxa"/>
            <w:tcBorders>
              <w:top w:val="nil"/>
              <w:left w:val="nil"/>
              <w:bottom w:val="single" w:sz="4" w:space="0" w:color="auto"/>
              <w:right w:val="single" w:sz="4" w:space="0" w:color="auto"/>
            </w:tcBorders>
            <w:noWrap/>
            <w:vAlign w:val="bottom"/>
            <w:hideMark/>
          </w:tcPr>
          <w:p w14:paraId="280B2886"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 </w:t>
            </w:r>
          </w:p>
        </w:tc>
        <w:tc>
          <w:tcPr>
            <w:tcW w:w="222" w:type="dxa"/>
            <w:vAlign w:val="center"/>
            <w:hideMark/>
          </w:tcPr>
          <w:p w14:paraId="4F1E6655" w14:textId="77777777" w:rsidR="00DB0966" w:rsidRDefault="00DB0966">
            <w:pPr>
              <w:rPr>
                <w:sz w:val="20"/>
                <w:szCs w:val="20"/>
              </w:rPr>
            </w:pPr>
          </w:p>
        </w:tc>
      </w:tr>
      <w:tr w:rsidR="00DB0966" w14:paraId="268B9BAC" w14:textId="77777777" w:rsidTr="00DB0966">
        <w:trPr>
          <w:trHeight w:val="290"/>
          <w:jc w:val="center"/>
        </w:trPr>
        <w:tc>
          <w:tcPr>
            <w:tcW w:w="665" w:type="dxa"/>
            <w:tcBorders>
              <w:top w:val="nil"/>
              <w:left w:val="single" w:sz="4" w:space="0" w:color="auto"/>
              <w:bottom w:val="single" w:sz="4" w:space="0" w:color="auto"/>
              <w:right w:val="single" w:sz="4" w:space="0" w:color="auto"/>
            </w:tcBorders>
            <w:noWrap/>
            <w:vAlign w:val="bottom"/>
            <w:hideMark/>
          </w:tcPr>
          <w:p w14:paraId="6D1173EA"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4225</w:t>
            </w:r>
          </w:p>
        </w:tc>
        <w:tc>
          <w:tcPr>
            <w:tcW w:w="4433" w:type="dxa"/>
            <w:tcBorders>
              <w:top w:val="nil"/>
              <w:left w:val="nil"/>
              <w:bottom w:val="single" w:sz="4" w:space="0" w:color="auto"/>
              <w:right w:val="single" w:sz="4" w:space="0" w:color="auto"/>
            </w:tcBorders>
            <w:noWrap/>
            <w:vAlign w:val="bottom"/>
            <w:hideMark/>
          </w:tcPr>
          <w:p w14:paraId="5198C866" w14:textId="77777777" w:rsidR="00DB0966" w:rsidRDefault="00DB0966">
            <w:pPr>
              <w:rPr>
                <w:rFonts w:ascii="Calibri" w:hAnsi="Calibri" w:cs="Calibri"/>
                <w:color w:val="000000"/>
                <w:sz w:val="22"/>
                <w:szCs w:val="22"/>
              </w:rPr>
            </w:pPr>
            <w:r>
              <w:rPr>
                <w:rFonts w:ascii="Calibri" w:hAnsi="Calibri" w:cs="Calibri"/>
                <w:color w:val="000000"/>
                <w:sz w:val="22"/>
                <w:szCs w:val="22"/>
              </w:rPr>
              <w:t>Instrumenti, uređaji i strojevi</w:t>
            </w:r>
          </w:p>
        </w:tc>
        <w:tc>
          <w:tcPr>
            <w:tcW w:w="1506" w:type="dxa"/>
            <w:tcBorders>
              <w:top w:val="nil"/>
              <w:left w:val="nil"/>
              <w:bottom w:val="single" w:sz="4" w:space="0" w:color="auto"/>
              <w:right w:val="single" w:sz="4" w:space="0" w:color="auto"/>
            </w:tcBorders>
            <w:noWrap/>
            <w:vAlign w:val="bottom"/>
            <w:hideMark/>
          </w:tcPr>
          <w:p w14:paraId="6D4CDC93" w14:textId="77777777" w:rsidR="00DB0966" w:rsidRDefault="00DB0966">
            <w:pPr>
              <w:jc w:val="right"/>
              <w:rPr>
                <w:rFonts w:ascii="Calibri" w:hAnsi="Calibri" w:cs="Calibri"/>
                <w:color w:val="000000"/>
                <w:sz w:val="22"/>
                <w:szCs w:val="22"/>
              </w:rPr>
            </w:pPr>
            <w:r>
              <w:rPr>
                <w:rFonts w:ascii="Calibri" w:hAnsi="Calibri" w:cs="Calibri"/>
                <w:color w:val="000000"/>
                <w:sz w:val="22"/>
                <w:szCs w:val="22"/>
              </w:rPr>
              <w:t>1.089,41</w:t>
            </w:r>
          </w:p>
        </w:tc>
        <w:tc>
          <w:tcPr>
            <w:tcW w:w="1506" w:type="dxa"/>
            <w:tcBorders>
              <w:top w:val="nil"/>
              <w:left w:val="nil"/>
              <w:bottom w:val="single" w:sz="4" w:space="0" w:color="auto"/>
              <w:right w:val="single" w:sz="4" w:space="0" w:color="auto"/>
            </w:tcBorders>
            <w:shd w:val="clear" w:color="000000" w:fill="FFFFFF"/>
            <w:vAlign w:val="bottom"/>
            <w:hideMark/>
          </w:tcPr>
          <w:p w14:paraId="38B6E658" w14:textId="77777777" w:rsidR="00DB0966" w:rsidRDefault="00DB0966">
            <w:pPr>
              <w:jc w:val="right"/>
              <w:rPr>
                <w:rFonts w:ascii="Calibri" w:hAnsi="Calibri" w:cs="Calibri"/>
                <w:sz w:val="20"/>
                <w:szCs w:val="20"/>
              </w:rPr>
            </w:pPr>
            <w:r>
              <w:rPr>
                <w:rFonts w:ascii="Calibri" w:hAnsi="Calibri" w:cs="Calibri"/>
                <w:sz w:val="20"/>
                <w:szCs w:val="20"/>
              </w:rPr>
              <w:t> </w:t>
            </w:r>
          </w:p>
        </w:tc>
        <w:tc>
          <w:tcPr>
            <w:tcW w:w="1506" w:type="dxa"/>
            <w:tcBorders>
              <w:top w:val="nil"/>
              <w:left w:val="nil"/>
              <w:bottom w:val="single" w:sz="4" w:space="0" w:color="auto"/>
              <w:right w:val="single" w:sz="4" w:space="0" w:color="auto"/>
            </w:tcBorders>
            <w:vAlign w:val="bottom"/>
            <w:hideMark/>
          </w:tcPr>
          <w:p w14:paraId="5BAF8A05" w14:textId="77777777" w:rsidR="00DB0966" w:rsidRDefault="00DB0966">
            <w:pPr>
              <w:jc w:val="right"/>
              <w:rPr>
                <w:rFonts w:ascii="Calibri" w:hAnsi="Calibri" w:cs="Calibri"/>
                <w:sz w:val="22"/>
                <w:szCs w:val="22"/>
              </w:rPr>
            </w:pPr>
            <w:r>
              <w:rPr>
                <w:rFonts w:ascii="Calibri" w:hAnsi="Calibri" w:cs="Calibri"/>
                <w:sz w:val="22"/>
                <w:szCs w:val="22"/>
              </w:rPr>
              <w:t>947,80</w:t>
            </w:r>
          </w:p>
        </w:tc>
        <w:tc>
          <w:tcPr>
            <w:tcW w:w="877" w:type="dxa"/>
            <w:tcBorders>
              <w:top w:val="nil"/>
              <w:left w:val="nil"/>
              <w:bottom w:val="single" w:sz="4" w:space="0" w:color="auto"/>
              <w:right w:val="single" w:sz="4" w:space="0" w:color="auto"/>
            </w:tcBorders>
            <w:noWrap/>
            <w:vAlign w:val="bottom"/>
            <w:hideMark/>
          </w:tcPr>
          <w:p w14:paraId="784EC9AA"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87%</w:t>
            </w:r>
          </w:p>
        </w:tc>
        <w:tc>
          <w:tcPr>
            <w:tcW w:w="804" w:type="dxa"/>
            <w:tcBorders>
              <w:top w:val="nil"/>
              <w:left w:val="nil"/>
              <w:bottom w:val="single" w:sz="4" w:space="0" w:color="auto"/>
              <w:right w:val="single" w:sz="4" w:space="0" w:color="auto"/>
            </w:tcBorders>
            <w:noWrap/>
            <w:vAlign w:val="bottom"/>
            <w:hideMark/>
          </w:tcPr>
          <w:p w14:paraId="019B7586"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 </w:t>
            </w:r>
          </w:p>
        </w:tc>
        <w:tc>
          <w:tcPr>
            <w:tcW w:w="222" w:type="dxa"/>
            <w:vAlign w:val="center"/>
            <w:hideMark/>
          </w:tcPr>
          <w:p w14:paraId="43F84569" w14:textId="77777777" w:rsidR="00DB0966" w:rsidRDefault="00DB0966">
            <w:pPr>
              <w:rPr>
                <w:sz w:val="20"/>
                <w:szCs w:val="20"/>
              </w:rPr>
            </w:pPr>
          </w:p>
        </w:tc>
      </w:tr>
      <w:tr w:rsidR="00DB0966" w14:paraId="5A283901" w14:textId="77777777" w:rsidTr="00DB0966">
        <w:trPr>
          <w:trHeight w:val="290"/>
          <w:jc w:val="center"/>
        </w:trPr>
        <w:tc>
          <w:tcPr>
            <w:tcW w:w="665" w:type="dxa"/>
            <w:tcBorders>
              <w:top w:val="nil"/>
              <w:left w:val="single" w:sz="4" w:space="0" w:color="auto"/>
              <w:bottom w:val="single" w:sz="4" w:space="0" w:color="auto"/>
              <w:right w:val="single" w:sz="4" w:space="0" w:color="auto"/>
            </w:tcBorders>
            <w:noWrap/>
            <w:vAlign w:val="bottom"/>
            <w:hideMark/>
          </w:tcPr>
          <w:p w14:paraId="54DFE236"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4227</w:t>
            </w:r>
          </w:p>
        </w:tc>
        <w:tc>
          <w:tcPr>
            <w:tcW w:w="4433" w:type="dxa"/>
            <w:tcBorders>
              <w:top w:val="nil"/>
              <w:left w:val="nil"/>
              <w:bottom w:val="single" w:sz="4" w:space="0" w:color="auto"/>
              <w:right w:val="single" w:sz="4" w:space="0" w:color="auto"/>
            </w:tcBorders>
            <w:noWrap/>
            <w:vAlign w:val="bottom"/>
            <w:hideMark/>
          </w:tcPr>
          <w:p w14:paraId="2BF60B75" w14:textId="77777777" w:rsidR="00DB0966" w:rsidRDefault="00DB0966">
            <w:pPr>
              <w:rPr>
                <w:rFonts w:ascii="Calibri" w:hAnsi="Calibri" w:cs="Calibri"/>
                <w:color w:val="000000"/>
                <w:sz w:val="22"/>
                <w:szCs w:val="22"/>
              </w:rPr>
            </w:pPr>
            <w:r>
              <w:rPr>
                <w:rFonts w:ascii="Calibri" w:hAnsi="Calibri" w:cs="Calibri"/>
                <w:color w:val="000000"/>
                <w:sz w:val="22"/>
                <w:szCs w:val="22"/>
              </w:rPr>
              <w:t>Uređaji, strojevi i oprema za ostale namjene</w:t>
            </w:r>
          </w:p>
        </w:tc>
        <w:tc>
          <w:tcPr>
            <w:tcW w:w="1506" w:type="dxa"/>
            <w:tcBorders>
              <w:top w:val="nil"/>
              <w:left w:val="nil"/>
              <w:bottom w:val="single" w:sz="4" w:space="0" w:color="auto"/>
              <w:right w:val="single" w:sz="4" w:space="0" w:color="auto"/>
            </w:tcBorders>
            <w:noWrap/>
            <w:vAlign w:val="bottom"/>
            <w:hideMark/>
          </w:tcPr>
          <w:p w14:paraId="1922592E" w14:textId="77777777" w:rsidR="00DB0966" w:rsidRDefault="00DB0966">
            <w:pPr>
              <w:jc w:val="right"/>
              <w:rPr>
                <w:rFonts w:ascii="Calibri" w:hAnsi="Calibri" w:cs="Calibri"/>
                <w:color w:val="000000"/>
                <w:sz w:val="22"/>
                <w:szCs w:val="22"/>
              </w:rPr>
            </w:pPr>
            <w:r>
              <w:rPr>
                <w:rFonts w:ascii="Calibri" w:hAnsi="Calibri" w:cs="Calibri"/>
                <w:color w:val="000000"/>
                <w:sz w:val="22"/>
                <w:szCs w:val="22"/>
              </w:rPr>
              <w:t>77.588,69</w:t>
            </w:r>
          </w:p>
        </w:tc>
        <w:tc>
          <w:tcPr>
            <w:tcW w:w="1506" w:type="dxa"/>
            <w:tcBorders>
              <w:top w:val="nil"/>
              <w:left w:val="nil"/>
              <w:bottom w:val="single" w:sz="4" w:space="0" w:color="auto"/>
              <w:right w:val="single" w:sz="4" w:space="0" w:color="auto"/>
            </w:tcBorders>
            <w:shd w:val="clear" w:color="000000" w:fill="FFFFFF"/>
            <w:vAlign w:val="bottom"/>
            <w:hideMark/>
          </w:tcPr>
          <w:p w14:paraId="55C3ECBC" w14:textId="77777777" w:rsidR="00DB0966" w:rsidRDefault="00DB0966">
            <w:pPr>
              <w:jc w:val="right"/>
              <w:rPr>
                <w:rFonts w:ascii="Calibri" w:hAnsi="Calibri" w:cs="Calibri"/>
                <w:sz w:val="20"/>
                <w:szCs w:val="20"/>
              </w:rPr>
            </w:pPr>
            <w:r>
              <w:rPr>
                <w:rFonts w:ascii="Calibri" w:hAnsi="Calibri" w:cs="Calibri"/>
                <w:sz w:val="20"/>
                <w:szCs w:val="20"/>
              </w:rPr>
              <w:t> </w:t>
            </w:r>
          </w:p>
        </w:tc>
        <w:tc>
          <w:tcPr>
            <w:tcW w:w="1506" w:type="dxa"/>
            <w:tcBorders>
              <w:top w:val="nil"/>
              <w:left w:val="nil"/>
              <w:bottom w:val="single" w:sz="4" w:space="0" w:color="auto"/>
              <w:right w:val="single" w:sz="4" w:space="0" w:color="auto"/>
            </w:tcBorders>
            <w:vAlign w:val="bottom"/>
            <w:hideMark/>
          </w:tcPr>
          <w:p w14:paraId="585DDCE2" w14:textId="77777777" w:rsidR="00DB0966" w:rsidRDefault="00DB0966">
            <w:pPr>
              <w:jc w:val="right"/>
              <w:rPr>
                <w:rFonts w:ascii="Calibri" w:hAnsi="Calibri" w:cs="Calibri"/>
                <w:sz w:val="22"/>
                <w:szCs w:val="22"/>
              </w:rPr>
            </w:pPr>
            <w:r>
              <w:rPr>
                <w:rFonts w:ascii="Calibri" w:hAnsi="Calibri" w:cs="Calibri"/>
                <w:sz w:val="22"/>
                <w:szCs w:val="22"/>
              </w:rPr>
              <w:t>9.001,46</w:t>
            </w:r>
          </w:p>
        </w:tc>
        <w:tc>
          <w:tcPr>
            <w:tcW w:w="877" w:type="dxa"/>
            <w:tcBorders>
              <w:top w:val="nil"/>
              <w:left w:val="nil"/>
              <w:bottom w:val="single" w:sz="4" w:space="0" w:color="auto"/>
              <w:right w:val="single" w:sz="4" w:space="0" w:color="auto"/>
            </w:tcBorders>
            <w:noWrap/>
            <w:vAlign w:val="bottom"/>
            <w:hideMark/>
          </w:tcPr>
          <w:p w14:paraId="23EFBC38"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12%</w:t>
            </w:r>
          </w:p>
        </w:tc>
        <w:tc>
          <w:tcPr>
            <w:tcW w:w="804" w:type="dxa"/>
            <w:tcBorders>
              <w:top w:val="nil"/>
              <w:left w:val="nil"/>
              <w:bottom w:val="single" w:sz="4" w:space="0" w:color="auto"/>
              <w:right w:val="single" w:sz="4" w:space="0" w:color="auto"/>
            </w:tcBorders>
            <w:noWrap/>
            <w:vAlign w:val="bottom"/>
            <w:hideMark/>
          </w:tcPr>
          <w:p w14:paraId="3F147C52"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 </w:t>
            </w:r>
          </w:p>
        </w:tc>
        <w:tc>
          <w:tcPr>
            <w:tcW w:w="222" w:type="dxa"/>
            <w:vAlign w:val="center"/>
            <w:hideMark/>
          </w:tcPr>
          <w:p w14:paraId="0FF236AD" w14:textId="77777777" w:rsidR="00DB0966" w:rsidRDefault="00DB0966">
            <w:pPr>
              <w:rPr>
                <w:sz w:val="20"/>
                <w:szCs w:val="20"/>
              </w:rPr>
            </w:pPr>
          </w:p>
        </w:tc>
      </w:tr>
      <w:tr w:rsidR="00DB0966" w14:paraId="0DA15574" w14:textId="77777777" w:rsidTr="00DB0966">
        <w:trPr>
          <w:trHeight w:val="290"/>
          <w:jc w:val="center"/>
        </w:trPr>
        <w:tc>
          <w:tcPr>
            <w:tcW w:w="665" w:type="dxa"/>
            <w:tcBorders>
              <w:top w:val="nil"/>
              <w:left w:val="single" w:sz="4" w:space="0" w:color="auto"/>
              <w:bottom w:val="single" w:sz="4" w:space="0" w:color="auto"/>
              <w:right w:val="single" w:sz="4" w:space="0" w:color="auto"/>
            </w:tcBorders>
            <w:shd w:val="clear" w:color="000000" w:fill="FFFFFF"/>
            <w:noWrap/>
            <w:vAlign w:val="bottom"/>
            <w:hideMark/>
          </w:tcPr>
          <w:p w14:paraId="541FB101" w14:textId="77777777" w:rsidR="00DB0966" w:rsidRDefault="00DB0966">
            <w:pPr>
              <w:jc w:val="center"/>
              <w:rPr>
                <w:rFonts w:ascii="Calibri" w:hAnsi="Calibri" w:cs="Calibri"/>
                <w:b/>
                <w:bCs/>
                <w:sz w:val="22"/>
                <w:szCs w:val="22"/>
              </w:rPr>
            </w:pPr>
            <w:r>
              <w:rPr>
                <w:rFonts w:ascii="Calibri" w:hAnsi="Calibri" w:cs="Calibri"/>
                <w:b/>
                <w:bCs/>
                <w:sz w:val="22"/>
                <w:szCs w:val="22"/>
              </w:rPr>
              <w:t>426</w:t>
            </w:r>
          </w:p>
        </w:tc>
        <w:tc>
          <w:tcPr>
            <w:tcW w:w="4433" w:type="dxa"/>
            <w:tcBorders>
              <w:top w:val="nil"/>
              <w:left w:val="nil"/>
              <w:bottom w:val="single" w:sz="4" w:space="0" w:color="auto"/>
              <w:right w:val="single" w:sz="4" w:space="0" w:color="auto"/>
            </w:tcBorders>
            <w:vAlign w:val="bottom"/>
            <w:hideMark/>
          </w:tcPr>
          <w:p w14:paraId="5ED664CE" w14:textId="77777777" w:rsidR="00DB0966" w:rsidRDefault="00DB0966">
            <w:pPr>
              <w:rPr>
                <w:rFonts w:ascii="Calibri" w:hAnsi="Calibri" w:cs="Calibri"/>
                <w:b/>
                <w:bCs/>
                <w:sz w:val="22"/>
                <w:szCs w:val="22"/>
              </w:rPr>
            </w:pPr>
            <w:r>
              <w:rPr>
                <w:rFonts w:ascii="Calibri" w:hAnsi="Calibri" w:cs="Calibri"/>
                <w:b/>
                <w:bCs/>
                <w:sz w:val="22"/>
                <w:szCs w:val="22"/>
              </w:rPr>
              <w:t>Nematerijalna proizvedena imovina</w:t>
            </w:r>
          </w:p>
        </w:tc>
        <w:tc>
          <w:tcPr>
            <w:tcW w:w="1506" w:type="dxa"/>
            <w:tcBorders>
              <w:top w:val="nil"/>
              <w:left w:val="nil"/>
              <w:bottom w:val="single" w:sz="4" w:space="0" w:color="auto"/>
              <w:right w:val="single" w:sz="4" w:space="0" w:color="auto"/>
            </w:tcBorders>
            <w:noWrap/>
            <w:vAlign w:val="bottom"/>
            <w:hideMark/>
          </w:tcPr>
          <w:p w14:paraId="61E60CD3" w14:textId="77777777" w:rsidR="00DB0966" w:rsidRDefault="00DB0966">
            <w:pPr>
              <w:jc w:val="right"/>
              <w:rPr>
                <w:rFonts w:ascii="Calibri" w:hAnsi="Calibri" w:cs="Calibri"/>
                <w:b/>
                <w:bCs/>
                <w:sz w:val="22"/>
                <w:szCs w:val="22"/>
              </w:rPr>
            </w:pPr>
            <w:r>
              <w:rPr>
                <w:rFonts w:ascii="Calibri" w:hAnsi="Calibri" w:cs="Calibri"/>
                <w:b/>
                <w:bCs/>
                <w:sz w:val="22"/>
                <w:szCs w:val="22"/>
              </w:rPr>
              <w:t>22.344,91</w:t>
            </w:r>
          </w:p>
        </w:tc>
        <w:tc>
          <w:tcPr>
            <w:tcW w:w="1506" w:type="dxa"/>
            <w:tcBorders>
              <w:top w:val="nil"/>
              <w:left w:val="nil"/>
              <w:bottom w:val="single" w:sz="4" w:space="0" w:color="auto"/>
              <w:right w:val="single" w:sz="4" w:space="0" w:color="auto"/>
            </w:tcBorders>
            <w:noWrap/>
            <w:vAlign w:val="bottom"/>
            <w:hideMark/>
          </w:tcPr>
          <w:p w14:paraId="5186DA43" w14:textId="77777777" w:rsidR="00DB0966" w:rsidRDefault="00DB0966">
            <w:pPr>
              <w:jc w:val="right"/>
              <w:rPr>
                <w:rFonts w:ascii="Calibri" w:hAnsi="Calibri" w:cs="Calibri"/>
                <w:b/>
                <w:bCs/>
                <w:sz w:val="22"/>
                <w:szCs w:val="22"/>
              </w:rPr>
            </w:pPr>
            <w:r>
              <w:rPr>
                <w:rFonts w:ascii="Calibri" w:hAnsi="Calibri" w:cs="Calibri"/>
                <w:b/>
                <w:bCs/>
                <w:sz w:val="22"/>
                <w:szCs w:val="22"/>
              </w:rPr>
              <w:t> </w:t>
            </w:r>
          </w:p>
        </w:tc>
        <w:tc>
          <w:tcPr>
            <w:tcW w:w="1506" w:type="dxa"/>
            <w:tcBorders>
              <w:top w:val="nil"/>
              <w:left w:val="nil"/>
              <w:bottom w:val="single" w:sz="4" w:space="0" w:color="auto"/>
              <w:right w:val="single" w:sz="4" w:space="0" w:color="auto"/>
            </w:tcBorders>
            <w:noWrap/>
            <w:vAlign w:val="bottom"/>
            <w:hideMark/>
          </w:tcPr>
          <w:p w14:paraId="3D700D7D" w14:textId="77777777" w:rsidR="00DB0966" w:rsidRDefault="00DB0966">
            <w:pPr>
              <w:jc w:val="right"/>
              <w:rPr>
                <w:rFonts w:ascii="Calibri" w:hAnsi="Calibri" w:cs="Calibri"/>
                <w:b/>
                <w:bCs/>
                <w:sz w:val="22"/>
                <w:szCs w:val="22"/>
              </w:rPr>
            </w:pPr>
            <w:r>
              <w:rPr>
                <w:rFonts w:ascii="Calibri" w:hAnsi="Calibri" w:cs="Calibri"/>
                <w:b/>
                <w:bCs/>
                <w:sz w:val="22"/>
                <w:szCs w:val="22"/>
              </w:rPr>
              <w:t>10.461,07</w:t>
            </w:r>
          </w:p>
        </w:tc>
        <w:tc>
          <w:tcPr>
            <w:tcW w:w="877" w:type="dxa"/>
            <w:tcBorders>
              <w:top w:val="nil"/>
              <w:left w:val="nil"/>
              <w:bottom w:val="single" w:sz="4" w:space="0" w:color="auto"/>
              <w:right w:val="single" w:sz="4" w:space="0" w:color="auto"/>
            </w:tcBorders>
            <w:noWrap/>
            <w:vAlign w:val="bottom"/>
            <w:hideMark/>
          </w:tcPr>
          <w:p w14:paraId="0EC24363"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 </w:t>
            </w:r>
          </w:p>
        </w:tc>
        <w:tc>
          <w:tcPr>
            <w:tcW w:w="804" w:type="dxa"/>
            <w:tcBorders>
              <w:top w:val="nil"/>
              <w:left w:val="nil"/>
              <w:bottom w:val="single" w:sz="4" w:space="0" w:color="auto"/>
              <w:right w:val="single" w:sz="4" w:space="0" w:color="auto"/>
            </w:tcBorders>
            <w:noWrap/>
            <w:vAlign w:val="bottom"/>
            <w:hideMark/>
          </w:tcPr>
          <w:p w14:paraId="4D9FF1AC"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 </w:t>
            </w:r>
          </w:p>
        </w:tc>
        <w:tc>
          <w:tcPr>
            <w:tcW w:w="222" w:type="dxa"/>
            <w:vAlign w:val="center"/>
            <w:hideMark/>
          </w:tcPr>
          <w:p w14:paraId="0C0742FB" w14:textId="77777777" w:rsidR="00DB0966" w:rsidRDefault="00DB0966">
            <w:pPr>
              <w:rPr>
                <w:sz w:val="20"/>
                <w:szCs w:val="20"/>
              </w:rPr>
            </w:pPr>
          </w:p>
        </w:tc>
      </w:tr>
      <w:tr w:rsidR="00DB0966" w14:paraId="0E1C86DA" w14:textId="77777777" w:rsidTr="00DB0966">
        <w:trPr>
          <w:trHeight w:val="290"/>
          <w:jc w:val="center"/>
        </w:trPr>
        <w:tc>
          <w:tcPr>
            <w:tcW w:w="665" w:type="dxa"/>
            <w:tcBorders>
              <w:top w:val="nil"/>
              <w:left w:val="single" w:sz="4" w:space="0" w:color="auto"/>
              <w:bottom w:val="single" w:sz="4" w:space="0" w:color="auto"/>
              <w:right w:val="single" w:sz="4" w:space="0" w:color="auto"/>
            </w:tcBorders>
            <w:noWrap/>
            <w:vAlign w:val="bottom"/>
            <w:hideMark/>
          </w:tcPr>
          <w:p w14:paraId="0157F473" w14:textId="77777777" w:rsidR="00DB0966" w:rsidRDefault="00DB0966">
            <w:pPr>
              <w:jc w:val="center"/>
              <w:rPr>
                <w:rFonts w:ascii="Calibri" w:hAnsi="Calibri" w:cs="Calibri"/>
                <w:sz w:val="22"/>
                <w:szCs w:val="22"/>
              </w:rPr>
            </w:pPr>
            <w:r>
              <w:rPr>
                <w:rFonts w:ascii="Calibri" w:hAnsi="Calibri" w:cs="Calibri"/>
                <w:sz w:val="22"/>
                <w:szCs w:val="22"/>
              </w:rPr>
              <w:t>4262</w:t>
            </w:r>
          </w:p>
        </w:tc>
        <w:tc>
          <w:tcPr>
            <w:tcW w:w="4433" w:type="dxa"/>
            <w:tcBorders>
              <w:top w:val="nil"/>
              <w:left w:val="nil"/>
              <w:bottom w:val="single" w:sz="4" w:space="0" w:color="auto"/>
              <w:right w:val="single" w:sz="4" w:space="0" w:color="auto"/>
            </w:tcBorders>
            <w:noWrap/>
            <w:vAlign w:val="bottom"/>
            <w:hideMark/>
          </w:tcPr>
          <w:p w14:paraId="264980D3" w14:textId="77777777" w:rsidR="00DB0966" w:rsidRDefault="00DB0966">
            <w:pPr>
              <w:rPr>
                <w:rFonts w:ascii="Calibri" w:hAnsi="Calibri" w:cs="Calibri"/>
                <w:sz w:val="22"/>
                <w:szCs w:val="22"/>
              </w:rPr>
            </w:pPr>
            <w:r>
              <w:rPr>
                <w:rFonts w:ascii="Calibri" w:hAnsi="Calibri" w:cs="Calibri"/>
                <w:sz w:val="22"/>
                <w:szCs w:val="22"/>
              </w:rPr>
              <w:t>Ulaganja u računalne programe</w:t>
            </w:r>
          </w:p>
        </w:tc>
        <w:tc>
          <w:tcPr>
            <w:tcW w:w="1506" w:type="dxa"/>
            <w:tcBorders>
              <w:top w:val="nil"/>
              <w:left w:val="nil"/>
              <w:bottom w:val="single" w:sz="4" w:space="0" w:color="auto"/>
              <w:right w:val="single" w:sz="4" w:space="0" w:color="auto"/>
            </w:tcBorders>
            <w:noWrap/>
            <w:vAlign w:val="bottom"/>
            <w:hideMark/>
          </w:tcPr>
          <w:p w14:paraId="6CDFD619" w14:textId="77777777" w:rsidR="00DB0966" w:rsidRDefault="00DB0966">
            <w:pPr>
              <w:jc w:val="right"/>
              <w:rPr>
                <w:rFonts w:ascii="Calibri" w:hAnsi="Calibri" w:cs="Calibri"/>
                <w:sz w:val="22"/>
                <w:szCs w:val="22"/>
              </w:rPr>
            </w:pPr>
            <w:r>
              <w:rPr>
                <w:rFonts w:ascii="Calibri" w:hAnsi="Calibri" w:cs="Calibri"/>
                <w:sz w:val="22"/>
                <w:szCs w:val="22"/>
              </w:rPr>
              <w:t>22.344,91</w:t>
            </w:r>
          </w:p>
        </w:tc>
        <w:tc>
          <w:tcPr>
            <w:tcW w:w="1506" w:type="dxa"/>
            <w:tcBorders>
              <w:top w:val="nil"/>
              <w:left w:val="nil"/>
              <w:bottom w:val="single" w:sz="4" w:space="0" w:color="auto"/>
              <w:right w:val="single" w:sz="4" w:space="0" w:color="auto"/>
            </w:tcBorders>
            <w:vAlign w:val="bottom"/>
            <w:hideMark/>
          </w:tcPr>
          <w:p w14:paraId="6225724E" w14:textId="77777777" w:rsidR="00DB0966" w:rsidRDefault="00DB0966">
            <w:pPr>
              <w:jc w:val="right"/>
              <w:rPr>
                <w:rFonts w:ascii="Calibri" w:hAnsi="Calibri" w:cs="Calibri"/>
                <w:sz w:val="20"/>
                <w:szCs w:val="20"/>
              </w:rPr>
            </w:pPr>
            <w:r>
              <w:rPr>
                <w:rFonts w:ascii="Calibri" w:hAnsi="Calibri" w:cs="Calibri"/>
                <w:sz w:val="20"/>
                <w:szCs w:val="20"/>
              </w:rPr>
              <w:t> </w:t>
            </w:r>
          </w:p>
        </w:tc>
        <w:tc>
          <w:tcPr>
            <w:tcW w:w="1506" w:type="dxa"/>
            <w:tcBorders>
              <w:top w:val="nil"/>
              <w:left w:val="nil"/>
              <w:bottom w:val="single" w:sz="4" w:space="0" w:color="auto"/>
              <w:right w:val="single" w:sz="4" w:space="0" w:color="auto"/>
            </w:tcBorders>
            <w:vAlign w:val="bottom"/>
            <w:hideMark/>
          </w:tcPr>
          <w:p w14:paraId="519F0E40" w14:textId="77777777" w:rsidR="00DB0966" w:rsidRDefault="00DB0966">
            <w:pPr>
              <w:jc w:val="right"/>
              <w:rPr>
                <w:rFonts w:ascii="Calibri" w:hAnsi="Calibri" w:cs="Calibri"/>
                <w:sz w:val="22"/>
                <w:szCs w:val="22"/>
              </w:rPr>
            </w:pPr>
            <w:r>
              <w:rPr>
                <w:rFonts w:ascii="Calibri" w:hAnsi="Calibri" w:cs="Calibri"/>
                <w:sz w:val="22"/>
                <w:szCs w:val="22"/>
              </w:rPr>
              <w:t>10.461,07</w:t>
            </w:r>
          </w:p>
        </w:tc>
        <w:tc>
          <w:tcPr>
            <w:tcW w:w="877" w:type="dxa"/>
            <w:tcBorders>
              <w:top w:val="nil"/>
              <w:left w:val="nil"/>
              <w:bottom w:val="single" w:sz="4" w:space="0" w:color="auto"/>
              <w:right w:val="single" w:sz="4" w:space="0" w:color="auto"/>
            </w:tcBorders>
            <w:noWrap/>
            <w:vAlign w:val="bottom"/>
            <w:hideMark/>
          </w:tcPr>
          <w:p w14:paraId="5DF28703"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 </w:t>
            </w:r>
          </w:p>
        </w:tc>
        <w:tc>
          <w:tcPr>
            <w:tcW w:w="804" w:type="dxa"/>
            <w:tcBorders>
              <w:top w:val="nil"/>
              <w:left w:val="nil"/>
              <w:bottom w:val="single" w:sz="4" w:space="0" w:color="auto"/>
              <w:right w:val="single" w:sz="4" w:space="0" w:color="auto"/>
            </w:tcBorders>
            <w:noWrap/>
            <w:vAlign w:val="bottom"/>
            <w:hideMark/>
          </w:tcPr>
          <w:p w14:paraId="3C326F28"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 </w:t>
            </w:r>
          </w:p>
        </w:tc>
        <w:tc>
          <w:tcPr>
            <w:tcW w:w="222" w:type="dxa"/>
            <w:vAlign w:val="center"/>
            <w:hideMark/>
          </w:tcPr>
          <w:p w14:paraId="75DF2F0A" w14:textId="77777777" w:rsidR="00DB0966" w:rsidRDefault="00DB0966">
            <w:pPr>
              <w:rPr>
                <w:sz w:val="20"/>
                <w:szCs w:val="20"/>
              </w:rPr>
            </w:pPr>
          </w:p>
        </w:tc>
      </w:tr>
      <w:tr w:rsidR="00DB0966" w14:paraId="441C9114" w14:textId="77777777" w:rsidTr="00DB0966">
        <w:trPr>
          <w:trHeight w:val="580"/>
          <w:jc w:val="center"/>
        </w:trPr>
        <w:tc>
          <w:tcPr>
            <w:tcW w:w="665" w:type="dxa"/>
            <w:tcBorders>
              <w:top w:val="nil"/>
              <w:left w:val="single" w:sz="4" w:space="0" w:color="auto"/>
              <w:bottom w:val="single" w:sz="4" w:space="0" w:color="auto"/>
              <w:right w:val="single" w:sz="4" w:space="0" w:color="auto"/>
            </w:tcBorders>
            <w:shd w:val="clear" w:color="000000" w:fill="D9D9D9"/>
            <w:noWrap/>
            <w:vAlign w:val="bottom"/>
            <w:hideMark/>
          </w:tcPr>
          <w:p w14:paraId="776E022E" w14:textId="77777777" w:rsidR="00DB0966" w:rsidRDefault="00DB0966">
            <w:pPr>
              <w:jc w:val="center"/>
              <w:rPr>
                <w:rFonts w:ascii="Calibri" w:hAnsi="Calibri" w:cs="Calibri"/>
                <w:b/>
                <w:bCs/>
                <w:sz w:val="22"/>
                <w:szCs w:val="22"/>
              </w:rPr>
            </w:pPr>
            <w:r>
              <w:rPr>
                <w:rFonts w:ascii="Calibri" w:hAnsi="Calibri" w:cs="Calibri"/>
                <w:b/>
                <w:bCs/>
                <w:sz w:val="22"/>
                <w:szCs w:val="22"/>
              </w:rPr>
              <w:t>45</w:t>
            </w:r>
          </w:p>
        </w:tc>
        <w:tc>
          <w:tcPr>
            <w:tcW w:w="4433" w:type="dxa"/>
            <w:tcBorders>
              <w:top w:val="nil"/>
              <w:left w:val="nil"/>
              <w:bottom w:val="single" w:sz="4" w:space="0" w:color="auto"/>
              <w:right w:val="single" w:sz="4" w:space="0" w:color="auto"/>
            </w:tcBorders>
            <w:shd w:val="clear" w:color="000000" w:fill="D9D9D9"/>
            <w:vAlign w:val="center"/>
            <w:hideMark/>
          </w:tcPr>
          <w:p w14:paraId="52568643" w14:textId="77777777" w:rsidR="00DB0966" w:rsidRDefault="00DB0966">
            <w:pPr>
              <w:rPr>
                <w:rFonts w:ascii="Calibri" w:hAnsi="Calibri" w:cs="Calibri"/>
                <w:b/>
                <w:bCs/>
                <w:sz w:val="22"/>
                <w:szCs w:val="22"/>
              </w:rPr>
            </w:pPr>
            <w:r>
              <w:rPr>
                <w:rFonts w:ascii="Calibri" w:hAnsi="Calibri" w:cs="Calibri"/>
                <w:b/>
                <w:bCs/>
                <w:sz w:val="22"/>
                <w:szCs w:val="22"/>
              </w:rPr>
              <w:t>RASHODI ZA DODATNA ULAGANJA NA NEFINANCIJSKOJ IMOVINI</w:t>
            </w:r>
          </w:p>
        </w:tc>
        <w:tc>
          <w:tcPr>
            <w:tcW w:w="1506" w:type="dxa"/>
            <w:tcBorders>
              <w:top w:val="nil"/>
              <w:left w:val="nil"/>
              <w:bottom w:val="single" w:sz="4" w:space="0" w:color="auto"/>
              <w:right w:val="single" w:sz="4" w:space="0" w:color="auto"/>
            </w:tcBorders>
            <w:shd w:val="clear" w:color="000000" w:fill="D9D9D9"/>
            <w:noWrap/>
            <w:vAlign w:val="bottom"/>
            <w:hideMark/>
          </w:tcPr>
          <w:p w14:paraId="5C699360" w14:textId="77777777" w:rsidR="00DB0966" w:rsidRDefault="00DB0966">
            <w:pPr>
              <w:jc w:val="right"/>
              <w:rPr>
                <w:rFonts w:ascii="Calibri" w:hAnsi="Calibri" w:cs="Calibri"/>
                <w:b/>
                <w:bCs/>
                <w:sz w:val="22"/>
                <w:szCs w:val="22"/>
              </w:rPr>
            </w:pPr>
            <w:r>
              <w:rPr>
                <w:rFonts w:ascii="Calibri" w:hAnsi="Calibri" w:cs="Calibri"/>
                <w:b/>
                <w:bCs/>
                <w:sz w:val="22"/>
                <w:szCs w:val="22"/>
              </w:rPr>
              <w:t>33.387,75</w:t>
            </w:r>
          </w:p>
        </w:tc>
        <w:tc>
          <w:tcPr>
            <w:tcW w:w="1506" w:type="dxa"/>
            <w:tcBorders>
              <w:top w:val="nil"/>
              <w:left w:val="nil"/>
              <w:bottom w:val="single" w:sz="4" w:space="0" w:color="auto"/>
              <w:right w:val="single" w:sz="4" w:space="0" w:color="auto"/>
            </w:tcBorders>
            <w:shd w:val="clear" w:color="000000" w:fill="D9D9D9"/>
            <w:noWrap/>
            <w:vAlign w:val="bottom"/>
            <w:hideMark/>
          </w:tcPr>
          <w:p w14:paraId="5947BE50" w14:textId="77777777" w:rsidR="00DB0966" w:rsidRDefault="00DB0966">
            <w:pPr>
              <w:jc w:val="right"/>
              <w:rPr>
                <w:rFonts w:ascii="Calibri" w:hAnsi="Calibri" w:cs="Calibri"/>
                <w:b/>
                <w:bCs/>
                <w:sz w:val="22"/>
                <w:szCs w:val="22"/>
              </w:rPr>
            </w:pPr>
            <w:r>
              <w:rPr>
                <w:rFonts w:ascii="Calibri" w:hAnsi="Calibri" w:cs="Calibri"/>
                <w:b/>
                <w:bCs/>
                <w:sz w:val="22"/>
                <w:szCs w:val="22"/>
              </w:rPr>
              <w:t>363.000,00</w:t>
            </w:r>
          </w:p>
        </w:tc>
        <w:tc>
          <w:tcPr>
            <w:tcW w:w="1506" w:type="dxa"/>
            <w:tcBorders>
              <w:top w:val="nil"/>
              <w:left w:val="nil"/>
              <w:bottom w:val="single" w:sz="4" w:space="0" w:color="auto"/>
              <w:right w:val="single" w:sz="4" w:space="0" w:color="auto"/>
            </w:tcBorders>
            <w:shd w:val="clear" w:color="000000" w:fill="D9D9D9"/>
            <w:noWrap/>
            <w:vAlign w:val="bottom"/>
            <w:hideMark/>
          </w:tcPr>
          <w:p w14:paraId="305CE73E" w14:textId="77777777" w:rsidR="00DB0966" w:rsidRDefault="00DB0966">
            <w:pPr>
              <w:jc w:val="right"/>
              <w:rPr>
                <w:rFonts w:ascii="Calibri" w:hAnsi="Calibri" w:cs="Calibri"/>
                <w:b/>
                <w:bCs/>
                <w:sz w:val="22"/>
                <w:szCs w:val="22"/>
              </w:rPr>
            </w:pPr>
            <w:r>
              <w:rPr>
                <w:rFonts w:ascii="Calibri" w:hAnsi="Calibri" w:cs="Calibri"/>
                <w:b/>
                <w:bCs/>
                <w:sz w:val="22"/>
                <w:szCs w:val="22"/>
              </w:rPr>
              <w:t>287.402,40</w:t>
            </w:r>
          </w:p>
        </w:tc>
        <w:tc>
          <w:tcPr>
            <w:tcW w:w="877" w:type="dxa"/>
            <w:tcBorders>
              <w:top w:val="nil"/>
              <w:left w:val="nil"/>
              <w:bottom w:val="single" w:sz="4" w:space="0" w:color="auto"/>
              <w:right w:val="single" w:sz="4" w:space="0" w:color="auto"/>
            </w:tcBorders>
            <w:shd w:val="clear" w:color="000000" w:fill="D9D9D9"/>
            <w:noWrap/>
            <w:vAlign w:val="bottom"/>
            <w:hideMark/>
          </w:tcPr>
          <w:p w14:paraId="772009BD" w14:textId="77777777" w:rsidR="00DB0966" w:rsidRDefault="00DB0966">
            <w:pPr>
              <w:jc w:val="center"/>
              <w:rPr>
                <w:rFonts w:ascii="Calibri" w:hAnsi="Calibri" w:cs="Calibri"/>
                <w:b/>
                <w:bCs/>
                <w:sz w:val="22"/>
                <w:szCs w:val="22"/>
              </w:rPr>
            </w:pPr>
            <w:r>
              <w:rPr>
                <w:rFonts w:ascii="Calibri" w:hAnsi="Calibri" w:cs="Calibri"/>
                <w:b/>
                <w:bCs/>
                <w:sz w:val="22"/>
                <w:szCs w:val="22"/>
              </w:rPr>
              <w:t>861%</w:t>
            </w:r>
          </w:p>
        </w:tc>
        <w:tc>
          <w:tcPr>
            <w:tcW w:w="804" w:type="dxa"/>
            <w:tcBorders>
              <w:top w:val="nil"/>
              <w:left w:val="nil"/>
              <w:bottom w:val="single" w:sz="4" w:space="0" w:color="auto"/>
              <w:right w:val="single" w:sz="4" w:space="0" w:color="auto"/>
            </w:tcBorders>
            <w:shd w:val="clear" w:color="000000" w:fill="D9D9D9"/>
            <w:noWrap/>
            <w:vAlign w:val="bottom"/>
            <w:hideMark/>
          </w:tcPr>
          <w:p w14:paraId="23229E29" w14:textId="77777777" w:rsidR="00DB0966" w:rsidRDefault="00DB0966">
            <w:pPr>
              <w:jc w:val="center"/>
              <w:rPr>
                <w:rFonts w:ascii="Calibri" w:hAnsi="Calibri" w:cs="Calibri"/>
                <w:b/>
                <w:bCs/>
                <w:sz w:val="22"/>
                <w:szCs w:val="22"/>
              </w:rPr>
            </w:pPr>
            <w:r>
              <w:rPr>
                <w:rFonts w:ascii="Calibri" w:hAnsi="Calibri" w:cs="Calibri"/>
                <w:b/>
                <w:bCs/>
                <w:sz w:val="22"/>
                <w:szCs w:val="22"/>
              </w:rPr>
              <w:t>79%</w:t>
            </w:r>
          </w:p>
        </w:tc>
        <w:tc>
          <w:tcPr>
            <w:tcW w:w="222" w:type="dxa"/>
            <w:vAlign w:val="center"/>
            <w:hideMark/>
          </w:tcPr>
          <w:p w14:paraId="021A402C" w14:textId="77777777" w:rsidR="00DB0966" w:rsidRDefault="00DB0966">
            <w:pPr>
              <w:rPr>
                <w:sz w:val="20"/>
                <w:szCs w:val="20"/>
              </w:rPr>
            </w:pPr>
          </w:p>
        </w:tc>
      </w:tr>
      <w:tr w:rsidR="00DB0966" w14:paraId="4B40B2B7" w14:textId="77777777" w:rsidTr="00DB0966">
        <w:trPr>
          <w:trHeight w:val="550"/>
          <w:jc w:val="center"/>
        </w:trPr>
        <w:tc>
          <w:tcPr>
            <w:tcW w:w="665" w:type="dxa"/>
            <w:tcBorders>
              <w:top w:val="nil"/>
              <w:left w:val="single" w:sz="4" w:space="0" w:color="auto"/>
              <w:bottom w:val="single" w:sz="4" w:space="0" w:color="auto"/>
              <w:right w:val="single" w:sz="4" w:space="0" w:color="auto"/>
            </w:tcBorders>
            <w:shd w:val="clear" w:color="000000" w:fill="FFFFFF"/>
            <w:noWrap/>
            <w:vAlign w:val="bottom"/>
            <w:hideMark/>
          </w:tcPr>
          <w:p w14:paraId="16F695D8" w14:textId="77777777" w:rsidR="00DB0966" w:rsidRDefault="00DB0966">
            <w:pPr>
              <w:jc w:val="center"/>
              <w:rPr>
                <w:rFonts w:ascii="Calibri" w:hAnsi="Calibri" w:cs="Calibri"/>
                <w:b/>
                <w:bCs/>
                <w:sz w:val="22"/>
                <w:szCs w:val="22"/>
              </w:rPr>
            </w:pPr>
            <w:r>
              <w:rPr>
                <w:rFonts w:ascii="Calibri" w:hAnsi="Calibri" w:cs="Calibri"/>
                <w:b/>
                <w:bCs/>
                <w:sz w:val="22"/>
                <w:szCs w:val="22"/>
              </w:rPr>
              <w:t>451</w:t>
            </w:r>
          </w:p>
        </w:tc>
        <w:tc>
          <w:tcPr>
            <w:tcW w:w="4433" w:type="dxa"/>
            <w:tcBorders>
              <w:top w:val="nil"/>
              <w:left w:val="nil"/>
              <w:bottom w:val="single" w:sz="4" w:space="0" w:color="auto"/>
              <w:right w:val="single" w:sz="4" w:space="0" w:color="auto"/>
            </w:tcBorders>
            <w:shd w:val="clear" w:color="000000" w:fill="FFFFFF"/>
            <w:vAlign w:val="bottom"/>
            <w:hideMark/>
          </w:tcPr>
          <w:p w14:paraId="0CDF4754" w14:textId="77777777" w:rsidR="00DB0966" w:rsidRDefault="00DB0966">
            <w:pPr>
              <w:rPr>
                <w:rFonts w:ascii="Calibri" w:hAnsi="Calibri" w:cs="Calibri"/>
                <w:b/>
                <w:bCs/>
                <w:sz w:val="22"/>
                <w:szCs w:val="22"/>
              </w:rPr>
            </w:pPr>
            <w:r>
              <w:rPr>
                <w:rFonts w:ascii="Calibri" w:hAnsi="Calibri" w:cs="Calibri"/>
                <w:b/>
                <w:bCs/>
                <w:sz w:val="22"/>
                <w:szCs w:val="22"/>
              </w:rPr>
              <w:t>Dodatna ulaganja na građevinskim objektima</w:t>
            </w:r>
          </w:p>
        </w:tc>
        <w:tc>
          <w:tcPr>
            <w:tcW w:w="1506" w:type="dxa"/>
            <w:tcBorders>
              <w:top w:val="nil"/>
              <w:left w:val="nil"/>
              <w:bottom w:val="single" w:sz="4" w:space="0" w:color="auto"/>
              <w:right w:val="single" w:sz="4" w:space="0" w:color="auto"/>
            </w:tcBorders>
            <w:shd w:val="clear" w:color="000000" w:fill="FFFFFF"/>
            <w:noWrap/>
            <w:vAlign w:val="bottom"/>
            <w:hideMark/>
          </w:tcPr>
          <w:p w14:paraId="6CC01C68" w14:textId="77777777" w:rsidR="00DB0966" w:rsidRDefault="00DB0966">
            <w:pPr>
              <w:jc w:val="right"/>
              <w:rPr>
                <w:rFonts w:ascii="Calibri" w:hAnsi="Calibri" w:cs="Calibri"/>
                <w:b/>
                <w:bCs/>
                <w:sz w:val="22"/>
                <w:szCs w:val="22"/>
              </w:rPr>
            </w:pPr>
            <w:r>
              <w:rPr>
                <w:rFonts w:ascii="Calibri" w:hAnsi="Calibri" w:cs="Calibri"/>
                <w:b/>
                <w:bCs/>
                <w:sz w:val="22"/>
                <w:szCs w:val="22"/>
              </w:rPr>
              <w:t>16.243,75</w:t>
            </w:r>
          </w:p>
        </w:tc>
        <w:tc>
          <w:tcPr>
            <w:tcW w:w="1506" w:type="dxa"/>
            <w:tcBorders>
              <w:top w:val="nil"/>
              <w:left w:val="nil"/>
              <w:bottom w:val="single" w:sz="4" w:space="0" w:color="auto"/>
              <w:right w:val="single" w:sz="4" w:space="0" w:color="auto"/>
            </w:tcBorders>
            <w:shd w:val="clear" w:color="000000" w:fill="FFFFFF"/>
            <w:noWrap/>
            <w:vAlign w:val="bottom"/>
            <w:hideMark/>
          </w:tcPr>
          <w:p w14:paraId="210EB925" w14:textId="77777777" w:rsidR="00DB0966" w:rsidRDefault="00DB0966">
            <w:pPr>
              <w:jc w:val="right"/>
              <w:rPr>
                <w:rFonts w:ascii="Calibri" w:hAnsi="Calibri" w:cs="Calibri"/>
                <w:b/>
                <w:bCs/>
                <w:sz w:val="22"/>
                <w:szCs w:val="22"/>
              </w:rPr>
            </w:pPr>
            <w:r>
              <w:rPr>
                <w:rFonts w:ascii="Calibri" w:hAnsi="Calibri" w:cs="Calibri"/>
                <w:b/>
                <w:bCs/>
                <w:sz w:val="22"/>
                <w:szCs w:val="22"/>
              </w:rPr>
              <w:t> </w:t>
            </w:r>
          </w:p>
        </w:tc>
        <w:tc>
          <w:tcPr>
            <w:tcW w:w="1506" w:type="dxa"/>
            <w:tcBorders>
              <w:top w:val="nil"/>
              <w:left w:val="nil"/>
              <w:bottom w:val="single" w:sz="4" w:space="0" w:color="auto"/>
              <w:right w:val="single" w:sz="4" w:space="0" w:color="auto"/>
            </w:tcBorders>
            <w:shd w:val="clear" w:color="000000" w:fill="FFFFFF"/>
            <w:noWrap/>
            <w:vAlign w:val="bottom"/>
            <w:hideMark/>
          </w:tcPr>
          <w:p w14:paraId="4CE1818E" w14:textId="77777777" w:rsidR="00DB0966" w:rsidRDefault="00DB0966">
            <w:pPr>
              <w:jc w:val="right"/>
              <w:rPr>
                <w:rFonts w:ascii="Calibri" w:hAnsi="Calibri" w:cs="Calibri"/>
                <w:b/>
                <w:bCs/>
                <w:sz w:val="22"/>
                <w:szCs w:val="22"/>
              </w:rPr>
            </w:pPr>
            <w:r>
              <w:rPr>
                <w:rFonts w:ascii="Calibri" w:hAnsi="Calibri" w:cs="Calibri"/>
                <w:b/>
                <w:bCs/>
                <w:sz w:val="22"/>
                <w:szCs w:val="22"/>
              </w:rPr>
              <w:t>265.187,04</w:t>
            </w:r>
          </w:p>
        </w:tc>
        <w:tc>
          <w:tcPr>
            <w:tcW w:w="877" w:type="dxa"/>
            <w:tcBorders>
              <w:top w:val="nil"/>
              <w:left w:val="nil"/>
              <w:bottom w:val="single" w:sz="4" w:space="0" w:color="auto"/>
              <w:right w:val="single" w:sz="4" w:space="0" w:color="auto"/>
            </w:tcBorders>
            <w:shd w:val="clear" w:color="000000" w:fill="FFFFFF"/>
            <w:noWrap/>
            <w:vAlign w:val="bottom"/>
            <w:hideMark/>
          </w:tcPr>
          <w:p w14:paraId="0233F882" w14:textId="77777777" w:rsidR="00DB0966" w:rsidRDefault="00DB0966">
            <w:pPr>
              <w:jc w:val="center"/>
              <w:rPr>
                <w:rFonts w:ascii="Calibri" w:hAnsi="Calibri" w:cs="Calibri"/>
                <w:b/>
                <w:bCs/>
                <w:color w:val="000000"/>
                <w:sz w:val="22"/>
                <w:szCs w:val="22"/>
              </w:rPr>
            </w:pPr>
            <w:r>
              <w:rPr>
                <w:rFonts w:ascii="Calibri" w:hAnsi="Calibri" w:cs="Calibri"/>
                <w:b/>
                <w:bCs/>
                <w:color w:val="000000"/>
                <w:sz w:val="22"/>
                <w:szCs w:val="22"/>
              </w:rPr>
              <w:t>1633%</w:t>
            </w:r>
          </w:p>
        </w:tc>
        <w:tc>
          <w:tcPr>
            <w:tcW w:w="804" w:type="dxa"/>
            <w:tcBorders>
              <w:top w:val="nil"/>
              <w:left w:val="nil"/>
              <w:bottom w:val="single" w:sz="4" w:space="0" w:color="auto"/>
              <w:right w:val="single" w:sz="4" w:space="0" w:color="auto"/>
            </w:tcBorders>
            <w:shd w:val="clear" w:color="000000" w:fill="FFFFFF"/>
            <w:noWrap/>
            <w:vAlign w:val="bottom"/>
            <w:hideMark/>
          </w:tcPr>
          <w:p w14:paraId="1ED1577D" w14:textId="77777777" w:rsidR="00DB0966" w:rsidRDefault="00DB0966">
            <w:pPr>
              <w:jc w:val="center"/>
              <w:rPr>
                <w:rFonts w:ascii="Calibri" w:hAnsi="Calibri" w:cs="Calibri"/>
                <w:b/>
                <w:bCs/>
                <w:sz w:val="22"/>
                <w:szCs w:val="22"/>
              </w:rPr>
            </w:pPr>
            <w:r>
              <w:rPr>
                <w:rFonts w:ascii="Calibri" w:hAnsi="Calibri" w:cs="Calibri"/>
                <w:b/>
                <w:bCs/>
                <w:sz w:val="22"/>
                <w:szCs w:val="22"/>
              </w:rPr>
              <w:t> </w:t>
            </w:r>
          </w:p>
        </w:tc>
        <w:tc>
          <w:tcPr>
            <w:tcW w:w="222" w:type="dxa"/>
            <w:vAlign w:val="center"/>
            <w:hideMark/>
          </w:tcPr>
          <w:p w14:paraId="60161C18" w14:textId="77777777" w:rsidR="00DB0966" w:rsidRDefault="00DB0966">
            <w:pPr>
              <w:rPr>
                <w:sz w:val="20"/>
                <w:szCs w:val="20"/>
              </w:rPr>
            </w:pPr>
          </w:p>
        </w:tc>
      </w:tr>
      <w:tr w:rsidR="00DB0966" w14:paraId="0B2B8464" w14:textId="77777777" w:rsidTr="00DB0966">
        <w:trPr>
          <w:trHeight w:val="290"/>
          <w:jc w:val="center"/>
        </w:trPr>
        <w:tc>
          <w:tcPr>
            <w:tcW w:w="665" w:type="dxa"/>
            <w:tcBorders>
              <w:top w:val="nil"/>
              <w:left w:val="single" w:sz="4" w:space="0" w:color="auto"/>
              <w:bottom w:val="single" w:sz="4" w:space="0" w:color="auto"/>
              <w:right w:val="single" w:sz="4" w:space="0" w:color="auto"/>
            </w:tcBorders>
            <w:shd w:val="clear" w:color="000000" w:fill="FFFFFF"/>
            <w:noWrap/>
            <w:vAlign w:val="bottom"/>
            <w:hideMark/>
          </w:tcPr>
          <w:p w14:paraId="0C14E2D6" w14:textId="77777777" w:rsidR="00DB0966" w:rsidRDefault="00DB0966">
            <w:pPr>
              <w:jc w:val="center"/>
              <w:rPr>
                <w:rFonts w:ascii="Calibri" w:hAnsi="Calibri" w:cs="Calibri"/>
                <w:sz w:val="22"/>
                <w:szCs w:val="22"/>
              </w:rPr>
            </w:pPr>
            <w:r>
              <w:rPr>
                <w:rFonts w:ascii="Calibri" w:hAnsi="Calibri" w:cs="Calibri"/>
                <w:sz w:val="22"/>
                <w:szCs w:val="22"/>
              </w:rPr>
              <w:t>4511</w:t>
            </w:r>
          </w:p>
        </w:tc>
        <w:tc>
          <w:tcPr>
            <w:tcW w:w="4433" w:type="dxa"/>
            <w:tcBorders>
              <w:top w:val="nil"/>
              <w:left w:val="nil"/>
              <w:bottom w:val="single" w:sz="4" w:space="0" w:color="auto"/>
              <w:right w:val="single" w:sz="4" w:space="0" w:color="auto"/>
            </w:tcBorders>
            <w:vAlign w:val="bottom"/>
            <w:hideMark/>
          </w:tcPr>
          <w:p w14:paraId="184EE2BE" w14:textId="77777777" w:rsidR="00DB0966" w:rsidRDefault="00DB0966">
            <w:pPr>
              <w:rPr>
                <w:rFonts w:ascii="Calibri" w:hAnsi="Calibri" w:cs="Calibri"/>
                <w:sz w:val="22"/>
                <w:szCs w:val="22"/>
              </w:rPr>
            </w:pPr>
            <w:r>
              <w:rPr>
                <w:rFonts w:ascii="Calibri" w:hAnsi="Calibri" w:cs="Calibri"/>
                <w:sz w:val="22"/>
                <w:szCs w:val="22"/>
              </w:rPr>
              <w:t xml:space="preserve">Dodatna ulaganja na </w:t>
            </w:r>
            <w:proofErr w:type="spellStart"/>
            <w:r>
              <w:rPr>
                <w:rFonts w:ascii="Calibri" w:hAnsi="Calibri" w:cs="Calibri"/>
                <w:sz w:val="22"/>
                <w:szCs w:val="22"/>
              </w:rPr>
              <w:t>građ</w:t>
            </w:r>
            <w:proofErr w:type="spellEnd"/>
            <w:r>
              <w:rPr>
                <w:rFonts w:ascii="Calibri" w:hAnsi="Calibri" w:cs="Calibri"/>
                <w:sz w:val="22"/>
                <w:szCs w:val="22"/>
              </w:rPr>
              <w:t>. objektima</w:t>
            </w:r>
          </w:p>
        </w:tc>
        <w:tc>
          <w:tcPr>
            <w:tcW w:w="1506" w:type="dxa"/>
            <w:tcBorders>
              <w:top w:val="nil"/>
              <w:left w:val="nil"/>
              <w:bottom w:val="single" w:sz="4" w:space="0" w:color="auto"/>
              <w:right w:val="single" w:sz="4" w:space="0" w:color="auto"/>
            </w:tcBorders>
            <w:vAlign w:val="bottom"/>
            <w:hideMark/>
          </w:tcPr>
          <w:p w14:paraId="255D52F0" w14:textId="77777777" w:rsidR="00DB0966" w:rsidRDefault="00DB0966">
            <w:pPr>
              <w:jc w:val="right"/>
              <w:rPr>
                <w:rFonts w:ascii="Calibri" w:hAnsi="Calibri" w:cs="Calibri"/>
                <w:sz w:val="22"/>
                <w:szCs w:val="22"/>
              </w:rPr>
            </w:pPr>
            <w:r>
              <w:rPr>
                <w:rFonts w:ascii="Calibri" w:hAnsi="Calibri" w:cs="Calibri"/>
                <w:sz w:val="22"/>
                <w:szCs w:val="22"/>
              </w:rPr>
              <w:t>16.243,75</w:t>
            </w:r>
          </w:p>
        </w:tc>
        <w:tc>
          <w:tcPr>
            <w:tcW w:w="1506" w:type="dxa"/>
            <w:tcBorders>
              <w:top w:val="nil"/>
              <w:left w:val="nil"/>
              <w:bottom w:val="single" w:sz="4" w:space="0" w:color="auto"/>
              <w:right w:val="single" w:sz="4" w:space="0" w:color="auto"/>
            </w:tcBorders>
            <w:vAlign w:val="bottom"/>
            <w:hideMark/>
          </w:tcPr>
          <w:p w14:paraId="084398B5" w14:textId="77777777" w:rsidR="00DB0966" w:rsidRDefault="00DB0966">
            <w:pPr>
              <w:jc w:val="right"/>
              <w:rPr>
                <w:rFonts w:ascii="Calibri" w:hAnsi="Calibri" w:cs="Calibri"/>
                <w:sz w:val="22"/>
                <w:szCs w:val="22"/>
              </w:rPr>
            </w:pPr>
            <w:r>
              <w:rPr>
                <w:rFonts w:ascii="Calibri" w:hAnsi="Calibri" w:cs="Calibri"/>
                <w:sz w:val="22"/>
                <w:szCs w:val="22"/>
              </w:rPr>
              <w:t> </w:t>
            </w:r>
          </w:p>
        </w:tc>
        <w:tc>
          <w:tcPr>
            <w:tcW w:w="1506" w:type="dxa"/>
            <w:tcBorders>
              <w:top w:val="nil"/>
              <w:left w:val="nil"/>
              <w:bottom w:val="single" w:sz="4" w:space="0" w:color="auto"/>
              <w:right w:val="single" w:sz="4" w:space="0" w:color="auto"/>
            </w:tcBorders>
            <w:vAlign w:val="bottom"/>
            <w:hideMark/>
          </w:tcPr>
          <w:p w14:paraId="2446113A" w14:textId="77777777" w:rsidR="00DB0966" w:rsidRDefault="00DB0966">
            <w:pPr>
              <w:jc w:val="right"/>
              <w:rPr>
                <w:rFonts w:ascii="Calibri" w:hAnsi="Calibri" w:cs="Calibri"/>
                <w:sz w:val="22"/>
                <w:szCs w:val="22"/>
              </w:rPr>
            </w:pPr>
            <w:r>
              <w:rPr>
                <w:rFonts w:ascii="Calibri" w:hAnsi="Calibri" w:cs="Calibri"/>
                <w:sz w:val="22"/>
                <w:szCs w:val="22"/>
              </w:rPr>
              <w:t>265.187,04</w:t>
            </w:r>
          </w:p>
        </w:tc>
        <w:tc>
          <w:tcPr>
            <w:tcW w:w="877" w:type="dxa"/>
            <w:tcBorders>
              <w:top w:val="nil"/>
              <w:left w:val="nil"/>
              <w:bottom w:val="single" w:sz="4" w:space="0" w:color="auto"/>
              <w:right w:val="single" w:sz="4" w:space="0" w:color="auto"/>
            </w:tcBorders>
            <w:noWrap/>
            <w:vAlign w:val="bottom"/>
            <w:hideMark/>
          </w:tcPr>
          <w:p w14:paraId="2F0F9DC3"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1633%</w:t>
            </w:r>
          </w:p>
        </w:tc>
        <w:tc>
          <w:tcPr>
            <w:tcW w:w="804" w:type="dxa"/>
            <w:tcBorders>
              <w:top w:val="nil"/>
              <w:left w:val="nil"/>
              <w:bottom w:val="single" w:sz="4" w:space="0" w:color="auto"/>
              <w:right w:val="single" w:sz="4" w:space="0" w:color="auto"/>
            </w:tcBorders>
            <w:noWrap/>
            <w:vAlign w:val="bottom"/>
            <w:hideMark/>
          </w:tcPr>
          <w:p w14:paraId="05240474"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 </w:t>
            </w:r>
          </w:p>
        </w:tc>
        <w:tc>
          <w:tcPr>
            <w:tcW w:w="222" w:type="dxa"/>
            <w:vAlign w:val="center"/>
            <w:hideMark/>
          </w:tcPr>
          <w:p w14:paraId="51CB9BF9" w14:textId="77777777" w:rsidR="00DB0966" w:rsidRDefault="00DB0966">
            <w:pPr>
              <w:rPr>
                <w:sz w:val="20"/>
                <w:szCs w:val="20"/>
              </w:rPr>
            </w:pPr>
          </w:p>
        </w:tc>
      </w:tr>
      <w:tr w:rsidR="00DB0966" w14:paraId="376A05CA" w14:textId="77777777" w:rsidTr="00DB0966">
        <w:trPr>
          <w:trHeight w:val="354"/>
          <w:jc w:val="center"/>
        </w:trPr>
        <w:tc>
          <w:tcPr>
            <w:tcW w:w="665" w:type="dxa"/>
            <w:tcBorders>
              <w:top w:val="nil"/>
              <w:left w:val="single" w:sz="4" w:space="0" w:color="auto"/>
              <w:bottom w:val="single" w:sz="4" w:space="0" w:color="auto"/>
              <w:right w:val="single" w:sz="4" w:space="0" w:color="auto"/>
            </w:tcBorders>
            <w:shd w:val="clear" w:color="000000" w:fill="FFFFFF"/>
            <w:noWrap/>
            <w:vAlign w:val="bottom"/>
            <w:hideMark/>
          </w:tcPr>
          <w:p w14:paraId="1F829725" w14:textId="77777777" w:rsidR="00DB0966" w:rsidRDefault="00DB0966">
            <w:pPr>
              <w:jc w:val="center"/>
              <w:rPr>
                <w:rFonts w:ascii="Calibri" w:hAnsi="Calibri" w:cs="Calibri"/>
                <w:b/>
                <w:bCs/>
                <w:sz w:val="22"/>
                <w:szCs w:val="22"/>
              </w:rPr>
            </w:pPr>
            <w:r>
              <w:rPr>
                <w:rFonts w:ascii="Calibri" w:hAnsi="Calibri" w:cs="Calibri"/>
                <w:b/>
                <w:bCs/>
                <w:sz w:val="22"/>
                <w:szCs w:val="22"/>
              </w:rPr>
              <w:t>452</w:t>
            </w:r>
          </w:p>
        </w:tc>
        <w:tc>
          <w:tcPr>
            <w:tcW w:w="4433" w:type="dxa"/>
            <w:tcBorders>
              <w:top w:val="nil"/>
              <w:left w:val="nil"/>
              <w:bottom w:val="single" w:sz="4" w:space="0" w:color="auto"/>
              <w:right w:val="single" w:sz="4" w:space="0" w:color="auto"/>
            </w:tcBorders>
            <w:vAlign w:val="bottom"/>
            <w:hideMark/>
          </w:tcPr>
          <w:p w14:paraId="6FED1D5C" w14:textId="77777777" w:rsidR="00DB0966" w:rsidRDefault="00DB0966">
            <w:pPr>
              <w:rPr>
                <w:rFonts w:ascii="Calibri" w:hAnsi="Calibri" w:cs="Calibri"/>
                <w:b/>
                <w:bCs/>
                <w:sz w:val="22"/>
                <w:szCs w:val="22"/>
              </w:rPr>
            </w:pPr>
            <w:r>
              <w:rPr>
                <w:rFonts w:ascii="Calibri" w:hAnsi="Calibri" w:cs="Calibri"/>
                <w:b/>
                <w:bCs/>
                <w:sz w:val="22"/>
                <w:szCs w:val="22"/>
              </w:rPr>
              <w:t>Dodatna ulaganja na postrojenjima i opremi</w:t>
            </w:r>
          </w:p>
        </w:tc>
        <w:tc>
          <w:tcPr>
            <w:tcW w:w="1506" w:type="dxa"/>
            <w:tcBorders>
              <w:top w:val="nil"/>
              <w:left w:val="nil"/>
              <w:bottom w:val="single" w:sz="4" w:space="0" w:color="auto"/>
              <w:right w:val="single" w:sz="4" w:space="0" w:color="auto"/>
            </w:tcBorders>
            <w:vAlign w:val="bottom"/>
            <w:hideMark/>
          </w:tcPr>
          <w:p w14:paraId="768C5817" w14:textId="77777777" w:rsidR="00DB0966" w:rsidRDefault="00DB0966">
            <w:pPr>
              <w:jc w:val="right"/>
              <w:rPr>
                <w:rFonts w:ascii="Calibri" w:hAnsi="Calibri" w:cs="Calibri"/>
                <w:b/>
                <w:bCs/>
                <w:sz w:val="22"/>
                <w:szCs w:val="22"/>
              </w:rPr>
            </w:pPr>
            <w:r>
              <w:rPr>
                <w:rFonts w:ascii="Calibri" w:hAnsi="Calibri" w:cs="Calibri"/>
                <w:b/>
                <w:bCs/>
                <w:sz w:val="22"/>
                <w:szCs w:val="22"/>
              </w:rPr>
              <w:t>17.144,00</w:t>
            </w:r>
          </w:p>
        </w:tc>
        <w:tc>
          <w:tcPr>
            <w:tcW w:w="1506" w:type="dxa"/>
            <w:tcBorders>
              <w:top w:val="nil"/>
              <w:left w:val="nil"/>
              <w:bottom w:val="single" w:sz="4" w:space="0" w:color="auto"/>
              <w:right w:val="single" w:sz="4" w:space="0" w:color="auto"/>
            </w:tcBorders>
            <w:vAlign w:val="bottom"/>
            <w:hideMark/>
          </w:tcPr>
          <w:p w14:paraId="011C6C5C" w14:textId="77777777" w:rsidR="00DB0966" w:rsidRDefault="00DB0966">
            <w:pPr>
              <w:jc w:val="right"/>
              <w:rPr>
                <w:rFonts w:ascii="Calibri" w:hAnsi="Calibri" w:cs="Calibri"/>
                <w:b/>
                <w:bCs/>
                <w:sz w:val="22"/>
                <w:szCs w:val="22"/>
              </w:rPr>
            </w:pPr>
            <w:r>
              <w:rPr>
                <w:rFonts w:ascii="Calibri" w:hAnsi="Calibri" w:cs="Calibri"/>
                <w:b/>
                <w:bCs/>
                <w:sz w:val="22"/>
                <w:szCs w:val="22"/>
              </w:rPr>
              <w:t> </w:t>
            </w:r>
          </w:p>
        </w:tc>
        <w:tc>
          <w:tcPr>
            <w:tcW w:w="1506" w:type="dxa"/>
            <w:tcBorders>
              <w:top w:val="nil"/>
              <w:left w:val="nil"/>
              <w:bottom w:val="single" w:sz="4" w:space="0" w:color="auto"/>
              <w:right w:val="single" w:sz="4" w:space="0" w:color="auto"/>
            </w:tcBorders>
            <w:vAlign w:val="bottom"/>
            <w:hideMark/>
          </w:tcPr>
          <w:p w14:paraId="3A75BE98" w14:textId="77777777" w:rsidR="00DB0966" w:rsidRDefault="00DB0966">
            <w:pPr>
              <w:jc w:val="right"/>
              <w:rPr>
                <w:rFonts w:ascii="Calibri" w:hAnsi="Calibri" w:cs="Calibri"/>
                <w:b/>
                <w:bCs/>
                <w:sz w:val="22"/>
                <w:szCs w:val="22"/>
              </w:rPr>
            </w:pPr>
            <w:r>
              <w:rPr>
                <w:rFonts w:ascii="Calibri" w:hAnsi="Calibri" w:cs="Calibri"/>
                <w:b/>
                <w:bCs/>
                <w:sz w:val="22"/>
                <w:szCs w:val="22"/>
              </w:rPr>
              <w:t>22.215,36</w:t>
            </w:r>
          </w:p>
        </w:tc>
        <w:tc>
          <w:tcPr>
            <w:tcW w:w="877" w:type="dxa"/>
            <w:tcBorders>
              <w:top w:val="nil"/>
              <w:left w:val="nil"/>
              <w:bottom w:val="single" w:sz="4" w:space="0" w:color="auto"/>
              <w:right w:val="single" w:sz="4" w:space="0" w:color="auto"/>
            </w:tcBorders>
            <w:noWrap/>
            <w:vAlign w:val="bottom"/>
            <w:hideMark/>
          </w:tcPr>
          <w:p w14:paraId="521D9766" w14:textId="77777777" w:rsidR="00DB0966" w:rsidRDefault="00DB0966">
            <w:pPr>
              <w:jc w:val="center"/>
              <w:rPr>
                <w:rFonts w:ascii="Calibri" w:hAnsi="Calibri" w:cs="Calibri"/>
                <w:b/>
                <w:bCs/>
                <w:color w:val="000000"/>
                <w:sz w:val="22"/>
                <w:szCs w:val="22"/>
              </w:rPr>
            </w:pPr>
            <w:r>
              <w:rPr>
                <w:rFonts w:ascii="Calibri" w:hAnsi="Calibri" w:cs="Calibri"/>
                <w:b/>
                <w:bCs/>
                <w:color w:val="000000"/>
                <w:sz w:val="22"/>
                <w:szCs w:val="22"/>
              </w:rPr>
              <w:t>130%</w:t>
            </w:r>
          </w:p>
        </w:tc>
        <w:tc>
          <w:tcPr>
            <w:tcW w:w="804" w:type="dxa"/>
            <w:tcBorders>
              <w:top w:val="nil"/>
              <w:left w:val="nil"/>
              <w:bottom w:val="single" w:sz="4" w:space="0" w:color="auto"/>
              <w:right w:val="single" w:sz="4" w:space="0" w:color="auto"/>
            </w:tcBorders>
            <w:noWrap/>
            <w:vAlign w:val="bottom"/>
            <w:hideMark/>
          </w:tcPr>
          <w:p w14:paraId="5446029D" w14:textId="77777777" w:rsidR="00DB0966" w:rsidRDefault="00DB0966">
            <w:pPr>
              <w:jc w:val="center"/>
              <w:rPr>
                <w:rFonts w:ascii="Calibri" w:hAnsi="Calibri" w:cs="Calibri"/>
                <w:b/>
                <w:bCs/>
                <w:color w:val="000000"/>
                <w:sz w:val="22"/>
                <w:szCs w:val="22"/>
              </w:rPr>
            </w:pPr>
            <w:r>
              <w:rPr>
                <w:rFonts w:ascii="Calibri" w:hAnsi="Calibri" w:cs="Calibri"/>
                <w:b/>
                <w:bCs/>
                <w:color w:val="000000"/>
                <w:sz w:val="22"/>
                <w:szCs w:val="22"/>
              </w:rPr>
              <w:t> </w:t>
            </w:r>
          </w:p>
        </w:tc>
        <w:tc>
          <w:tcPr>
            <w:tcW w:w="222" w:type="dxa"/>
            <w:vAlign w:val="center"/>
            <w:hideMark/>
          </w:tcPr>
          <w:p w14:paraId="1CDF23B8" w14:textId="77777777" w:rsidR="00DB0966" w:rsidRDefault="00DB0966">
            <w:pPr>
              <w:rPr>
                <w:sz w:val="20"/>
                <w:szCs w:val="20"/>
              </w:rPr>
            </w:pPr>
          </w:p>
        </w:tc>
      </w:tr>
      <w:tr w:rsidR="00DB0966" w14:paraId="1AC8D374" w14:textId="77777777" w:rsidTr="00DB0966">
        <w:trPr>
          <w:trHeight w:val="290"/>
          <w:jc w:val="center"/>
        </w:trPr>
        <w:tc>
          <w:tcPr>
            <w:tcW w:w="665" w:type="dxa"/>
            <w:tcBorders>
              <w:top w:val="nil"/>
              <w:left w:val="single" w:sz="4" w:space="0" w:color="auto"/>
              <w:bottom w:val="single" w:sz="4" w:space="0" w:color="auto"/>
              <w:right w:val="single" w:sz="4" w:space="0" w:color="auto"/>
            </w:tcBorders>
            <w:shd w:val="clear" w:color="000000" w:fill="FFFFFF"/>
            <w:noWrap/>
            <w:vAlign w:val="bottom"/>
            <w:hideMark/>
          </w:tcPr>
          <w:p w14:paraId="796CD5D8" w14:textId="77777777" w:rsidR="00DB0966" w:rsidRDefault="00DB0966">
            <w:pPr>
              <w:jc w:val="center"/>
              <w:rPr>
                <w:rFonts w:ascii="Calibri" w:hAnsi="Calibri" w:cs="Calibri"/>
                <w:sz w:val="22"/>
                <w:szCs w:val="22"/>
              </w:rPr>
            </w:pPr>
            <w:r>
              <w:rPr>
                <w:rFonts w:ascii="Calibri" w:hAnsi="Calibri" w:cs="Calibri"/>
                <w:sz w:val="22"/>
                <w:szCs w:val="22"/>
              </w:rPr>
              <w:t>4521</w:t>
            </w:r>
          </w:p>
        </w:tc>
        <w:tc>
          <w:tcPr>
            <w:tcW w:w="4433" w:type="dxa"/>
            <w:tcBorders>
              <w:top w:val="nil"/>
              <w:left w:val="nil"/>
              <w:bottom w:val="single" w:sz="4" w:space="0" w:color="auto"/>
              <w:right w:val="single" w:sz="4" w:space="0" w:color="auto"/>
            </w:tcBorders>
            <w:vAlign w:val="bottom"/>
            <w:hideMark/>
          </w:tcPr>
          <w:p w14:paraId="5F54B9E6" w14:textId="77777777" w:rsidR="00DB0966" w:rsidRDefault="00DB0966">
            <w:pPr>
              <w:rPr>
                <w:rFonts w:ascii="Calibri" w:hAnsi="Calibri" w:cs="Calibri"/>
                <w:sz w:val="22"/>
                <w:szCs w:val="22"/>
              </w:rPr>
            </w:pPr>
            <w:r>
              <w:rPr>
                <w:rFonts w:ascii="Calibri" w:hAnsi="Calibri" w:cs="Calibri"/>
                <w:sz w:val="22"/>
                <w:szCs w:val="22"/>
              </w:rPr>
              <w:t>Dodatna ulaganja na postroj. i opremi</w:t>
            </w:r>
          </w:p>
        </w:tc>
        <w:tc>
          <w:tcPr>
            <w:tcW w:w="1506" w:type="dxa"/>
            <w:tcBorders>
              <w:top w:val="nil"/>
              <w:left w:val="nil"/>
              <w:bottom w:val="single" w:sz="4" w:space="0" w:color="auto"/>
              <w:right w:val="single" w:sz="4" w:space="0" w:color="auto"/>
            </w:tcBorders>
            <w:vAlign w:val="bottom"/>
            <w:hideMark/>
          </w:tcPr>
          <w:p w14:paraId="506CA543" w14:textId="77777777" w:rsidR="00DB0966" w:rsidRDefault="00DB0966">
            <w:pPr>
              <w:jc w:val="right"/>
              <w:rPr>
                <w:rFonts w:ascii="Calibri" w:hAnsi="Calibri" w:cs="Calibri"/>
                <w:sz w:val="22"/>
                <w:szCs w:val="22"/>
              </w:rPr>
            </w:pPr>
            <w:r>
              <w:rPr>
                <w:rFonts w:ascii="Calibri" w:hAnsi="Calibri" w:cs="Calibri"/>
                <w:sz w:val="22"/>
                <w:szCs w:val="22"/>
              </w:rPr>
              <w:t>17.144,00</w:t>
            </w:r>
          </w:p>
        </w:tc>
        <w:tc>
          <w:tcPr>
            <w:tcW w:w="1506" w:type="dxa"/>
            <w:tcBorders>
              <w:top w:val="nil"/>
              <w:left w:val="nil"/>
              <w:bottom w:val="single" w:sz="4" w:space="0" w:color="auto"/>
              <w:right w:val="single" w:sz="4" w:space="0" w:color="auto"/>
            </w:tcBorders>
            <w:vAlign w:val="bottom"/>
            <w:hideMark/>
          </w:tcPr>
          <w:p w14:paraId="730CED14" w14:textId="77777777" w:rsidR="00DB0966" w:rsidRDefault="00DB0966">
            <w:pPr>
              <w:jc w:val="right"/>
              <w:rPr>
                <w:rFonts w:ascii="Calibri" w:hAnsi="Calibri" w:cs="Calibri"/>
                <w:sz w:val="22"/>
                <w:szCs w:val="22"/>
              </w:rPr>
            </w:pPr>
            <w:r>
              <w:rPr>
                <w:rFonts w:ascii="Calibri" w:hAnsi="Calibri" w:cs="Calibri"/>
                <w:sz w:val="22"/>
                <w:szCs w:val="22"/>
              </w:rPr>
              <w:t> </w:t>
            </w:r>
          </w:p>
        </w:tc>
        <w:tc>
          <w:tcPr>
            <w:tcW w:w="1506" w:type="dxa"/>
            <w:tcBorders>
              <w:top w:val="nil"/>
              <w:left w:val="nil"/>
              <w:bottom w:val="single" w:sz="4" w:space="0" w:color="auto"/>
              <w:right w:val="single" w:sz="4" w:space="0" w:color="auto"/>
            </w:tcBorders>
            <w:vAlign w:val="bottom"/>
            <w:hideMark/>
          </w:tcPr>
          <w:p w14:paraId="51F00E21" w14:textId="77777777" w:rsidR="00DB0966" w:rsidRDefault="00DB0966">
            <w:pPr>
              <w:jc w:val="right"/>
              <w:rPr>
                <w:rFonts w:ascii="Calibri" w:hAnsi="Calibri" w:cs="Calibri"/>
                <w:sz w:val="22"/>
                <w:szCs w:val="22"/>
              </w:rPr>
            </w:pPr>
            <w:r>
              <w:rPr>
                <w:rFonts w:ascii="Calibri" w:hAnsi="Calibri" w:cs="Calibri"/>
                <w:sz w:val="22"/>
                <w:szCs w:val="22"/>
              </w:rPr>
              <w:t>22.215,36</w:t>
            </w:r>
          </w:p>
        </w:tc>
        <w:tc>
          <w:tcPr>
            <w:tcW w:w="877" w:type="dxa"/>
            <w:tcBorders>
              <w:top w:val="nil"/>
              <w:left w:val="nil"/>
              <w:bottom w:val="single" w:sz="4" w:space="0" w:color="auto"/>
              <w:right w:val="single" w:sz="4" w:space="0" w:color="auto"/>
            </w:tcBorders>
            <w:noWrap/>
            <w:vAlign w:val="bottom"/>
            <w:hideMark/>
          </w:tcPr>
          <w:p w14:paraId="015AD731"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130%</w:t>
            </w:r>
          </w:p>
        </w:tc>
        <w:tc>
          <w:tcPr>
            <w:tcW w:w="804" w:type="dxa"/>
            <w:tcBorders>
              <w:top w:val="nil"/>
              <w:left w:val="nil"/>
              <w:bottom w:val="single" w:sz="4" w:space="0" w:color="auto"/>
              <w:right w:val="single" w:sz="4" w:space="0" w:color="auto"/>
            </w:tcBorders>
            <w:noWrap/>
            <w:vAlign w:val="bottom"/>
            <w:hideMark/>
          </w:tcPr>
          <w:p w14:paraId="14FE260E"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 </w:t>
            </w:r>
          </w:p>
        </w:tc>
        <w:tc>
          <w:tcPr>
            <w:tcW w:w="222" w:type="dxa"/>
            <w:vAlign w:val="center"/>
            <w:hideMark/>
          </w:tcPr>
          <w:p w14:paraId="7506A3DA" w14:textId="77777777" w:rsidR="00DB0966" w:rsidRDefault="00DB0966">
            <w:pPr>
              <w:rPr>
                <w:sz w:val="20"/>
                <w:szCs w:val="20"/>
              </w:rPr>
            </w:pPr>
          </w:p>
        </w:tc>
      </w:tr>
      <w:tr w:rsidR="00DB0966" w14:paraId="23345ABD" w14:textId="77777777" w:rsidTr="00DB0966">
        <w:trPr>
          <w:trHeight w:val="580"/>
          <w:jc w:val="center"/>
        </w:trPr>
        <w:tc>
          <w:tcPr>
            <w:tcW w:w="665" w:type="dxa"/>
            <w:tcBorders>
              <w:top w:val="nil"/>
              <w:left w:val="single" w:sz="4" w:space="0" w:color="auto"/>
              <w:bottom w:val="single" w:sz="4" w:space="0" w:color="auto"/>
              <w:right w:val="single" w:sz="4" w:space="0" w:color="auto"/>
            </w:tcBorders>
            <w:shd w:val="clear" w:color="000000" w:fill="D9D9D9"/>
            <w:noWrap/>
            <w:vAlign w:val="center"/>
            <w:hideMark/>
          </w:tcPr>
          <w:p w14:paraId="2564BE91" w14:textId="77777777" w:rsidR="00DB0966" w:rsidRDefault="00DB0966">
            <w:pPr>
              <w:jc w:val="center"/>
              <w:rPr>
                <w:rFonts w:ascii="Calibri" w:hAnsi="Calibri" w:cs="Calibri"/>
                <w:b/>
                <w:bCs/>
                <w:sz w:val="22"/>
                <w:szCs w:val="22"/>
              </w:rPr>
            </w:pPr>
            <w:r>
              <w:rPr>
                <w:rFonts w:ascii="Calibri" w:hAnsi="Calibri" w:cs="Calibri"/>
                <w:b/>
                <w:bCs/>
                <w:sz w:val="22"/>
                <w:szCs w:val="22"/>
              </w:rPr>
              <w:t>5</w:t>
            </w:r>
          </w:p>
        </w:tc>
        <w:tc>
          <w:tcPr>
            <w:tcW w:w="4433" w:type="dxa"/>
            <w:tcBorders>
              <w:top w:val="nil"/>
              <w:left w:val="nil"/>
              <w:bottom w:val="single" w:sz="4" w:space="0" w:color="auto"/>
              <w:right w:val="single" w:sz="4" w:space="0" w:color="auto"/>
            </w:tcBorders>
            <w:shd w:val="clear" w:color="000000" w:fill="D9D9D9"/>
            <w:vAlign w:val="center"/>
            <w:hideMark/>
          </w:tcPr>
          <w:p w14:paraId="24EF87B6" w14:textId="77777777" w:rsidR="00DB0966" w:rsidRDefault="00DB0966">
            <w:pPr>
              <w:jc w:val="center"/>
              <w:rPr>
                <w:rFonts w:ascii="Calibri" w:hAnsi="Calibri" w:cs="Calibri"/>
                <w:b/>
                <w:bCs/>
                <w:sz w:val="22"/>
                <w:szCs w:val="22"/>
              </w:rPr>
            </w:pPr>
            <w:r>
              <w:rPr>
                <w:rFonts w:ascii="Calibri" w:hAnsi="Calibri" w:cs="Calibri"/>
                <w:b/>
                <w:bCs/>
                <w:sz w:val="22"/>
                <w:szCs w:val="22"/>
              </w:rPr>
              <w:t>IZDACI ZA FINANCIJSKU IMOVINU I OTPLATE ZAJMOVA</w:t>
            </w:r>
          </w:p>
        </w:tc>
        <w:tc>
          <w:tcPr>
            <w:tcW w:w="1506" w:type="dxa"/>
            <w:tcBorders>
              <w:top w:val="nil"/>
              <w:left w:val="nil"/>
              <w:bottom w:val="single" w:sz="4" w:space="0" w:color="auto"/>
              <w:right w:val="single" w:sz="4" w:space="0" w:color="auto"/>
            </w:tcBorders>
            <w:shd w:val="clear" w:color="000000" w:fill="D9D9D9"/>
            <w:noWrap/>
            <w:vAlign w:val="bottom"/>
            <w:hideMark/>
          </w:tcPr>
          <w:p w14:paraId="14360C17" w14:textId="77777777" w:rsidR="00DB0966" w:rsidRDefault="00DB0966">
            <w:pPr>
              <w:jc w:val="right"/>
              <w:rPr>
                <w:rFonts w:ascii="Calibri" w:hAnsi="Calibri" w:cs="Calibri"/>
                <w:b/>
                <w:bCs/>
                <w:sz w:val="22"/>
                <w:szCs w:val="22"/>
              </w:rPr>
            </w:pPr>
            <w:r>
              <w:rPr>
                <w:rFonts w:ascii="Calibri" w:hAnsi="Calibri" w:cs="Calibri"/>
                <w:b/>
                <w:bCs/>
                <w:sz w:val="22"/>
                <w:szCs w:val="22"/>
              </w:rPr>
              <w:t>153.683,53</w:t>
            </w:r>
          </w:p>
        </w:tc>
        <w:tc>
          <w:tcPr>
            <w:tcW w:w="1506" w:type="dxa"/>
            <w:tcBorders>
              <w:top w:val="nil"/>
              <w:left w:val="nil"/>
              <w:bottom w:val="single" w:sz="4" w:space="0" w:color="auto"/>
              <w:right w:val="single" w:sz="4" w:space="0" w:color="auto"/>
            </w:tcBorders>
            <w:shd w:val="clear" w:color="000000" w:fill="D9D9D9"/>
            <w:noWrap/>
            <w:vAlign w:val="bottom"/>
            <w:hideMark/>
          </w:tcPr>
          <w:p w14:paraId="787A7FF4" w14:textId="77777777" w:rsidR="00DB0966" w:rsidRDefault="00DB0966">
            <w:pPr>
              <w:jc w:val="right"/>
              <w:rPr>
                <w:rFonts w:ascii="Calibri" w:hAnsi="Calibri" w:cs="Calibri"/>
                <w:b/>
                <w:bCs/>
                <w:sz w:val="22"/>
                <w:szCs w:val="22"/>
              </w:rPr>
            </w:pPr>
            <w:r>
              <w:rPr>
                <w:rFonts w:ascii="Calibri" w:hAnsi="Calibri" w:cs="Calibri"/>
                <w:b/>
                <w:bCs/>
                <w:sz w:val="22"/>
                <w:szCs w:val="22"/>
              </w:rPr>
              <w:t>153.550,00</w:t>
            </w:r>
          </w:p>
        </w:tc>
        <w:tc>
          <w:tcPr>
            <w:tcW w:w="1506" w:type="dxa"/>
            <w:tcBorders>
              <w:top w:val="nil"/>
              <w:left w:val="nil"/>
              <w:bottom w:val="single" w:sz="4" w:space="0" w:color="auto"/>
              <w:right w:val="single" w:sz="4" w:space="0" w:color="auto"/>
            </w:tcBorders>
            <w:shd w:val="clear" w:color="000000" w:fill="D9D9D9"/>
            <w:noWrap/>
            <w:vAlign w:val="bottom"/>
            <w:hideMark/>
          </w:tcPr>
          <w:p w14:paraId="0E8BBD4A" w14:textId="77777777" w:rsidR="00DB0966" w:rsidRDefault="00DB0966">
            <w:pPr>
              <w:jc w:val="right"/>
              <w:rPr>
                <w:rFonts w:ascii="Calibri" w:hAnsi="Calibri" w:cs="Calibri"/>
                <w:b/>
                <w:bCs/>
                <w:sz w:val="22"/>
                <w:szCs w:val="22"/>
              </w:rPr>
            </w:pPr>
            <w:r>
              <w:rPr>
                <w:rFonts w:ascii="Calibri" w:hAnsi="Calibri" w:cs="Calibri"/>
                <w:b/>
                <w:bCs/>
                <w:sz w:val="22"/>
                <w:szCs w:val="22"/>
              </w:rPr>
              <w:t>153.533,63</w:t>
            </w:r>
          </w:p>
        </w:tc>
        <w:tc>
          <w:tcPr>
            <w:tcW w:w="877" w:type="dxa"/>
            <w:tcBorders>
              <w:top w:val="nil"/>
              <w:left w:val="nil"/>
              <w:bottom w:val="single" w:sz="4" w:space="0" w:color="auto"/>
              <w:right w:val="single" w:sz="4" w:space="0" w:color="auto"/>
            </w:tcBorders>
            <w:shd w:val="clear" w:color="000000" w:fill="D9D9D9"/>
            <w:noWrap/>
            <w:vAlign w:val="bottom"/>
            <w:hideMark/>
          </w:tcPr>
          <w:p w14:paraId="21E966EC" w14:textId="77777777" w:rsidR="00DB0966" w:rsidRDefault="00DB0966">
            <w:pPr>
              <w:jc w:val="center"/>
              <w:rPr>
                <w:rFonts w:ascii="Calibri" w:hAnsi="Calibri" w:cs="Calibri"/>
                <w:b/>
                <w:bCs/>
                <w:sz w:val="22"/>
                <w:szCs w:val="22"/>
              </w:rPr>
            </w:pPr>
            <w:r>
              <w:rPr>
                <w:rFonts w:ascii="Calibri" w:hAnsi="Calibri" w:cs="Calibri"/>
                <w:b/>
                <w:bCs/>
                <w:sz w:val="22"/>
                <w:szCs w:val="22"/>
              </w:rPr>
              <w:t>100%</w:t>
            </w:r>
          </w:p>
        </w:tc>
        <w:tc>
          <w:tcPr>
            <w:tcW w:w="804" w:type="dxa"/>
            <w:tcBorders>
              <w:top w:val="nil"/>
              <w:left w:val="nil"/>
              <w:bottom w:val="single" w:sz="4" w:space="0" w:color="auto"/>
              <w:right w:val="single" w:sz="4" w:space="0" w:color="auto"/>
            </w:tcBorders>
            <w:shd w:val="clear" w:color="000000" w:fill="D9D9D9"/>
            <w:noWrap/>
            <w:vAlign w:val="bottom"/>
            <w:hideMark/>
          </w:tcPr>
          <w:p w14:paraId="121E3791" w14:textId="77777777" w:rsidR="00DB0966" w:rsidRDefault="00DB0966">
            <w:pPr>
              <w:jc w:val="center"/>
              <w:rPr>
                <w:rFonts w:ascii="Calibri" w:hAnsi="Calibri" w:cs="Calibri"/>
                <w:b/>
                <w:bCs/>
                <w:sz w:val="22"/>
                <w:szCs w:val="22"/>
              </w:rPr>
            </w:pPr>
            <w:r>
              <w:rPr>
                <w:rFonts w:ascii="Calibri" w:hAnsi="Calibri" w:cs="Calibri"/>
                <w:b/>
                <w:bCs/>
                <w:sz w:val="22"/>
                <w:szCs w:val="22"/>
              </w:rPr>
              <w:t>100%</w:t>
            </w:r>
          </w:p>
        </w:tc>
        <w:tc>
          <w:tcPr>
            <w:tcW w:w="222" w:type="dxa"/>
            <w:vAlign w:val="center"/>
            <w:hideMark/>
          </w:tcPr>
          <w:p w14:paraId="2C466242" w14:textId="77777777" w:rsidR="00DB0966" w:rsidRDefault="00DB0966">
            <w:pPr>
              <w:rPr>
                <w:sz w:val="20"/>
                <w:szCs w:val="20"/>
              </w:rPr>
            </w:pPr>
          </w:p>
        </w:tc>
      </w:tr>
      <w:tr w:rsidR="00DB0966" w14:paraId="15087445" w14:textId="77777777" w:rsidTr="00DB0966">
        <w:trPr>
          <w:trHeight w:val="580"/>
          <w:jc w:val="center"/>
        </w:trPr>
        <w:tc>
          <w:tcPr>
            <w:tcW w:w="665" w:type="dxa"/>
            <w:tcBorders>
              <w:top w:val="nil"/>
              <w:left w:val="single" w:sz="4" w:space="0" w:color="auto"/>
              <w:bottom w:val="single" w:sz="4" w:space="0" w:color="auto"/>
              <w:right w:val="single" w:sz="4" w:space="0" w:color="auto"/>
            </w:tcBorders>
            <w:shd w:val="clear" w:color="000000" w:fill="FFFFFF"/>
            <w:noWrap/>
            <w:vAlign w:val="bottom"/>
            <w:hideMark/>
          </w:tcPr>
          <w:p w14:paraId="2A89D98E" w14:textId="77777777" w:rsidR="00DB0966" w:rsidRDefault="00DB0966">
            <w:pPr>
              <w:jc w:val="center"/>
              <w:rPr>
                <w:rFonts w:ascii="Calibri" w:hAnsi="Calibri" w:cs="Calibri"/>
                <w:b/>
                <w:bCs/>
                <w:sz w:val="22"/>
                <w:szCs w:val="22"/>
              </w:rPr>
            </w:pPr>
            <w:r>
              <w:rPr>
                <w:rFonts w:ascii="Calibri" w:hAnsi="Calibri" w:cs="Calibri"/>
                <w:b/>
                <w:bCs/>
                <w:sz w:val="22"/>
                <w:szCs w:val="22"/>
              </w:rPr>
              <w:t>54</w:t>
            </w:r>
          </w:p>
        </w:tc>
        <w:tc>
          <w:tcPr>
            <w:tcW w:w="4433" w:type="dxa"/>
            <w:tcBorders>
              <w:top w:val="nil"/>
              <w:left w:val="nil"/>
              <w:bottom w:val="single" w:sz="4" w:space="0" w:color="auto"/>
              <w:right w:val="single" w:sz="4" w:space="0" w:color="auto"/>
            </w:tcBorders>
            <w:shd w:val="clear" w:color="000000" w:fill="FFFFFF"/>
            <w:vAlign w:val="center"/>
            <w:hideMark/>
          </w:tcPr>
          <w:p w14:paraId="056BEEB6" w14:textId="77777777" w:rsidR="00DB0966" w:rsidRDefault="00DB0966">
            <w:pPr>
              <w:rPr>
                <w:rFonts w:ascii="Calibri" w:hAnsi="Calibri" w:cs="Calibri"/>
                <w:b/>
                <w:bCs/>
                <w:sz w:val="22"/>
                <w:szCs w:val="22"/>
              </w:rPr>
            </w:pPr>
            <w:r>
              <w:rPr>
                <w:rFonts w:ascii="Calibri" w:hAnsi="Calibri" w:cs="Calibri"/>
                <w:b/>
                <w:bCs/>
                <w:sz w:val="22"/>
                <w:szCs w:val="22"/>
              </w:rPr>
              <w:t>IZDACI ZA OTPLATU GLAVNICE PRIMLJENIH KREDITA I ZAJMOVA</w:t>
            </w:r>
          </w:p>
        </w:tc>
        <w:tc>
          <w:tcPr>
            <w:tcW w:w="1506" w:type="dxa"/>
            <w:tcBorders>
              <w:top w:val="nil"/>
              <w:left w:val="nil"/>
              <w:bottom w:val="single" w:sz="4" w:space="0" w:color="auto"/>
              <w:right w:val="single" w:sz="4" w:space="0" w:color="auto"/>
            </w:tcBorders>
            <w:noWrap/>
            <w:vAlign w:val="bottom"/>
            <w:hideMark/>
          </w:tcPr>
          <w:p w14:paraId="18B17298" w14:textId="77777777" w:rsidR="00DB0966" w:rsidRDefault="00DB0966">
            <w:pPr>
              <w:jc w:val="right"/>
              <w:rPr>
                <w:rFonts w:ascii="Calibri" w:hAnsi="Calibri" w:cs="Calibri"/>
                <w:b/>
                <w:bCs/>
                <w:sz w:val="22"/>
                <w:szCs w:val="22"/>
              </w:rPr>
            </w:pPr>
            <w:r>
              <w:rPr>
                <w:rFonts w:ascii="Calibri" w:hAnsi="Calibri" w:cs="Calibri"/>
                <w:b/>
                <w:bCs/>
                <w:sz w:val="22"/>
                <w:szCs w:val="22"/>
              </w:rPr>
              <w:t>153.683,53</w:t>
            </w:r>
          </w:p>
        </w:tc>
        <w:tc>
          <w:tcPr>
            <w:tcW w:w="1506" w:type="dxa"/>
            <w:tcBorders>
              <w:top w:val="nil"/>
              <w:left w:val="nil"/>
              <w:bottom w:val="single" w:sz="4" w:space="0" w:color="auto"/>
              <w:right w:val="single" w:sz="4" w:space="0" w:color="auto"/>
            </w:tcBorders>
            <w:noWrap/>
            <w:vAlign w:val="bottom"/>
            <w:hideMark/>
          </w:tcPr>
          <w:p w14:paraId="6A85E6B7" w14:textId="77777777" w:rsidR="00DB0966" w:rsidRDefault="00DB0966">
            <w:pPr>
              <w:jc w:val="right"/>
              <w:rPr>
                <w:rFonts w:ascii="Calibri" w:hAnsi="Calibri" w:cs="Calibri"/>
                <w:b/>
                <w:bCs/>
                <w:sz w:val="22"/>
                <w:szCs w:val="22"/>
              </w:rPr>
            </w:pPr>
            <w:r>
              <w:rPr>
                <w:rFonts w:ascii="Calibri" w:hAnsi="Calibri" w:cs="Calibri"/>
                <w:b/>
                <w:bCs/>
                <w:sz w:val="22"/>
                <w:szCs w:val="22"/>
              </w:rPr>
              <w:t> </w:t>
            </w:r>
          </w:p>
        </w:tc>
        <w:tc>
          <w:tcPr>
            <w:tcW w:w="1506" w:type="dxa"/>
            <w:tcBorders>
              <w:top w:val="nil"/>
              <w:left w:val="nil"/>
              <w:bottom w:val="single" w:sz="4" w:space="0" w:color="auto"/>
              <w:right w:val="single" w:sz="4" w:space="0" w:color="auto"/>
            </w:tcBorders>
            <w:noWrap/>
            <w:vAlign w:val="bottom"/>
            <w:hideMark/>
          </w:tcPr>
          <w:p w14:paraId="2DF0EED8" w14:textId="77777777" w:rsidR="00DB0966" w:rsidRDefault="00DB0966">
            <w:pPr>
              <w:jc w:val="right"/>
              <w:rPr>
                <w:rFonts w:ascii="Calibri" w:hAnsi="Calibri" w:cs="Calibri"/>
                <w:b/>
                <w:bCs/>
                <w:sz w:val="22"/>
                <w:szCs w:val="22"/>
              </w:rPr>
            </w:pPr>
            <w:r>
              <w:rPr>
                <w:rFonts w:ascii="Calibri" w:hAnsi="Calibri" w:cs="Calibri"/>
                <w:b/>
                <w:bCs/>
                <w:sz w:val="22"/>
                <w:szCs w:val="22"/>
              </w:rPr>
              <w:t>153.533,63</w:t>
            </w:r>
          </w:p>
        </w:tc>
        <w:tc>
          <w:tcPr>
            <w:tcW w:w="877" w:type="dxa"/>
            <w:tcBorders>
              <w:top w:val="nil"/>
              <w:left w:val="nil"/>
              <w:bottom w:val="single" w:sz="4" w:space="0" w:color="auto"/>
              <w:right w:val="single" w:sz="4" w:space="0" w:color="auto"/>
            </w:tcBorders>
            <w:noWrap/>
            <w:vAlign w:val="bottom"/>
            <w:hideMark/>
          </w:tcPr>
          <w:p w14:paraId="0F07B1AF" w14:textId="77777777" w:rsidR="00DB0966" w:rsidRDefault="00DB0966">
            <w:pPr>
              <w:jc w:val="center"/>
              <w:rPr>
                <w:rFonts w:ascii="Calibri" w:hAnsi="Calibri" w:cs="Calibri"/>
                <w:b/>
                <w:bCs/>
                <w:color w:val="000000"/>
                <w:sz w:val="22"/>
                <w:szCs w:val="22"/>
              </w:rPr>
            </w:pPr>
            <w:r>
              <w:rPr>
                <w:rFonts w:ascii="Calibri" w:hAnsi="Calibri" w:cs="Calibri"/>
                <w:b/>
                <w:bCs/>
                <w:color w:val="000000"/>
                <w:sz w:val="22"/>
                <w:szCs w:val="22"/>
              </w:rPr>
              <w:t>100%</w:t>
            </w:r>
          </w:p>
        </w:tc>
        <w:tc>
          <w:tcPr>
            <w:tcW w:w="804" w:type="dxa"/>
            <w:tcBorders>
              <w:top w:val="nil"/>
              <w:left w:val="nil"/>
              <w:bottom w:val="single" w:sz="4" w:space="0" w:color="auto"/>
              <w:right w:val="single" w:sz="4" w:space="0" w:color="auto"/>
            </w:tcBorders>
            <w:noWrap/>
            <w:vAlign w:val="bottom"/>
            <w:hideMark/>
          </w:tcPr>
          <w:p w14:paraId="3538388D" w14:textId="77777777" w:rsidR="00DB0966" w:rsidRDefault="00DB0966">
            <w:pPr>
              <w:jc w:val="center"/>
              <w:rPr>
                <w:rFonts w:ascii="Calibri" w:hAnsi="Calibri" w:cs="Calibri"/>
                <w:b/>
                <w:bCs/>
                <w:color w:val="000000"/>
                <w:sz w:val="22"/>
                <w:szCs w:val="22"/>
              </w:rPr>
            </w:pPr>
            <w:r>
              <w:rPr>
                <w:rFonts w:ascii="Calibri" w:hAnsi="Calibri" w:cs="Calibri"/>
                <w:b/>
                <w:bCs/>
                <w:color w:val="000000"/>
                <w:sz w:val="22"/>
                <w:szCs w:val="22"/>
              </w:rPr>
              <w:t> </w:t>
            </w:r>
          </w:p>
        </w:tc>
        <w:tc>
          <w:tcPr>
            <w:tcW w:w="222" w:type="dxa"/>
            <w:vAlign w:val="center"/>
            <w:hideMark/>
          </w:tcPr>
          <w:p w14:paraId="48DE58FB" w14:textId="77777777" w:rsidR="00DB0966" w:rsidRDefault="00DB0966">
            <w:pPr>
              <w:rPr>
                <w:sz w:val="20"/>
                <w:szCs w:val="20"/>
              </w:rPr>
            </w:pPr>
          </w:p>
        </w:tc>
      </w:tr>
      <w:tr w:rsidR="00DB0966" w14:paraId="6FB631EB" w14:textId="77777777" w:rsidTr="00DB0966">
        <w:trPr>
          <w:trHeight w:val="290"/>
          <w:jc w:val="center"/>
        </w:trPr>
        <w:tc>
          <w:tcPr>
            <w:tcW w:w="665" w:type="dxa"/>
            <w:tcBorders>
              <w:top w:val="nil"/>
              <w:left w:val="single" w:sz="4" w:space="0" w:color="auto"/>
              <w:bottom w:val="single" w:sz="4" w:space="0" w:color="auto"/>
              <w:right w:val="single" w:sz="4" w:space="0" w:color="auto"/>
            </w:tcBorders>
            <w:shd w:val="clear" w:color="000000" w:fill="FFFFFF"/>
            <w:noWrap/>
            <w:vAlign w:val="bottom"/>
            <w:hideMark/>
          </w:tcPr>
          <w:p w14:paraId="006141CE" w14:textId="77777777" w:rsidR="00DB0966" w:rsidRDefault="00DB0966">
            <w:pPr>
              <w:jc w:val="center"/>
              <w:rPr>
                <w:rFonts w:ascii="Calibri" w:hAnsi="Calibri" w:cs="Calibri"/>
                <w:b/>
                <w:bCs/>
                <w:sz w:val="22"/>
                <w:szCs w:val="22"/>
              </w:rPr>
            </w:pPr>
            <w:r>
              <w:rPr>
                <w:rFonts w:ascii="Calibri" w:hAnsi="Calibri" w:cs="Calibri"/>
                <w:b/>
                <w:bCs/>
                <w:sz w:val="22"/>
                <w:szCs w:val="22"/>
              </w:rPr>
              <w:t>544</w:t>
            </w:r>
          </w:p>
        </w:tc>
        <w:tc>
          <w:tcPr>
            <w:tcW w:w="4433" w:type="dxa"/>
            <w:tcBorders>
              <w:top w:val="nil"/>
              <w:left w:val="nil"/>
              <w:bottom w:val="single" w:sz="4" w:space="0" w:color="auto"/>
              <w:right w:val="single" w:sz="4" w:space="0" w:color="auto"/>
            </w:tcBorders>
            <w:shd w:val="clear" w:color="000000" w:fill="FFFFFF"/>
            <w:vAlign w:val="center"/>
            <w:hideMark/>
          </w:tcPr>
          <w:p w14:paraId="2E261AEF" w14:textId="77777777" w:rsidR="00DB0966" w:rsidRDefault="00DB0966">
            <w:pPr>
              <w:rPr>
                <w:rFonts w:ascii="Calibri" w:hAnsi="Calibri" w:cs="Calibri"/>
                <w:b/>
                <w:bCs/>
                <w:sz w:val="22"/>
                <w:szCs w:val="22"/>
              </w:rPr>
            </w:pPr>
            <w:r>
              <w:rPr>
                <w:rFonts w:ascii="Calibri" w:hAnsi="Calibri" w:cs="Calibri"/>
                <w:b/>
                <w:bCs/>
                <w:sz w:val="22"/>
                <w:szCs w:val="22"/>
              </w:rPr>
              <w:t>Otplata glavnice primljenih kredita</w:t>
            </w:r>
          </w:p>
        </w:tc>
        <w:tc>
          <w:tcPr>
            <w:tcW w:w="1506" w:type="dxa"/>
            <w:tcBorders>
              <w:top w:val="nil"/>
              <w:left w:val="nil"/>
              <w:bottom w:val="single" w:sz="4" w:space="0" w:color="auto"/>
              <w:right w:val="single" w:sz="4" w:space="0" w:color="auto"/>
            </w:tcBorders>
            <w:noWrap/>
            <w:vAlign w:val="bottom"/>
            <w:hideMark/>
          </w:tcPr>
          <w:p w14:paraId="06E404EB" w14:textId="77777777" w:rsidR="00DB0966" w:rsidRDefault="00DB0966">
            <w:pPr>
              <w:jc w:val="right"/>
              <w:rPr>
                <w:rFonts w:ascii="Calibri" w:hAnsi="Calibri" w:cs="Calibri"/>
                <w:b/>
                <w:bCs/>
                <w:sz w:val="22"/>
                <w:szCs w:val="22"/>
              </w:rPr>
            </w:pPr>
            <w:r>
              <w:rPr>
                <w:rFonts w:ascii="Calibri" w:hAnsi="Calibri" w:cs="Calibri"/>
                <w:b/>
                <w:bCs/>
                <w:sz w:val="22"/>
                <w:szCs w:val="22"/>
              </w:rPr>
              <w:t>153.683,53</w:t>
            </w:r>
          </w:p>
        </w:tc>
        <w:tc>
          <w:tcPr>
            <w:tcW w:w="1506" w:type="dxa"/>
            <w:tcBorders>
              <w:top w:val="nil"/>
              <w:left w:val="nil"/>
              <w:bottom w:val="single" w:sz="4" w:space="0" w:color="auto"/>
              <w:right w:val="single" w:sz="4" w:space="0" w:color="auto"/>
            </w:tcBorders>
            <w:noWrap/>
            <w:vAlign w:val="bottom"/>
            <w:hideMark/>
          </w:tcPr>
          <w:p w14:paraId="749D4ECF" w14:textId="77777777" w:rsidR="00DB0966" w:rsidRDefault="00DB0966">
            <w:pPr>
              <w:jc w:val="right"/>
              <w:rPr>
                <w:rFonts w:ascii="Calibri" w:hAnsi="Calibri" w:cs="Calibri"/>
                <w:b/>
                <w:bCs/>
                <w:sz w:val="22"/>
                <w:szCs w:val="22"/>
              </w:rPr>
            </w:pPr>
            <w:r>
              <w:rPr>
                <w:rFonts w:ascii="Calibri" w:hAnsi="Calibri" w:cs="Calibri"/>
                <w:b/>
                <w:bCs/>
                <w:sz w:val="22"/>
                <w:szCs w:val="22"/>
              </w:rPr>
              <w:t> </w:t>
            </w:r>
          </w:p>
        </w:tc>
        <w:tc>
          <w:tcPr>
            <w:tcW w:w="1506" w:type="dxa"/>
            <w:tcBorders>
              <w:top w:val="nil"/>
              <w:left w:val="nil"/>
              <w:bottom w:val="single" w:sz="4" w:space="0" w:color="auto"/>
              <w:right w:val="single" w:sz="4" w:space="0" w:color="auto"/>
            </w:tcBorders>
            <w:noWrap/>
            <w:vAlign w:val="bottom"/>
            <w:hideMark/>
          </w:tcPr>
          <w:p w14:paraId="51E5582E" w14:textId="77777777" w:rsidR="00DB0966" w:rsidRDefault="00DB0966">
            <w:pPr>
              <w:jc w:val="right"/>
              <w:rPr>
                <w:rFonts w:ascii="Calibri" w:hAnsi="Calibri" w:cs="Calibri"/>
                <w:b/>
                <w:bCs/>
                <w:sz w:val="22"/>
                <w:szCs w:val="22"/>
              </w:rPr>
            </w:pPr>
            <w:r>
              <w:rPr>
                <w:rFonts w:ascii="Calibri" w:hAnsi="Calibri" w:cs="Calibri"/>
                <w:b/>
                <w:bCs/>
                <w:sz w:val="22"/>
                <w:szCs w:val="22"/>
              </w:rPr>
              <w:t>153.533,63</w:t>
            </w:r>
          </w:p>
        </w:tc>
        <w:tc>
          <w:tcPr>
            <w:tcW w:w="877" w:type="dxa"/>
            <w:tcBorders>
              <w:top w:val="nil"/>
              <w:left w:val="nil"/>
              <w:bottom w:val="single" w:sz="4" w:space="0" w:color="auto"/>
              <w:right w:val="single" w:sz="4" w:space="0" w:color="auto"/>
            </w:tcBorders>
            <w:noWrap/>
            <w:vAlign w:val="bottom"/>
            <w:hideMark/>
          </w:tcPr>
          <w:p w14:paraId="6674B5A6" w14:textId="77777777" w:rsidR="00DB0966" w:rsidRDefault="00DB0966">
            <w:pPr>
              <w:jc w:val="center"/>
              <w:rPr>
                <w:rFonts w:ascii="Calibri" w:hAnsi="Calibri" w:cs="Calibri"/>
                <w:b/>
                <w:bCs/>
                <w:color w:val="000000"/>
                <w:sz w:val="22"/>
                <w:szCs w:val="22"/>
              </w:rPr>
            </w:pPr>
            <w:r>
              <w:rPr>
                <w:rFonts w:ascii="Calibri" w:hAnsi="Calibri" w:cs="Calibri"/>
                <w:b/>
                <w:bCs/>
                <w:color w:val="000000"/>
                <w:sz w:val="22"/>
                <w:szCs w:val="22"/>
              </w:rPr>
              <w:t>100%</w:t>
            </w:r>
          </w:p>
        </w:tc>
        <w:tc>
          <w:tcPr>
            <w:tcW w:w="804" w:type="dxa"/>
            <w:tcBorders>
              <w:top w:val="nil"/>
              <w:left w:val="nil"/>
              <w:bottom w:val="single" w:sz="4" w:space="0" w:color="auto"/>
              <w:right w:val="single" w:sz="4" w:space="0" w:color="auto"/>
            </w:tcBorders>
            <w:noWrap/>
            <w:vAlign w:val="bottom"/>
            <w:hideMark/>
          </w:tcPr>
          <w:p w14:paraId="26699273" w14:textId="77777777" w:rsidR="00DB0966" w:rsidRDefault="00DB0966">
            <w:pPr>
              <w:jc w:val="center"/>
              <w:rPr>
                <w:rFonts w:ascii="Calibri" w:hAnsi="Calibri" w:cs="Calibri"/>
                <w:b/>
                <w:bCs/>
                <w:color w:val="000000"/>
                <w:sz w:val="22"/>
                <w:szCs w:val="22"/>
              </w:rPr>
            </w:pPr>
            <w:r>
              <w:rPr>
                <w:rFonts w:ascii="Calibri" w:hAnsi="Calibri" w:cs="Calibri"/>
                <w:b/>
                <w:bCs/>
                <w:color w:val="000000"/>
                <w:sz w:val="22"/>
                <w:szCs w:val="22"/>
              </w:rPr>
              <w:t> </w:t>
            </w:r>
          </w:p>
        </w:tc>
        <w:tc>
          <w:tcPr>
            <w:tcW w:w="222" w:type="dxa"/>
            <w:vAlign w:val="center"/>
            <w:hideMark/>
          </w:tcPr>
          <w:p w14:paraId="3B2403E5" w14:textId="77777777" w:rsidR="00DB0966" w:rsidRDefault="00DB0966">
            <w:pPr>
              <w:rPr>
                <w:sz w:val="20"/>
                <w:szCs w:val="20"/>
              </w:rPr>
            </w:pPr>
          </w:p>
        </w:tc>
      </w:tr>
      <w:tr w:rsidR="00DB0966" w14:paraId="49C12820" w14:textId="77777777" w:rsidTr="00DB0966">
        <w:trPr>
          <w:trHeight w:val="560"/>
          <w:jc w:val="center"/>
        </w:trPr>
        <w:tc>
          <w:tcPr>
            <w:tcW w:w="665" w:type="dxa"/>
            <w:tcBorders>
              <w:top w:val="nil"/>
              <w:left w:val="single" w:sz="4" w:space="0" w:color="auto"/>
              <w:bottom w:val="single" w:sz="4" w:space="0" w:color="auto"/>
              <w:right w:val="single" w:sz="4" w:space="0" w:color="auto"/>
            </w:tcBorders>
            <w:shd w:val="clear" w:color="000000" w:fill="FFFFFF"/>
            <w:noWrap/>
            <w:vAlign w:val="bottom"/>
            <w:hideMark/>
          </w:tcPr>
          <w:p w14:paraId="3BA5FA62" w14:textId="77777777" w:rsidR="00DB0966" w:rsidRDefault="00DB0966">
            <w:pPr>
              <w:jc w:val="center"/>
              <w:rPr>
                <w:rFonts w:ascii="Calibri" w:hAnsi="Calibri" w:cs="Calibri"/>
                <w:sz w:val="22"/>
                <w:szCs w:val="22"/>
              </w:rPr>
            </w:pPr>
            <w:r>
              <w:rPr>
                <w:rFonts w:ascii="Calibri" w:hAnsi="Calibri" w:cs="Calibri"/>
                <w:sz w:val="22"/>
                <w:szCs w:val="22"/>
              </w:rPr>
              <w:t>5443</w:t>
            </w:r>
          </w:p>
        </w:tc>
        <w:tc>
          <w:tcPr>
            <w:tcW w:w="4433" w:type="dxa"/>
            <w:tcBorders>
              <w:top w:val="nil"/>
              <w:left w:val="nil"/>
              <w:bottom w:val="single" w:sz="4" w:space="0" w:color="auto"/>
              <w:right w:val="single" w:sz="4" w:space="0" w:color="auto"/>
            </w:tcBorders>
            <w:vAlign w:val="bottom"/>
            <w:hideMark/>
          </w:tcPr>
          <w:p w14:paraId="69835EBC" w14:textId="77777777" w:rsidR="00DB0966" w:rsidRDefault="00DB0966">
            <w:pPr>
              <w:rPr>
                <w:rFonts w:ascii="Calibri" w:hAnsi="Calibri" w:cs="Calibri"/>
                <w:sz w:val="22"/>
                <w:szCs w:val="22"/>
              </w:rPr>
            </w:pPr>
            <w:r>
              <w:rPr>
                <w:rFonts w:ascii="Calibri" w:hAnsi="Calibri" w:cs="Calibri"/>
                <w:sz w:val="22"/>
                <w:szCs w:val="22"/>
              </w:rPr>
              <w:t xml:space="preserve">Otplata glavnice primljenih kredita od </w:t>
            </w:r>
            <w:r>
              <w:rPr>
                <w:rFonts w:ascii="Calibri" w:hAnsi="Calibri" w:cs="Calibri"/>
                <w:sz w:val="20"/>
                <w:szCs w:val="20"/>
              </w:rPr>
              <w:t xml:space="preserve">tuzemnih kreditnih </w:t>
            </w:r>
            <w:proofErr w:type="spellStart"/>
            <w:r>
              <w:rPr>
                <w:rFonts w:ascii="Calibri" w:hAnsi="Calibri" w:cs="Calibri"/>
                <w:sz w:val="20"/>
                <w:szCs w:val="20"/>
              </w:rPr>
              <w:t>instit</w:t>
            </w:r>
            <w:proofErr w:type="spellEnd"/>
            <w:r>
              <w:rPr>
                <w:rFonts w:ascii="Calibri" w:hAnsi="Calibri" w:cs="Calibri"/>
                <w:sz w:val="20"/>
                <w:szCs w:val="20"/>
              </w:rPr>
              <w:t>. izvan javnog sektora</w:t>
            </w:r>
          </w:p>
        </w:tc>
        <w:tc>
          <w:tcPr>
            <w:tcW w:w="1506" w:type="dxa"/>
            <w:tcBorders>
              <w:top w:val="nil"/>
              <w:left w:val="nil"/>
              <w:bottom w:val="single" w:sz="4" w:space="0" w:color="auto"/>
              <w:right w:val="single" w:sz="4" w:space="0" w:color="auto"/>
            </w:tcBorders>
            <w:vAlign w:val="bottom"/>
            <w:hideMark/>
          </w:tcPr>
          <w:p w14:paraId="6FD64A08" w14:textId="77777777" w:rsidR="00DB0966" w:rsidRDefault="00DB0966">
            <w:pPr>
              <w:jc w:val="right"/>
              <w:rPr>
                <w:rFonts w:ascii="Calibri" w:hAnsi="Calibri" w:cs="Calibri"/>
                <w:sz w:val="22"/>
                <w:szCs w:val="22"/>
              </w:rPr>
            </w:pPr>
            <w:r>
              <w:rPr>
                <w:rFonts w:ascii="Calibri" w:hAnsi="Calibri" w:cs="Calibri"/>
                <w:sz w:val="22"/>
                <w:szCs w:val="22"/>
              </w:rPr>
              <w:t>153.683,53</w:t>
            </w:r>
          </w:p>
        </w:tc>
        <w:tc>
          <w:tcPr>
            <w:tcW w:w="1506" w:type="dxa"/>
            <w:tcBorders>
              <w:top w:val="nil"/>
              <w:left w:val="nil"/>
              <w:bottom w:val="single" w:sz="4" w:space="0" w:color="auto"/>
              <w:right w:val="single" w:sz="4" w:space="0" w:color="auto"/>
            </w:tcBorders>
            <w:noWrap/>
            <w:vAlign w:val="bottom"/>
            <w:hideMark/>
          </w:tcPr>
          <w:p w14:paraId="0AE2F8CA" w14:textId="77777777" w:rsidR="00DB0966" w:rsidRDefault="00DB0966">
            <w:pPr>
              <w:jc w:val="right"/>
              <w:rPr>
                <w:rFonts w:ascii="Calibri" w:hAnsi="Calibri" w:cs="Calibri"/>
                <w:sz w:val="22"/>
                <w:szCs w:val="22"/>
              </w:rPr>
            </w:pPr>
            <w:r>
              <w:rPr>
                <w:rFonts w:ascii="Calibri" w:hAnsi="Calibri" w:cs="Calibri"/>
                <w:sz w:val="22"/>
                <w:szCs w:val="22"/>
              </w:rPr>
              <w:t> </w:t>
            </w:r>
          </w:p>
        </w:tc>
        <w:tc>
          <w:tcPr>
            <w:tcW w:w="1506" w:type="dxa"/>
            <w:tcBorders>
              <w:top w:val="nil"/>
              <w:left w:val="nil"/>
              <w:bottom w:val="single" w:sz="4" w:space="0" w:color="auto"/>
              <w:right w:val="single" w:sz="4" w:space="0" w:color="auto"/>
            </w:tcBorders>
            <w:noWrap/>
            <w:vAlign w:val="bottom"/>
            <w:hideMark/>
          </w:tcPr>
          <w:p w14:paraId="406F15CE" w14:textId="77777777" w:rsidR="00DB0966" w:rsidRDefault="00DB0966">
            <w:pPr>
              <w:jc w:val="right"/>
              <w:rPr>
                <w:rFonts w:ascii="Calibri" w:hAnsi="Calibri" w:cs="Calibri"/>
                <w:sz w:val="22"/>
                <w:szCs w:val="22"/>
              </w:rPr>
            </w:pPr>
            <w:r>
              <w:rPr>
                <w:rFonts w:ascii="Calibri" w:hAnsi="Calibri" w:cs="Calibri"/>
                <w:sz w:val="22"/>
                <w:szCs w:val="22"/>
              </w:rPr>
              <w:t>153.533,63</w:t>
            </w:r>
          </w:p>
        </w:tc>
        <w:tc>
          <w:tcPr>
            <w:tcW w:w="877" w:type="dxa"/>
            <w:tcBorders>
              <w:top w:val="nil"/>
              <w:left w:val="nil"/>
              <w:bottom w:val="single" w:sz="4" w:space="0" w:color="auto"/>
              <w:right w:val="single" w:sz="4" w:space="0" w:color="auto"/>
            </w:tcBorders>
            <w:noWrap/>
            <w:vAlign w:val="bottom"/>
            <w:hideMark/>
          </w:tcPr>
          <w:p w14:paraId="00A45110"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100%</w:t>
            </w:r>
          </w:p>
        </w:tc>
        <w:tc>
          <w:tcPr>
            <w:tcW w:w="804" w:type="dxa"/>
            <w:tcBorders>
              <w:top w:val="nil"/>
              <w:left w:val="nil"/>
              <w:bottom w:val="single" w:sz="4" w:space="0" w:color="auto"/>
              <w:right w:val="single" w:sz="4" w:space="0" w:color="auto"/>
            </w:tcBorders>
            <w:noWrap/>
            <w:vAlign w:val="bottom"/>
            <w:hideMark/>
          </w:tcPr>
          <w:p w14:paraId="3AC68265" w14:textId="77777777" w:rsidR="00DB0966" w:rsidRDefault="00DB0966">
            <w:pPr>
              <w:jc w:val="center"/>
              <w:rPr>
                <w:rFonts w:ascii="Calibri" w:hAnsi="Calibri" w:cs="Calibri"/>
                <w:color w:val="000000"/>
                <w:sz w:val="22"/>
                <w:szCs w:val="22"/>
              </w:rPr>
            </w:pPr>
            <w:r>
              <w:rPr>
                <w:rFonts w:ascii="Calibri" w:hAnsi="Calibri" w:cs="Calibri"/>
                <w:color w:val="000000"/>
                <w:sz w:val="22"/>
                <w:szCs w:val="22"/>
              </w:rPr>
              <w:t> </w:t>
            </w:r>
          </w:p>
        </w:tc>
        <w:tc>
          <w:tcPr>
            <w:tcW w:w="222" w:type="dxa"/>
            <w:vAlign w:val="center"/>
            <w:hideMark/>
          </w:tcPr>
          <w:p w14:paraId="6C851D47" w14:textId="77777777" w:rsidR="00DB0966" w:rsidRDefault="00DB0966">
            <w:pPr>
              <w:rPr>
                <w:sz w:val="20"/>
                <w:szCs w:val="20"/>
              </w:rPr>
            </w:pPr>
          </w:p>
        </w:tc>
      </w:tr>
      <w:tr w:rsidR="00DB0966" w14:paraId="76075E61" w14:textId="77777777" w:rsidTr="00DB0966">
        <w:trPr>
          <w:trHeight w:val="492"/>
          <w:jc w:val="center"/>
        </w:trPr>
        <w:tc>
          <w:tcPr>
            <w:tcW w:w="665" w:type="dxa"/>
            <w:tcBorders>
              <w:top w:val="nil"/>
              <w:left w:val="single" w:sz="4" w:space="0" w:color="auto"/>
              <w:bottom w:val="single" w:sz="4" w:space="0" w:color="auto"/>
              <w:right w:val="single" w:sz="4" w:space="0" w:color="auto"/>
            </w:tcBorders>
            <w:shd w:val="clear" w:color="000000" w:fill="D9D9D9"/>
            <w:noWrap/>
            <w:vAlign w:val="bottom"/>
            <w:hideMark/>
          </w:tcPr>
          <w:p w14:paraId="122D2CDE" w14:textId="77777777" w:rsidR="00DB0966" w:rsidRDefault="00DB0966">
            <w:pPr>
              <w:jc w:val="center"/>
              <w:rPr>
                <w:rFonts w:ascii="Calibri" w:hAnsi="Calibri" w:cs="Calibri"/>
                <w:color w:val="000000"/>
              </w:rPr>
            </w:pPr>
            <w:r>
              <w:rPr>
                <w:rFonts w:ascii="Calibri" w:hAnsi="Calibri" w:cs="Calibri"/>
                <w:color w:val="000000"/>
              </w:rPr>
              <w:t> </w:t>
            </w:r>
          </w:p>
        </w:tc>
        <w:tc>
          <w:tcPr>
            <w:tcW w:w="4433" w:type="dxa"/>
            <w:tcBorders>
              <w:top w:val="nil"/>
              <w:left w:val="nil"/>
              <w:bottom w:val="single" w:sz="4" w:space="0" w:color="auto"/>
              <w:right w:val="single" w:sz="4" w:space="0" w:color="auto"/>
            </w:tcBorders>
            <w:shd w:val="clear" w:color="000000" w:fill="D9D9D9"/>
            <w:noWrap/>
            <w:vAlign w:val="bottom"/>
            <w:hideMark/>
          </w:tcPr>
          <w:p w14:paraId="6A1F00EF" w14:textId="77777777" w:rsidR="00DB0966" w:rsidRDefault="00DB0966">
            <w:pPr>
              <w:jc w:val="center"/>
              <w:rPr>
                <w:rFonts w:ascii="Calibri" w:hAnsi="Calibri" w:cs="Calibri"/>
                <w:b/>
                <w:bCs/>
                <w:color w:val="0000FF"/>
              </w:rPr>
            </w:pPr>
            <w:r>
              <w:rPr>
                <w:rFonts w:ascii="Calibri" w:hAnsi="Calibri" w:cs="Calibri"/>
                <w:b/>
                <w:bCs/>
                <w:color w:val="0000FF"/>
              </w:rPr>
              <w:t>UKUPNO RASHODI I IZDACI</w:t>
            </w:r>
          </w:p>
        </w:tc>
        <w:tc>
          <w:tcPr>
            <w:tcW w:w="1506" w:type="dxa"/>
            <w:tcBorders>
              <w:top w:val="nil"/>
              <w:left w:val="nil"/>
              <w:bottom w:val="single" w:sz="4" w:space="0" w:color="auto"/>
              <w:right w:val="single" w:sz="4" w:space="0" w:color="auto"/>
            </w:tcBorders>
            <w:shd w:val="clear" w:color="000000" w:fill="D9D9D9"/>
            <w:noWrap/>
            <w:vAlign w:val="bottom"/>
            <w:hideMark/>
          </w:tcPr>
          <w:p w14:paraId="4273CB2F" w14:textId="77777777" w:rsidR="00DB0966" w:rsidRDefault="00DB0966">
            <w:pPr>
              <w:jc w:val="right"/>
              <w:rPr>
                <w:rFonts w:ascii="Calibri" w:hAnsi="Calibri" w:cs="Calibri"/>
                <w:b/>
                <w:bCs/>
                <w:color w:val="0000FF"/>
                <w:sz w:val="22"/>
                <w:szCs w:val="22"/>
              </w:rPr>
            </w:pPr>
            <w:r>
              <w:rPr>
                <w:rFonts w:ascii="Calibri" w:hAnsi="Calibri" w:cs="Calibri"/>
                <w:b/>
                <w:bCs/>
                <w:color w:val="0000FF"/>
                <w:sz w:val="22"/>
                <w:szCs w:val="22"/>
              </w:rPr>
              <w:t>32.738.921,02</w:t>
            </w:r>
          </w:p>
        </w:tc>
        <w:tc>
          <w:tcPr>
            <w:tcW w:w="1506" w:type="dxa"/>
            <w:tcBorders>
              <w:top w:val="nil"/>
              <w:left w:val="nil"/>
              <w:bottom w:val="single" w:sz="4" w:space="0" w:color="auto"/>
              <w:right w:val="single" w:sz="4" w:space="0" w:color="auto"/>
            </w:tcBorders>
            <w:shd w:val="clear" w:color="000000" w:fill="D9D9D9"/>
            <w:noWrap/>
            <w:vAlign w:val="bottom"/>
            <w:hideMark/>
          </w:tcPr>
          <w:p w14:paraId="6F46954D" w14:textId="77777777" w:rsidR="00DB0966" w:rsidRDefault="00DB0966">
            <w:pPr>
              <w:jc w:val="right"/>
              <w:rPr>
                <w:rFonts w:ascii="Calibri" w:hAnsi="Calibri" w:cs="Calibri"/>
                <w:b/>
                <w:bCs/>
                <w:color w:val="0000FF"/>
                <w:sz w:val="22"/>
                <w:szCs w:val="22"/>
              </w:rPr>
            </w:pPr>
            <w:r>
              <w:rPr>
                <w:rFonts w:ascii="Calibri" w:hAnsi="Calibri" w:cs="Calibri"/>
                <w:b/>
                <w:bCs/>
                <w:color w:val="0000FF"/>
                <w:sz w:val="22"/>
                <w:szCs w:val="22"/>
              </w:rPr>
              <w:t>35.161.800,00</w:t>
            </w:r>
          </w:p>
        </w:tc>
        <w:tc>
          <w:tcPr>
            <w:tcW w:w="1506" w:type="dxa"/>
            <w:tcBorders>
              <w:top w:val="nil"/>
              <w:left w:val="nil"/>
              <w:bottom w:val="single" w:sz="4" w:space="0" w:color="auto"/>
              <w:right w:val="single" w:sz="4" w:space="0" w:color="auto"/>
            </w:tcBorders>
            <w:shd w:val="clear" w:color="000000" w:fill="D9D9D9"/>
            <w:noWrap/>
            <w:vAlign w:val="bottom"/>
            <w:hideMark/>
          </w:tcPr>
          <w:p w14:paraId="01DA92E7" w14:textId="77777777" w:rsidR="00DB0966" w:rsidRDefault="00DB0966">
            <w:pPr>
              <w:jc w:val="right"/>
              <w:rPr>
                <w:rFonts w:ascii="Calibri" w:hAnsi="Calibri" w:cs="Calibri"/>
                <w:b/>
                <w:bCs/>
                <w:color w:val="0000FF"/>
                <w:sz w:val="22"/>
                <w:szCs w:val="22"/>
              </w:rPr>
            </w:pPr>
            <w:r>
              <w:rPr>
                <w:rFonts w:ascii="Calibri" w:hAnsi="Calibri" w:cs="Calibri"/>
                <w:b/>
                <w:bCs/>
                <w:color w:val="0000FF"/>
                <w:sz w:val="22"/>
                <w:szCs w:val="22"/>
              </w:rPr>
              <w:t>35.125.460,27</w:t>
            </w:r>
          </w:p>
        </w:tc>
        <w:tc>
          <w:tcPr>
            <w:tcW w:w="877" w:type="dxa"/>
            <w:tcBorders>
              <w:top w:val="nil"/>
              <w:left w:val="nil"/>
              <w:bottom w:val="single" w:sz="4" w:space="0" w:color="auto"/>
              <w:right w:val="single" w:sz="4" w:space="0" w:color="auto"/>
            </w:tcBorders>
            <w:shd w:val="clear" w:color="000000" w:fill="D9D9D9"/>
            <w:noWrap/>
            <w:vAlign w:val="bottom"/>
            <w:hideMark/>
          </w:tcPr>
          <w:p w14:paraId="394258FF" w14:textId="77777777" w:rsidR="00DB0966" w:rsidRDefault="00DB0966">
            <w:pPr>
              <w:jc w:val="center"/>
              <w:rPr>
                <w:rFonts w:ascii="Calibri" w:hAnsi="Calibri" w:cs="Calibri"/>
                <w:b/>
                <w:bCs/>
                <w:color w:val="0000FF"/>
                <w:sz w:val="22"/>
                <w:szCs w:val="22"/>
              </w:rPr>
            </w:pPr>
            <w:r>
              <w:rPr>
                <w:rFonts w:ascii="Calibri" w:hAnsi="Calibri" w:cs="Calibri"/>
                <w:b/>
                <w:bCs/>
                <w:color w:val="0000FF"/>
                <w:sz w:val="22"/>
                <w:szCs w:val="22"/>
              </w:rPr>
              <w:t>107%</w:t>
            </w:r>
          </w:p>
        </w:tc>
        <w:tc>
          <w:tcPr>
            <w:tcW w:w="804" w:type="dxa"/>
            <w:tcBorders>
              <w:top w:val="nil"/>
              <w:left w:val="nil"/>
              <w:bottom w:val="single" w:sz="4" w:space="0" w:color="auto"/>
              <w:right w:val="single" w:sz="4" w:space="0" w:color="auto"/>
            </w:tcBorders>
            <w:shd w:val="clear" w:color="000000" w:fill="D9D9D9"/>
            <w:noWrap/>
            <w:vAlign w:val="bottom"/>
            <w:hideMark/>
          </w:tcPr>
          <w:p w14:paraId="415D0781" w14:textId="77777777" w:rsidR="00DB0966" w:rsidRDefault="00DB0966">
            <w:pPr>
              <w:jc w:val="center"/>
              <w:rPr>
                <w:rFonts w:ascii="Calibri" w:hAnsi="Calibri" w:cs="Calibri"/>
                <w:b/>
                <w:bCs/>
                <w:color w:val="0000FF"/>
                <w:sz w:val="22"/>
                <w:szCs w:val="22"/>
              </w:rPr>
            </w:pPr>
            <w:r>
              <w:rPr>
                <w:rFonts w:ascii="Calibri" w:hAnsi="Calibri" w:cs="Calibri"/>
                <w:b/>
                <w:bCs/>
                <w:color w:val="0000FF"/>
                <w:sz w:val="22"/>
                <w:szCs w:val="22"/>
              </w:rPr>
              <w:t>100%</w:t>
            </w:r>
          </w:p>
        </w:tc>
        <w:tc>
          <w:tcPr>
            <w:tcW w:w="222" w:type="dxa"/>
            <w:vAlign w:val="center"/>
            <w:hideMark/>
          </w:tcPr>
          <w:p w14:paraId="28F5BAAE" w14:textId="77777777" w:rsidR="00DB0966" w:rsidRDefault="00DB0966">
            <w:pPr>
              <w:rPr>
                <w:sz w:val="20"/>
                <w:szCs w:val="20"/>
              </w:rPr>
            </w:pPr>
          </w:p>
        </w:tc>
      </w:tr>
    </w:tbl>
    <w:p w14:paraId="5CEB4E49" w14:textId="77777777" w:rsidR="005369B3" w:rsidRDefault="005369B3" w:rsidP="00C8130F">
      <w:pPr>
        <w:jc w:val="both"/>
        <w:rPr>
          <w:rFonts w:ascii="Arial" w:hAnsi="Arial" w:cs="Arial"/>
          <w:bCs/>
          <w:szCs w:val="22"/>
        </w:rPr>
      </w:pPr>
    </w:p>
    <w:p w14:paraId="39D1C05E" w14:textId="6E7E822B" w:rsidR="00AC35FA" w:rsidRPr="004F3556" w:rsidRDefault="00AC35FA" w:rsidP="00773923">
      <w:pPr>
        <w:jc w:val="center"/>
        <w:rPr>
          <w:rFonts w:ascii="Arial" w:hAnsi="Arial" w:cs="Arial"/>
          <w:b/>
          <w:bCs/>
          <w:sz w:val="18"/>
          <w:szCs w:val="22"/>
        </w:rPr>
      </w:pPr>
    </w:p>
    <w:p w14:paraId="0654AC0D" w14:textId="77777777" w:rsidR="00AC35FA" w:rsidRPr="004F3556" w:rsidRDefault="00AC35FA" w:rsidP="00773923">
      <w:pPr>
        <w:jc w:val="center"/>
        <w:rPr>
          <w:rFonts w:ascii="Arial" w:hAnsi="Arial" w:cs="Arial"/>
          <w:b/>
          <w:bCs/>
          <w:sz w:val="14"/>
          <w:szCs w:val="22"/>
        </w:rPr>
      </w:pPr>
    </w:p>
    <w:tbl>
      <w:tblPr>
        <w:tblW w:w="9615" w:type="dxa"/>
        <w:jc w:val="center"/>
        <w:tblLook w:val="04A0" w:firstRow="1" w:lastRow="0" w:firstColumn="1" w:lastColumn="0" w:noHBand="0" w:noVBand="1"/>
      </w:tblPr>
      <w:tblGrid>
        <w:gridCol w:w="2222"/>
        <w:gridCol w:w="2220"/>
        <w:gridCol w:w="940"/>
        <w:gridCol w:w="1623"/>
        <w:gridCol w:w="1623"/>
        <w:gridCol w:w="1028"/>
      </w:tblGrid>
      <w:tr w:rsidR="00184F72" w:rsidRPr="00184F72" w14:paraId="7ABECD7A" w14:textId="77777777" w:rsidTr="005917B5">
        <w:trPr>
          <w:trHeight w:val="720"/>
          <w:jc w:val="center"/>
        </w:trPr>
        <w:tc>
          <w:tcPr>
            <w:tcW w:w="5382"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5D97BB4C" w14:textId="77777777" w:rsidR="005917B5" w:rsidRPr="00184F72" w:rsidRDefault="005917B5">
            <w:pPr>
              <w:jc w:val="center"/>
              <w:rPr>
                <w:rFonts w:asciiTheme="minorHAnsi" w:hAnsiTheme="minorHAnsi" w:cstheme="minorHAnsi"/>
                <w:b/>
                <w:bCs/>
              </w:rPr>
            </w:pPr>
            <w:r w:rsidRPr="00DB0966">
              <w:rPr>
                <w:rFonts w:asciiTheme="minorHAnsi" w:hAnsiTheme="minorHAnsi" w:cstheme="minorHAnsi"/>
                <w:b/>
                <w:bCs/>
                <w:sz w:val="28"/>
                <w:szCs w:val="28"/>
              </w:rPr>
              <w:t>REKAPITULACIJA</w:t>
            </w:r>
          </w:p>
        </w:tc>
        <w:tc>
          <w:tcPr>
            <w:tcW w:w="1623" w:type="dxa"/>
            <w:tcBorders>
              <w:top w:val="single" w:sz="4" w:space="0" w:color="auto"/>
              <w:left w:val="nil"/>
              <w:bottom w:val="single" w:sz="4" w:space="0" w:color="auto"/>
              <w:right w:val="single" w:sz="4" w:space="0" w:color="auto"/>
            </w:tcBorders>
            <w:shd w:val="clear" w:color="000000" w:fill="D9D9D9"/>
            <w:vAlign w:val="center"/>
            <w:hideMark/>
          </w:tcPr>
          <w:p w14:paraId="20F94866" w14:textId="77777777" w:rsidR="005917B5" w:rsidRPr="00184F72" w:rsidRDefault="005917B5">
            <w:pPr>
              <w:jc w:val="center"/>
              <w:rPr>
                <w:rFonts w:asciiTheme="minorHAnsi" w:hAnsiTheme="minorHAnsi" w:cstheme="minorHAnsi"/>
                <w:b/>
                <w:bCs/>
                <w:sz w:val="22"/>
                <w:szCs w:val="22"/>
              </w:rPr>
            </w:pPr>
            <w:r w:rsidRPr="00184F72">
              <w:rPr>
                <w:rFonts w:asciiTheme="minorHAnsi" w:hAnsiTheme="minorHAnsi" w:cstheme="minorHAnsi"/>
                <w:b/>
                <w:bCs/>
                <w:sz w:val="22"/>
                <w:szCs w:val="22"/>
              </w:rPr>
              <w:t>Financijski plan 2025.</w:t>
            </w:r>
          </w:p>
        </w:tc>
        <w:tc>
          <w:tcPr>
            <w:tcW w:w="1623" w:type="dxa"/>
            <w:tcBorders>
              <w:top w:val="single" w:sz="4" w:space="0" w:color="auto"/>
              <w:left w:val="nil"/>
              <w:bottom w:val="single" w:sz="4" w:space="0" w:color="auto"/>
              <w:right w:val="single" w:sz="4" w:space="0" w:color="auto"/>
            </w:tcBorders>
            <w:shd w:val="clear" w:color="000000" w:fill="D9D9D9"/>
            <w:vAlign w:val="center"/>
            <w:hideMark/>
          </w:tcPr>
          <w:p w14:paraId="165B3937" w14:textId="77777777" w:rsidR="005917B5" w:rsidRPr="00184F72" w:rsidRDefault="005917B5">
            <w:pPr>
              <w:jc w:val="center"/>
              <w:rPr>
                <w:rFonts w:asciiTheme="minorHAnsi" w:hAnsiTheme="minorHAnsi" w:cstheme="minorHAnsi"/>
                <w:b/>
                <w:bCs/>
                <w:sz w:val="22"/>
                <w:szCs w:val="22"/>
              </w:rPr>
            </w:pPr>
            <w:r w:rsidRPr="00184F72">
              <w:rPr>
                <w:rFonts w:asciiTheme="minorHAnsi" w:hAnsiTheme="minorHAnsi" w:cstheme="minorHAnsi"/>
                <w:b/>
                <w:bCs/>
                <w:sz w:val="22"/>
                <w:szCs w:val="22"/>
              </w:rPr>
              <w:t>Izvršenje       01.-12.2025.</w:t>
            </w:r>
          </w:p>
        </w:tc>
        <w:tc>
          <w:tcPr>
            <w:tcW w:w="987" w:type="dxa"/>
            <w:tcBorders>
              <w:top w:val="single" w:sz="4" w:space="0" w:color="auto"/>
              <w:left w:val="nil"/>
              <w:bottom w:val="single" w:sz="4" w:space="0" w:color="auto"/>
              <w:right w:val="single" w:sz="4" w:space="0" w:color="auto"/>
            </w:tcBorders>
            <w:shd w:val="clear" w:color="000000" w:fill="D9D9D9"/>
            <w:vAlign w:val="center"/>
            <w:hideMark/>
          </w:tcPr>
          <w:p w14:paraId="44AEA362" w14:textId="77777777" w:rsidR="005917B5" w:rsidRPr="00184F72" w:rsidRDefault="005917B5">
            <w:pPr>
              <w:jc w:val="center"/>
              <w:rPr>
                <w:rFonts w:asciiTheme="minorHAnsi" w:hAnsiTheme="minorHAnsi" w:cstheme="minorHAnsi"/>
                <w:b/>
                <w:bCs/>
                <w:sz w:val="22"/>
                <w:szCs w:val="22"/>
              </w:rPr>
            </w:pPr>
            <w:r w:rsidRPr="00184F72">
              <w:rPr>
                <w:rFonts w:asciiTheme="minorHAnsi" w:hAnsiTheme="minorHAnsi" w:cstheme="minorHAnsi"/>
                <w:b/>
                <w:bCs/>
                <w:sz w:val="22"/>
                <w:szCs w:val="22"/>
              </w:rPr>
              <w:t>Indeks Izvršenje / Plan</w:t>
            </w:r>
          </w:p>
        </w:tc>
      </w:tr>
      <w:tr w:rsidR="00184F72" w:rsidRPr="00184F72" w14:paraId="48969357" w14:textId="77777777" w:rsidTr="005917B5">
        <w:trPr>
          <w:trHeight w:val="390"/>
          <w:jc w:val="center"/>
        </w:trPr>
        <w:tc>
          <w:tcPr>
            <w:tcW w:w="5382" w:type="dxa"/>
            <w:gridSpan w:val="3"/>
            <w:tcBorders>
              <w:top w:val="single" w:sz="4" w:space="0" w:color="auto"/>
              <w:left w:val="single" w:sz="4" w:space="0" w:color="auto"/>
              <w:bottom w:val="single" w:sz="4" w:space="0" w:color="auto"/>
              <w:right w:val="single" w:sz="4" w:space="0" w:color="000000"/>
            </w:tcBorders>
            <w:noWrap/>
            <w:vAlign w:val="bottom"/>
            <w:hideMark/>
          </w:tcPr>
          <w:p w14:paraId="04DDAA39" w14:textId="77777777" w:rsidR="005917B5" w:rsidRPr="00184F72" w:rsidRDefault="005917B5">
            <w:pPr>
              <w:jc w:val="center"/>
              <w:rPr>
                <w:rFonts w:asciiTheme="minorHAnsi" w:hAnsiTheme="minorHAnsi" w:cstheme="minorHAnsi"/>
                <w:b/>
                <w:bCs/>
              </w:rPr>
            </w:pPr>
            <w:r w:rsidRPr="00184F72">
              <w:rPr>
                <w:rFonts w:asciiTheme="minorHAnsi" w:hAnsiTheme="minorHAnsi" w:cstheme="minorHAnsi"/>
                <w:b/>
                <w:bCs/>
              </w:rPr>
              <w:t>UKUPNO PRIHODI</w:t>
            </w:r>
          </w:p>
        </w:tc>
        <w:tc>
          <w:tcPr>
            <w:tcW w:w="1623" w:type="dxa"/>
            <w:tcBorders>
              <w:top w:val="nil"/>
              <w:left w:val="nil"/>
              <w:bottom w:val="single" w:sz="4" w:space="0" w:color="auto"/>
              <w:right w:val="single" w:sz="4" w:space="0" w:color="auto"/>
            </w:tcBorders>
            <w:noWrap/>
            <w:vAlign w:val="bottom"/>
            <w:hideMark/>
          </w:tcPr>
          <w:p w14:paraId="46D80B92" w14:textId="77777777" w:rsidR="005917B5" w:rsidRPr="00184F72" w:rsidRDefault="005917B5">
            <w:pPr>
              <w:jc w:val="right"/>
              <w:rPr>
                <w:rFonts w:asciiTheme="minorHAnsi" w:hAnsiTheme="minorHAnsi" w:cstheme="minorHAnsi"/>
                <w:sz w:val="22"/>
                <w:szCs w:val="22"/>
              </w:rPr>
            </w:pPr>
            <w:r w:rsidRPr="00184F72">
              <w:rPr>
                <w:rFonts w:asciiTheme="minorHAnsi" w:hAnsiTheme="minorHAnsi" w:cstheme="minorHAnsi"/>
                <w:sz w:val="22"/>
                <w:szCs w:val="22"/>
              </w:rPr>
              <w:t>35.169.000,00</w:t>
            </w:r>
          </w:p>
        </w:tc>
        <w:tc>
          <w:tcPr>
            <w:tcW w:w="1623" w:type="dxa"/>
            <w:tcBorders>
              <w:top w:val="nil"/>
              <w:left w:val="nil"/>
              <w:bottom w:val="single" w:sz="4" w:space="0" w:color="auto"/>
              <w:right w:val="single" w:sz="4" w:space="0" w:color="auto"/>
            </w:tcBorders>
            <w:noWrap/>
            <w:vAlign w:val="bottom"/>
            <w:hideMark/>
          </w:tcPr>
          <w:p w14:paraId="6940C916" w14:textId="77777777" w:rsidR="005917B5" w:rsidRPr="00184F72" w:rsidRDefault="005917B5">
            <w:pPr>
              <w:jc w:val="right"/>
              <w:rPr>
                <w:rFonts w:asciiTheme="minorHAnsi" w:hAnsiTheme="minorHAnsi" w:cstheme="minorHAnsi"/>
                <w:sz w:val="22"/>
                <w:szCs w:val="22"/>
              </w:rPr>
            </w:pPr>
            <w:r w:rsidRPr="00184F72">
              <w:rPr>
                <w:rFonts w:asciiTheme="minorHAnsi" w:hAnsiTheme="minorHAnsi" w:cstheme="minorHAnsi"/>
                <w:sz w:val="22"/>
                <w:szCs w:val="22"/>
              </w:rPr>
              <w:t>34.877.488,57</w:t>
            </w:r>
          </w:p>
        </w:tc>
        <w:tc>
          <w:tcPr>
            <w:tcW w:w="987" w:type="dxa"/>
            <w:tcBorders>
              <w:top w:val="nil"/>
              <w:left w:val="nil"/>
              <w:bottom w:val="single" w:sz="4" w:space="0" w:color="auto"/>
              <w:right w:val="single" w:sz="4" w:space="0" w:color="auto"/>
            </w:tcBorders>
            <w:noWrap/>
            <w:vAlign w:val="bottom"/>
            <w:hideMark/>
          </w:tcPr>
          <w:p w14:paraId="756F4427" w14:textId="77777777" w:rsidR="005917B5" w:rsidRPr="00184F72" w:rsidRDefault="005917B5">
            <w:pPr>
              <w:jc w:val="center"/>
              <w:rPr>
                <w:rFonts w:asciiTheme="minorHAnsi" w:hAnsiTheme="minorHAnsi" w:cstheme="minorHAnsi"/>
                <w:sz w:val="22"/>
                <w:szCs w:val="22"/>
              </w:rPr>
            </w:pPr>
            <w:r w:rsidRPr="00184F72">
              <w:rPr>
                <w:rFonts w:asciiTheme="minorHAnsi" w:hAnsiTheme="minorHAnsi" w:cstheme="minorHAnsi"/>
                <w:sz w:val="22"/>
                <w:szCs w:val="22"/>
              </w:rPr>
              <w:t>99%</w:t>
            </w:r>
          </w:p>
        </w:tc>
      </w:tr>
      <w:tr w:rsidR="00184F72" w:rsidRPr="00184F72" w14:paraId="7489FB40" w14:textId="77777777" w:rsidTr="005917B5">
        <w:trPr>
          <w:trHeight w:val="390"/>
          <w:jc w:val="center"/>
        </w:trPr>
        <w:tc>
          <w:tcPr>
            <w:tcW w:w="5382" w:type="dxa"/>
            <w:gridSpan w:val="3"/>
            <w:tcBorders>
              <w:top w:val="single" w:sz="4" w:space="0" w:color="auto"/>
              <w:left w:val="single" w:sz="4" w:space="0" w:color="auto"/>
              <w:bottom w:val="single" w:sz="4" w:space="0" w:color="auto"/>
              <w:right w:val="single" w:sz="4" w:space="0" w:color="000000"/>
            </w:tcBorders>
            <w:noWrap/>
            <w:vAlign w:val="bottom"/>
            <w:hideMark/>
          </w:tcPr>
          <w:p w14:paraId="539F3E28" w14:textId="77777777" w:rsidR="005917B5" w:rsidRPr="00184F72" w:rsidRDefault="005917B5">
            <w:pPr>
              <w:jc w:val="center"/>
              <w:rPr>
                <w:rFonts w:asciiTheme="minorHAnsi" w:hAnsiTheme="minorHAnsi" w:cstheme="minorHAnsi"/>
                <w:b/>
                <w:bCs/>
              </w:rPr>
            </w:pPr>
            <w:r w:rsidRPr="00184F72">
              <w:rPr>
                <w:rFonts w:asciiTheme="minorHAnsi" w:hAnsiTheme="minorHAnsi" w:cstheme="minorHAnsi"/>
                <w:b/>
                <w:bCs/>
              </w:rPr>
              <w:t>UKUPNO RASHODI</w:t>
            </w:r>
          </w:p>
        </w:tc>
        <w:tc>
          <w:tcPr>
            <w:tcW w:w="1623" w:type="dxa"/>
            <w:tcBorders>
              <w:top w:val="nil"/>
              <w:left w:val="nil"/>
              <w:bottom w:val="single" w:sz="4" w:space="0" w:color="auto"/>
              <w:right w:val="single" w:sz="4" w:space="0" w:color="auto"/>
            </w:tcBorders>
            <w:noWrap/>
            <w:vAlign w:val="bottom"/>
            <w:hideMark/>
          </w:tcPr>
          <w:p w14:paraId="1F205E4C" w14:textId="77777777" w:rsidR="005917B5" w:rsidRPr="00184F72" w:rsidRDefault="005917B5">
            <w:pPr>
              <w:jc w:val="right"/>
              <w:rPr>
                <w:rFonts w:asciiTheme="minorHAnsi" w:hAnsiTheme="minorHAnsi" w:cstheme="minorHAnsi"/>
                <w:sz w:val="22"/>
                <w:szCs w:val="22"/>
              </w:rPr>
            </w:pPr>
            <w:r w:rsidRPr="00184F72">
              <w:rPr>
                <w:rFonts w:asciiTheme="minorHAnsi" w:hAnsiTheme="minorHAnsi" w:cstheme="minorHAnsi"/>
                <w:sz w:val="22"/>
                <w:szCs w:val="22"/>
              </w:rPr>
              <w:t>35.169.000,00</w:t>
            </w:r>
          </w:p>
        </w:tc>
        <w:tc>
          <w:tcPr>
            <w:tcW w:w="1623" w:type="dxa"/>
            <w:tcBorders>
              <w:top w:val="nil"/>
              <w:left w:val="nil"/>
              <w:bottom w:val="single" w:sz="4" w:space="0" w:color="auto"/>
              <w:right w:val="single" w:sz="4" w:space="0" w:color="auto"/>
            </w:tcBorders>
            <w:noWrap/>
            <w:vAlign w:val="bottom"/>
            <w:hideMark/>
          </w:tcPr>
          <w:p w14:paraId="37CE5450" w14:textId="77777777" w:rsidR="005917B5" w:rsidRPr="00184F72" w:rsidRDefault="005917B5">
            <w:pPr>
              <w:jc w:val="right"/>
              <w:rPr>
                <w:rFonts w:asciiTheme="minorHAnsi" w:hAnsiTheme="minorHAnsi" w:cstheme="minorHAnsi"/>
                <w:sz w:val="22"/>
                <w:szCs w:val="22"/>
              </w:rPr>
            </w:pPr>
            <w:r w:rsidRPr="00184F72">
              <w:rPr>
                <w:rFonts w:asciiTheme="minorHAnsi" w:hAnsiTheme="minorHAnsi" w:cstheme="minorHAnsi"/>
                <w:sz w:val="22"/>
                <w:szCs w:val="22"/>
              </w:rPr>
              <w:t>35.125.460,27</w:t>
            </w:r>
          </w:p>
        </w:tc>
        <w:tc>
          <w:tcPr>
            <w:tcW w:w="987" w:type="dxa"/>
            <w:tcBorders>
              <w:top w:val="nil"/>
              <w:left w:val="nil"/>
              <w:bottom w:val="single" w:sz="4" w:space="0" w:color="auto"/>
              <w:right w:val="single" w:sz="4" w:space="0" w:color="auto"/>
            </w:tcBorders>
            <w:noWrap/>
            <w:vAlign w:val="bottom"/>
            <w:hideMark/>
          </w:tcPr>
          <w:p w14:paraId="01855E94" w14:textId="77777777" w:rsidR="005917B5" w:rsidRPr="00184F72" w:rsidRDefault="005917B5">
            <w:pPr>
              <w:jc w:val="center"/>
              <w:rPr>
                <w:rFonts w:asciiTheme="minorHAnsi" w:hAnsiTheme="minorHAnsi" w:cstheme="minorHAnsi"/>
                <w:sz w:val="22"/>
                <w:szCs w:val="22"/>
              </w:rPr>
            </w:pPr>
            <w:r w:rsidRPr="00184F72">
              <w:rPr>
                <w:rFonts w:asciiTheme="minorHAnsi" w:hAnsiTheme="minorHAnsi" w:cstheme="minorHAnsi"/>
                <w:sz w:val="22"/>
                <w:szCs w:val="22"/>
              </w:rPr>
              <w:t>100%</w:t>
            </w:r>
          </w:p>
        </w:tc>
      </w:tr>
      <w:tr w:rsidR="00184F72" w:rsidRPr="00184F72" w14:paraId="72E1E95B" w14:textId="77777777" w:rsidTr="005917B5">
        <w:trPr>
          <w:trHeight w:val="390"/>
          <w:jc w:val="center"/>
        </w:trPr>
        <w:tc>
          <w:tcPr>
            <w:tcW w:w="5382" w:type="dxa"/>
            <w:gridSpan w:val="3"/>
            <w:tcBorders>
              <w:top w:val="single" w:sz="4" w:space="0" w:color="auto"/>
              <w:left w:val="single" w:sz="4" w:space="0" w:color="auto"/>
              <w:bottom w:val="single" w:sz="4" w:space="0" w:color="auto"/>
              <w:right w:val="single" w:sz="4" w:space="0" w:color="000000"/>
            </w:tcBorders>
            <w:noWrap/>
            <w:vAlign w:val="bottom"/>
            <w:hideMark/>
          </w:tcPr>
          <w:p w14:paraId="6C78BBE3" w14:textId="77777777" w:rsidR="005917B5" w:rsidRPr="00184F72" w:rsidRDefault="005917B5">
            <w:pPr>
              <w:jc w:val="center"/>
              <w:rPr>
                <w:rFonts w:asciiTheme="minorHAnsi" w:hAnsiTheme="minorHAnsi" w:cstheme="minorHAnsi"/>
                <w:b/>
                <w:bCs/>
              </w:rPr>
            </w:pPr>
            <w:r w:rsidRPr="00184F72">
              <w:rPr>
                <w:rFonts w:asciiTheme="minorHAnsi" w:hAnsiTheme="minorHAnsi" w:cstheme="minorHAnsi"/>
                <w:b/>
                <w:bCs/>
              </w:rPr>
              <w:t>RAZLIKA VIŠAK / MANJAK 01.-12.2025.</w:t>
            </w:r>
          </w:p>
        </w:tc>
        <w:tc>
          <w:tcPr>
            <w:tcW w:w="1623" w:type="dxa"/>
            <w:tcBorders>
              <w:top w:val="nil"/>
              <w:left w:val="nil"/>
              <w:bottom w:val="single" w:sz="4" w:space="0" w:color="auto"/>
              <w:right w:val="single" w:sz="4" w:space="0" w:color="auto"/>
            </w:tcBorders>
            <w:noWrap/>
            <w:vAlign w:val="bottom"/>
            <w:hideMark/>
          </w:tcPr>
          <w:p w14:paraId="6ECCDF95" w14:textId="77777777" w:rsidR="005917B5" w:rsidRPr="00184F72" w:rsidRDefault="005917B5">
            <w:pPr>
              <w:jc w:val="right"/>
              <w:rPr>
                <w:rFonts w:asciiTheme="minorHAnsi" w:hAnsiTheme="minorHAnsi" w:cstheme="minorHAnsi"/>
                <w:sz w:val="22"/>
                <w:szCs w:val="22"/>
              </w:rPr>
            </w:pPr>
            <w:r w:rsidRPr="00184F72">
              <w:rPr>
                <w:rFonts w:asciiTheme="minorHAnsi" w:hAnsiTheme="minorHAnsi" w:cstheme="minorHAnsi"/>
                <w:sz w:val="22"/>
                <w:szCs w:val="22"/>
              </w:rPr>
              <w:t>0,00</w:t>
            </w:r>
          </w:p>
        </w:tc>
        <w:tc>
          <w:tcPr>
            <w:tcW w:w="1623" w:type="dxa"/>
            <w:tcBorders>
              <w:top w:val="nil"/>
              <w:left w:val="nil"/>
              <w:bottom w:val="single" w:sz="4" w:space="0" w:color="auto"/>
              <w:right w:val="single" w:sz="4" w:space="0" w:color="auto"/>
            </w:tcBorders>
            <w:noWrap/>
            <w:vAlign w:val="bottom"/>
            <w:hideMark/>
          </w:tcPr>
          <w:p w14:paraId="44AA5B87" w14:textId="77777777" w:rsidR="005917B5" w:rsidRPr="00184F72" w:rsidRDefault="005917B5">
            <w:pPr>
              <w:jc w:val="right"/>
              <w:rPr>
                <w:rFonts w:asciiTheme="minorHAnsi" w:hAnsiTheme="minorHAnsi" w:cstheme="minorHAnsi"/>
                <w:b/>
                <w:bCs/>
                <w:sz w:val="22"/>
                <w:szCs w:val="22"/>
              </w:rPr>
            </w:pPr>
            <w:r w:rsidRPr="00184F72">
              <w:rPr>
                <w:rFonts w:asciiTheme="minorHAnsi" w:hAnsiTheme="minorHAnsi" w:cstheme="minorHAnsi"/>
                <w:b/>
                <w:bCs/>
                <w:sz w:val="22"/>
                <w:szCs w:val="22"/>
              </w:rPr>
              <w:t>-247.971,70</w:t>
            </w:r>
          </w:p>
        </w:tc>
        <w:tc>
          <w:tcPr>
            <w:tcW w:w="987" w:type="dxa"/>
            <w:tcBorders>
              <w:top w:val="nil"/>
              <w:left w:val="nil"/>
              <w:bottom w:val="single" w:sz="4" w:space="0" w:color="auto"/>
              <w:right w:val="single" w:sz="4" w:space="0" w:color="auto"/>
            </w:tcBorders>
            <w:noWrap/>
            <w:vAlign w:val="bottom"/>
            <w:hideMark/>
          </w:tcPr>
          <w:p w14:paraId="56862262" w14:textId="77777777" w:rsidR="005917B5" w:rsidRPr="00184F72" w:rsidRDefault="005917B5">
            <w:pPr>
              <w:jc w:val="center"/>
              <w:rPr>
                <w:rFonts w:asciiTheme="minorHAnsi" w:hAnsiTheme="minorHAnsi" w:cstheme="minorHAnsi"/>
                <w:sz w:val="22"/>
                <w:szCs w:val="22"/>
              </w:rPr>
            </w:pPr>
            <w:r w:rsidRPr="00184F72">
              <w:rPr>
                <w:rFonts w:asciiTheme="minorHAnsi" w:hAnsiTheme="minorHAnsi" w:cstheme="minorHAnsi"/>
                <w:sz w:val="22"/>
                <w:szCs w:val="22"/>
              </w:rPr>
              <w:t> </w:t>
            </w:r>
          </w:p>
        </w:tc>
      </w:tr>
      <w:tr w:rsidR="00184F72" w:rsidRPr="00DB0966" w14:paraId="3F645482" w14:textId="77777777" w:rsidTr="005917B5">
        <w:trPr>
          <w:trHeight w:val="260"/>
          <w:jc w:val="center"/>
        </w:trPr>
        <w:tc>
          <w:tcPr>
            <w:tcW w:w="2222" w:type="dxa"/>
            <w:tcBorders>
              <w:top w:val="nil"/>
              <w:left w:val="nil"/>
              <w:bottom w:val="nil"/>
              <w:right w:val="nil"/>
            </w:tcBorders>
            <w:noWrap/>
            <w:vAlign w:val="bottom"/>
            <w:hideMark/>
          </w:tcPr>
          <w:p w14:paraId="5FC24D81" w14:textId="77777777" w:rsidR="005917B5" w:rsidRPr="00DB0966" w:rsidRDefault="005917B5">
            <w:pPr>
              <w:jc w:val="center"/>
              <w:rPr>
                <w:rFonts w:ascii="Arial" w:hAnsi="Arial" w:cs="Arial"/>
                <w:sz w:val="40"/>
                <w:szCs w:val="40"/>
              </w:rPr>
            </w:pPr>
          </w:p>
        </w:tc>
        <w:tc>
          <w:tcPr>
            <w:tcW w:w="2220" w:type="dxa"/>
            <w:tcBorders>
              <w:top w:val="nil"/>
              <w:left w:val="nil"/>
              <w:bottom w:val="nil"/>
              <w:right w:val="nil"/>
            </w:tcBorders>
            <w:noWrap/>
            <w:vAlign w:val="bottom"/>
            <w:hideMark/>
          </w:tcPr>
          <w:p w14:paraId="3C243B09" w14:textId="77777777" w:rsidR="005917B5" w:rsidRPr="00DB0966" w:rsidRDefault="005917B5">
            <w:pPr>
              <w:rPr>
                <w:rFonts w:ascii="Arial" w:hAnsi="Arial" w:cs="Arial"/>
                <w:sz w:val="40"/>
                <w:szCs w:val="40"/>
              </w:rPr>
            </w:pPr>
          </w:p>
        </w:tc>
        <w:tc>
          <w:tcPr>
            <w:tcW w:w="940" w:type="dxa"/>
            <w:tcBorders>
              <w:top w:val="nil"/>
              <w:left w:val="nil"/>
              <w:bottom w:val="nil"/>
              <w:right w:val="nil"/>
            </w:tcBorders>
            <w:noWrap/>
            <w:vAlign w:val="bottom"/>
            <w:hideMark/>
          </w:tcPr>
          <w:p w14:paraId="54F994B2" w14:textId="77777777" w:rsidR="005917B5" w:rsidRPr="00DB0966" w:rsidRDefault="005917B5">
            <w:pPr>
              <w:rPr>
                <w:rFonts w:ascii="Arial" w:hAnsi="Arial" w:cs="Arial"/>
                <w:sz w:val="40"/>
                <w:szCs w:val="40"/>
              </w:rPr>
            </w:pPr>
          </w:p>
        </w:tc>
        <w:tc>
          <w:tcPr>
            <w:tcW w:w="1623" w:type="dxa"/>
            <w:tcBorders>
              <w:top w:val="nil"/>
              <w:left w:val="nil"/>
              <w:bottom w:val="nil"/>
              <w:right w:val="nil"/>
            </w:tcBorders>
            <w:noWrap/>
            <w:vAlign w:val="bottom"/>
            <w:hideMark/>
          </w:tcPr>
          <w:p w14:paraId="05CA54FF" w14:textId="77777777" w:rsidR="005917B5" w:rsidRPr="00DB0966" w:rsidRDefault="005917B5">
            <w:pPr>
              <w:rPr>
                <w:rFonts w:ascii="Arial" w:hAnsi="Arial" w:cs="Arial"/>
                <w:sz w:val="40"/>
                <w:szCs w:val="40"/>
              </w:rPr>
            </w:pPr>
          </w:p>
        </w:tc>
        <w:tc>
          <w:tcPr>
            <w:tcW w:w="1623" w:type="dxa"/>
            <w:tcBorders>
              <w:top w:val="nil"/>
              <w:left w:val="nil"/>
              <w:bottom w:val="nil"/>
              <w:right w:val="nil"/>
            </w:tcBorders>
            <w:noWrap/>
            <w:vAlign w:val="bottom"/>
            <w:hideMark/>
          </w:tcPr>
          <w:p w14:paraId="3E2B766E" w14:textId="77777777" w:rsidR="005917B5" w:rsidRPr="00DB0966" w:rsidRDefault="005917B5">
            <w:pPr>
              <w:rPr>
                <w:rFonts w:ascii="Arial" w:hAnsi="Arial" w:cs="Arial"/>
                <w:sz w:val="40"/>
                <w:szCs w:val="40"/>
              </w:rPr>
            </w:pPr>
          </w:p>
        </w:tc>
        <w:tc>
          <w:tcPr>
            <w:tcW w:w="987" w:type="dxa"/>
            <w:tcBorders>
              <w:top w:val="nil"/>
              <w:left w:val="nil"/>
              <w:bottom w:val="nil"/>
              <w:right w:val="nil"/>
            </w:tcBorders>
            <w:noWrap/>
            <w:vAlign w:val="bottom"/>
            <w:hideMark/>
          </w:tcPr>
          <w:p w14:paraId="246B31DB" w14:textId="77777777" w:rsidR="005917B5" w:rsidRPr="00DB0966" w:rsidRDefault="005917B5">
            <w:pPr>
              <w:rPr>
                <w:rFonts w:ascii="Arial" w:hAnsi="Arial" w:cs="Arial"/>
                <w:sz w:val="40"/>
                <w:szCs w:val="40"/>
              </w:rPr>
            </w:pPr>
          </w:p>
        </w:tc>
      </w:tr>
      <w:tr w:rsidR="00184F72" w:rsidRPr="00184F72" w14:paraId="07A0203A" w14:textId="77777777" w:rsidTr="005917B5">
        <w:trPr>
          <w:trHeight w:val="410"/>
          <w:jc w:val="center"/>
        </w:trPr>
        <w:tc>
          <w:tcPr>
            <w:tcW w:w="7005"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97B3477" w14:textId="612BEC64" w:rsidR="005917B5" w:rsidRPr="00184F72" w:rsidRDefault="005917B5" w:rsidP="005917B5">
            <w:pPr>
              <w:rPr>
                <w:rFonts w:asciiTheme="minorHAnsi" w:hAnsiTheme="minorHAnsi" w:cstheme="minorHAnsi"/>
                <w:b/>
                <w:bCs/>
              </w:rPr>
            </w:pPr>
            <w:r w:rsidRPr="00184F72">
              <w:rPr>
                <w:rFonts w:asciiTheme="minorHAnsi" w:hAnsiTheme="minorHAnsi" w:cstheme="minorHAnsi"/>
                <w:b/>
                <w:bCs/>
              </w:rPr>
              <w:t>DONOS VIŠAK  / MANJAK PRETHODNIH GODINA </w:t>
            </w:r>
          </w:p>
        </w:tc>
        <w:tc>
          <w:tcPr>
            <w:tcW w:w="1623" w:type="dxa"/>
            <w:tcBorders>
              <w:top w:val="single" w:sz="4" w:space="0" w:color="auto"/>
              <w:left w:val="nil"/>
              <w:bottom w:val="single" w:sz="4" w:space="0" w:color="auto"/>
              <w:right w:val="single" w:sz="4" w:space="0" w:color="auto"/>
            </w:tcBorders>
            <w:shd w:val="clear" w:color="000000" w:fill="F2F2F2"/>
            <w:noWrap/>
            <w:vAlign w:val="center"/>
            <w:hideMark/>
          </w:tcPr>
          <w:p w14:paraId="3698AA39" w14:textId="77777777" w:rsidR="005917B5" w:rsidRPr="00184F72" w:rsidRDefault="005917B5">
            <w:pPr>
              <w:jc w:val="right"/>
              <w:rPr>
                <w:rFonts w:asciiTheme="minorHAnsi" w:hAnsiTheme="minorHAnsi" w:cstheme="minorHAnsi"/>
              </w:rPr>
            </w:pPr>
            <w:r w:rsidRPr="00184F72">
              <w:rPr>
                <w:rFonts w:asciiTheme="minorHAnsi" w:hAnsiTheme="minorHAnsi" w:cstheme="minorHAnsi"/>
              </w:rPr>
              <w:t>-2.227.153,44</w:t>
            </w:r>
          </w:p>
        </w:tc>
        <w:tc>
          <w:tcPr>
            <w:tcW w:w="987" w:type="dxa"/>
            <w:tcBorders>
              <w:top w:val="nil"/>
              <w:left w:val="nil"/>
              <w:bottom w:val="nil"/>
              <w:right w:val="nil"/>
            </w:tcBorders>
            <w:noWrap/>
            <w:vAlign w:val="center"/>
            <w:hideMark/>
          </w:tcPr>
          <w:p w14:paraId="19C72340" w14:textId="77777777" w:rsidR="005917B5" w:rsidRPr="00184F72" w:rsidRDefault="005917B5">
            <w:pPr>
              <w:jc w:val="right"/>
              <w:rPr>
                <w:rFonts w:ascii="Arial" w:hAnsi="Arial" w:cs="Arial"/>
                <w:sz w:val="22"/>
                <w:szCs w:val="22"/>
              </w:rPr>
            </w:pPr>
          </w:p>
        </w:tc>
      </w:tr>
      <w:tr w:rsidR="00184F72" w:rsidRPr="00184F72" w14:paraId="3779D246" w14:textId="77777777" w:rsidTr="00DB0966">
        <w:trPr>
          <w:trHeight w:val="536"/>
          <w:jc w:val="center"/>
        </w:trPr>
        <w:tc>
          <w:tcPr>
            <w:tcW w:w="7005" w:type="dxa"/>
            <w:gridSpan w:val="4"/>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04816C2" w14:textId="699583FC" w:rsidR="005917B5" w:rsidRPr="00184F72" w:rsidRDefault="005917B5">
            <w:pPr>
              <w:rPr>
                <w:rFonts w:asciiTheme="minorHAnsi" w:hAnsiTheme="minorHAnsi" w:cstheme="minorHAnsi"/>
                <w:b/>
                <w:bCs/>
              </w:rPr>
            </w:pPr>
            <w:r w:rsidRPr="00184F72">
              <w:rPr>
                <w:rFonts w:asciiTheme="minorHAnsi" w:hAnsiTheme="minorHAnsi" w:cstheme="minorHAnsi"/>
                <w:b/>
                <w:bCs/>
              </w:rPr>
              <w:t xml:space="preserve">UKUPNO KUMULIRANI VIŠAK / MANJAK </w:t>
            </w:r>
          </w:p>
        </w:tc>
        <w:tc>
          <w:tcPr>
            <w:tcW w:w="1623" w:type="dxa"/>
            <w:tcBorders>
              <w:top w:val="nil"/>
              <w:left w:val="nil"/>
              <w:bottom w:val="single" w:sz="4" w:space="0" w:color="auto"/>
              <w:right w:val="single" w:sz="4" w:space="0" w:color="auto"/>
            </w:tcBorders>
            <w:shd w:val="clear" w:color="000000" w:fill="D9D9D9"/>
            <w:noWrap/>
            <w:vAlign w:val="center"/>
            <w:hideMark/>
          </w:tcPr>
          <w:p w14:paraId="489DF4BB" w14:textId="77777777" w:rsidR="005917B5" w:rsidRPr="00184F72" w:rsidRDefault="005917B5">
            <w:pPr>
              <w:jc w:val="right"/>
              <w:rPr>
                <w:rFonts w:asciiTheme="minorHAnsi" w:hAnsiTheme="minorHAnsi" w:cstheme="minorHAnsi"/>
                <w:b/>
                <w:bCs/>
              </w:rPr>
            </w:pPr>
            <w:r w:rsidRPr="00184F72">
              <w:rPr>
                <w:rFonts w:asciiTheme="minorHAnsi" w:hAnsiTheme="minorHAnsi" w:cstheme="minorHAnsi"/>
                <w:b/>
                <w:bCs/>
              </w:rPr>
              <w:t>-2.475.125,14</w:t>
            </w:r>
          </w:p>
        </w:tc>
        <w:tc>
          <w:tcPr>
            <w:tcW w:w="987" w:type="dxa"/>
            <w:tcBorders>
              <w:top w:val="nil"/>
              <w:left w:val="nil"/>
              <w:bottom w:val="nil"/>
              <w:right w:val="nil"/>
            </w:tcBorders>
            <w:noWrap/>
            <w:vAlign w:val="center"/>
            <w:hideMark/>
          </w:tcPr>
          <w:p w14:paraId="6EC2851E" w14:textId="77777777" w:rsidR="005917B5" w:rsidRPr="00184F72" w:rsidRDefault="005917B5">
            <w:pPr>
              <w:jc w:val="right"/>
              <w:rPr>
                <w:rFonts w:ascii="Arial" w:hAnsi="Arial" w:cs="Arial"/>
                <w:b/>
                <w:bCs/>
                <w:sz w:val="22"/>
                <w:szCs w:val="22"/>
              </w:rPr>
            </w:pPr>
          </w:p>
        </w:tc>
      </w:tr>
    </w:tbl>
    <w:p w14:paraId="757D7C37" w14:textId="77777777" w:rsidR="00AC35FA" w:rsidRDefault="00AC35FA" w:rsidP="00773923">
      <w:pPr>
        <w:jc w:val="center"/>
        <w:rPr>
          <w:rFonts w:ascii="Arial" w:hAnsi="Arial" w:cs="Arial"/>
          <w:b/>
          <w:bCs/>
          <w:szCs w:val="22"/>
        </w:rPr>
      </w:pPr>
    </w:p>
    <w:p w14:paraId="401D5A2C" w14:textId="77777777" w:rsidR="00953031" w:rsidRDefault="00953031" w:rsidP="00CA57BF">
      <w:pPr>
        <w:jc w:val="both"/>
        <w:rPr>
          <w:rFonts w:ascii="Arial" w:hAnsi="Arial" w:cs="Arial"/>
          <w:sz w:val="22"/>
          <w:szCs w:val="22"/>
        </w:rPr>
      </w:pPr>
    </w:p>
    <w:p w14:paraId="00DE417A" w14:textId="77777777" w:rsidR="00DB0966" w:rsidRDefault="00DB0966" w:rsidP="00CA57BF">
      <w:pPr>
        <w:jc w:val="both"/>
        <w:rPr>
          <w:rFonts w:ascii="Arial" w:hAnsi="Arial" w:cs="Arial"/>
          <w:sz w:val="22"/>
          <w:szCs w:val="22"/>
        </w:rPr>
      </w:pPr>
    </w:p>
    <w:p w14:paraId="512FA72A" w14:textId="77777777" w:rsidR="00DB0966" w:rsidRDefault="00DB0966" w:rsidP="00CA57BF">
      <w:pPr>
        <w:jc w:val="both"/>
        <w:rPr>
          <w:rFonts w:ascii="Arial" w:hAnsi="Arial" w:cs="Arial"/>
          <w:sz w:val="22"/>
          <w:szCs w:val="22"/>
        </w:rPr>
      </w:pPr>
    </w:p>
    <w:p w14:paraId="4CB9D1F4" w14:textId="77777777" w:rsidR="00DB0966" w:rsidRDefault="00DB0966" w:rsidP="00CA57BF">
      <w:pPr>
        <w:jc w:val="both"/>
        <w:rPr>
          <w:rFonts w:ascii="Arial" w:hAnsi="Arial" w:cs="Arial"/>
          <w:sz w:val="22"/>
          <w:szCs w:val="22"/>
        </w:rPr>
      </w:pPr>
    </w:p>
    <w:p w14:paraId="2F96291F" w14:textId="77777777" w:rsidR="00DB0966" w:rsidRPr="001C42C5" w:rsidRDefault="00DB0966" w:rsidP="00CA57BF">
      <w:pPr>
        <w:jc w:val="both"/>
        <w:rPr>
          <w:rFonts w:ascii="Arial" w:hAnsi="Arial" w:cs="Arial"/>
          <w:sz w:val="22"/>
          <w:szCs w:val="22"/>
        </w:rPr>
      </w:pPr>
    </w:p>
    <w:p w14:paraId="523AD40D" w14:textId="6B23310B" w:rsidR="009639FB" w:rsidRPr="001C42C5" w:rsidRDefault="00CA57BF" w:rsidP="00953031">
      <w:pPr>
        <w:spacing w:line="276" w:lineRule="auto"/>
        <w:jc w:val="both"/>
        <w:rPr>
          <w:rFonts w:ascii="Arial" w:hAnsi="Arial" w:cs="Arial"/>
          <w:sz w:val="22"/>
          <w:szCs w:val="22"/>
        </w:rPr>
      </w:pPr>
      <w:r w:rsidRPr="001C42C5">
        <w:rPr>
          <w:rFonts w:ascii="Arial" w:hAnsi="Arial" w:cs="Arial"/>
          <w:sz w:val="22"/>
          <w:szCs w:val="22"/>
        </w:rPr>
        <w:lastRenderedPageBreak/>
        <w:t>Ukupni rashodi i izdaci za 202</w:t>
      </w:r>
      <w:r w:rsidR="00235F8A" w:rsidRPr="001C42C5">
        <w:rPr>
          <w:rFonts w:ascii="Arial" w:hAnsi="Arial" w:cs="Arial"/>
          <w:sz w:val="22"/>
          <w:szCs w:val="22"/>
        </w:rPr>
        <w:t>5</w:t>
      </w:r>
      <w:r w:rsidRPr="001C42C5">
        <w:rPr>
          <w:rFonts w:ascii="Arial" w:hAnsi="Arial" w:cs="Arial"/>
          <w:sz w:val="22"/>
          <w:szCs w:val="22"/>
        </w:rPr>
        <w:t>. g. planirani su u visini 3</w:t>
      </w:r>
      <w:r w:rsidR="00AE1711" w:rsidRPr="001C42C5">
        <w:rPr>
          <w:rFonts w:ascii="Arial" w:hAnsi="Arial" w:cs="Arial"/>
          <w:sz w:val="22"/>
          <w:szCs w:val="22"/>
        </w:rPr>
        <w:t>5.169.000</w:t>
      </w:r>
      <w:r w:rsidR="00CA0A86" w:rsidRPr="001C42C5">
        <w:rPr>
          <w:rFonts w:ascii="Arial" w:hAnsi="Arial" w:cs="Arial"/>
          <w:sz w:val="22"/>
          <w:szCs w:val="22"/>
        </w:rPr>
        <w:t>,00</w:t>
      </w:r>
      <w:r w:rsidRPr="001C42C5">
        <w:rPr>
          <w:rFonts w:ascii="Arial" w:hAnsi="Arial" w:cs="Arial"/>
          <w:sz w:val="22"/>
          <w:szCs w:val="22"/>
        </w:rPr>
        <w:t xml:space="preserve"> eura</w:t>
      </w:r>
      <w:r w:rsidR="00AE1711" w:rsidRPr="001C42C5">
        <w:rPr>
          <w:rFonts w:ascii="Arial" w:hAnsi="Arial" w:cs="Arial"/>
          <w:sz w:val="22"/>
          <w:szCs w:val="22"/>
        </w:rPr>
        <w:t xml:space="preserve"> od čega se 35.161.800</w:t>
      </w:r>
      <w:r w:rsidR="00CA0A86" w:rsidRPr="001C42C5">
        <w:rPr>
          <w:rFonts w:ascii="Arial" w:hAnsi="Arial" w:cs="Arial"/>
          <w:sz w:val="22"/>
          <w:szCs w:val="22"/>
        </w:rPr>
        <w:t>,00</w:t>
      </w:r>
      <w:r w:rsidR="00AE1711" w:rsidRPr="001C42C5">
        <w:rPr>
          <w:rFonts w:ascii="Arial" w:hAnsi="Arial" w:cs="Arial"/>
          <w:sz w:val="22"/>
          <w:szCs w:val="22"/>
        </w:rPr>
        <w:t xml:space="preserve"> eura odnosi na redovne rashode te 7.200</w:t>
      </w:r>
      <w:r w:rsidR="00CA0A86" w:rsidRPr="001C42C5">
        <w:rPr>
          <w:rFonts w:ascii="Arial" w:hAnsi="Arial" w:cs="Arial"/>
          <w:sz w:val="22"/>
          <w:szCs w:val="22"/>
        </w:rPr>
        <w:t>,00</w:t>
      </w:r>
      <w:r w:rsidR="00AE1711" w:rsidRPr="001C42C5">
        <w:rPr>
          <w:rFonts w:ascii="Arial" w:hAnsi="Arial" w:cs="Arial"/>
          <w:sz w:val="22"/>
          <w:szCs w:val="22"/>
        </w:rPr>
        <w:t xml:space="preserve"> eura na pokriće rashoda prethodnih godina radi kasno zaprimljenih uplata jedinica lokalne samouprave (Grad Buzet 6.600</w:t>
      </w:r>
      <w:r w:rsidR="00CA0A86" w:rsidRPr="001C42C5">
        <w:rPr>
          <w:rFonts w:ascii="Arial" w:hAnsi="Arial" w:cs="Arial"/>
          <w:sz w:val="22"/>
          <w:szCs w:val="22"/>
        </w:rPr>
        <w:t>,00</w:t>
      </w:r>
      <w:r w:rsidR="00AE1711" w:rsidRPr="001C42C5">
        <w:rPr>
          <w:rFonts w:ascii="Arial" w:hAnsi="Arial" w:cs="Arial"/>
          <w:sz w:val="22"/>
          <w:szCs w:val="22"/>
        </w:rPr>
        <w:t xml:space="preserve"> eura i Grad Pula 600</w:t>
      </w:r>
      <w:r w:rsidR="00CA0A86" w:rsidRPr="001C42C5">
        <w:rPr>
          <w:rFonts w:ascii="Arial" w:hAnsi="Arial" w:cs="Arial"/>
          <w:sz w:val="22"/>
          <w:szCs w:val="22"/>
        </w:rPr>
        <w:t>,00</w:t>
      </w:r>
      <w:r w:rsidR="00AE1711" w:rsidRPr="001C42C5">
        <w:rPr>
          <w:rFonts w:ascii="Arial" w:hAnsi="Arial" w:cs="Arial"/>
          <w:sz w:val="22"/>
          <w:szCs w:val="22"/>
        </w:rPr>
        <w:t xml:space="preserve"> eura)</w:t>
      </w:r>
      <w:r w:rsidRPr="001C42C5">
        <w:rPr>
          <w:rFonts w:ascii="Arial" w:hAnsi="Arial" w:cs="Arial"/>
          <w:sz w:val="22"/>
          <w:szCs w:val="22"/>
        </w:rPr>
        <w:t xml:space="preserve">. Najveći udio u rashodima poslovanja odnosi se na rashode za zaposlene s udjelom </w:t>
      </w:r>
      <w:r w:rsidR="00CA0A86" w:rsidRPr="001C42C5">
        <w:rPr>
          <w:rFonts w:ascii="Arial" w:hAnsi="Arial" w:cs="Arial"/>
          <w:sz w:val="22"/>
          <w:szCs w:val="22"/>
        </w:rPr>
        <w:t xml:space="preserve">od 60% u ukupnim rashodima te realizacijom u 100% iznosu u odnosu na plan. </w:t>
      </w:r>
    </w:p>
    <w:p w14:paraId="3A7EF183" w14:textId="49492CB8" w:rsidR="00CA57BF" w:rsidRPr="001C42C5" w:rsidRDefault="002319DC" w:rsidP="00953031">
      <w:pPr>
        <w:spacing w:line="276" w:lineRule="auto"/>
        <w:jc w:val="both"/>
        <w:rPr>
          <w:rFonts w:ascii="Arial" w:hAnsi="Arial" w:cs="Arial"/>
          <w:sz w:val="22"/>
          <w:szCs w:val="22"/>
        </w:rPr>
      </w:pPr>
      <w:r w:rsidRPr="001C42C5">
        <w:rPr>
          <w:rFonts w:ascii="Arial" w:hAnsi="Arial" w:cs="Arial"/>
          <w:sz w:val="22"/>
          <w:szCs w:val="22"/>
        </w:rPr>
        <w:t xml:space="preserve">Rashodi za zaposlene </w:t>
      </w:r>
      <w:r w:rsidR="009639FB" w:rsidRPr="001C42C5">
        <w:rPr>
          <w:rFonts w:ascii="Arial" w:hAnsi="Arial" w:cs="Arial"/>
          <w:sz w:val="22"/>
          <w:szCs w:val="22"/>
        </w:rPr>
        <w:t xml:space="preserve">(skupina 31) </w:t>
      </w:r>
      <w:r w:rsidRPr="001C42C5">
        <w:rPr>
          <w:rFonts w:ascii="Arial" w:hAnsi="Arial" w:cs="Arial"/>
          <w:sz w:val="22"/>
          <w:szCs w:val="22"/>
        </w:rPr>
        <w:t>iskazuju povećanje od 9% u odnosu na 2024. g. radi rasta osnovice</w:t>
      </w:r>
      <w:r w:rsidR="00CA57BF" w:rsidRPr="001C42C5">
        <w:rPr>
          <w:rFonts w:ascii="Arial" w:hAnsi="Arial" w:cs="Arial"/>
          <w:sz w:val="22"/>
          <w:szCs w:val="22"/>
        </w:rPr>
        <w:t xml:space="preserve"> za obračun plaće u javnim službama</w:t>
      </w:r>
      <w:r w:rsidRPr="001C42C5">
        <w:rPr>
          <w:rFonts w:ascii="Arial" w:hAnsi="Arial" w:cs="Arial"/>
          <w:sz w:val="22"/>
          <w:szCs w:val="22"/>
        </w:rPr>
        <w:t>,</w:t>
      </w:r>
      <w:r w:rsidR="00CA57BF" w:rsidRPr="001C42C5">
        <w:rPr>
          <w:rFonts w:ascii="Arial" w:hAnsi="Arial" w:cs="Arial"/>
          <w:sz w:val="22"/>
          <w:szCs w:val="22"/>
        </w:rPr>
        <w:t xml:space="preserve"> rast</w:t>
      </w:r>
      <w:r w:rsidRPr="001C42C5">
        <w:rPr>
          <w:rFonts w:ascii="Arial" w:hAnsi="Arial" w:cs="Arial"/>
          <w:sz w:val="22"/>
          <w:szCs w:val="22"/>
        </w:rPr>
        <w:t>a</w:t>
      </w:r>
      <w:r w:rsidR="00CA57BF" w:rsidRPr="001C42C5">
        <w:rPr>
          <w:rFonts w:ascii="Arial" w:hAnsi="Arial" w:cs="Arial"/>
          <w:sz w:val="22"/>
          <w:szCs w:val="22"/>
        </w:rPr>
        <w:t xml:space="preserve"> broja timova </w:t>
      </w:r>
      <w:r w:rsidR="00A069C0" w:rsidRPr="001C42C5">
        <w:rPr>
          <w:rFonts w:ascii="Arial" w:hAnsi="Arial" w:cs="Arial"/>
          <w:sz w:val="22"/>
          <w:szCs w:val="22"/>
        </w:rPr>
        <w:t>(</w:t>
      </w:r>
      <w:r w:rsidRPr="001C42C5">
        <w:rPr>
          <w:rFonts w:ascii="Arial" w:hAnsi="Arial" w:cs="Arial"/>
          <w:sz w:val="22"/>
          <w:szCs w:val="22"/>
        </w:rPr>
        <w:t>4</w:t>
      </w:r>
      <w:r w:rsidR="006D4E27" w:rsidRPr="001C42C5">
        <w:rPr>
          <w:rFonts w:ascii="Arial" w:hAnsi="Arial" w:cs="Arial"/>
          <w:sz w:val="22"/>
          <w:szCs w:val="22"/>
        </w:rPr>
        <w:t xml:space="preserve"> nov</w:t>
      </w:r>
      <w:r w:rsidRPr="001C42C5">
        <w:rPr>
          <w:rFonts w:ascii="Arial" w:hAnsi="Arial" w:cs="Arial"/>
          <w:sz w:val="22"/>
          <w:szCs w:val="22"/>
        </w:rPr>
        <w:t>a</w:t>
      </w:r>
      <w:r w:rsidR="006D4E27" w:rsidRPr="001C42C5">
        <w:rPr>
          <w:rFonts w:ascii="Arial" w:hAnsi="Arial" w:cs="Arial"/>
          <w:sz w:val="22"/>
          <w:szCs w:val="22"/>
        </w:rPr>
        <w:t xml:space="preserve"> tima PZZ-a) </w:t>
      </w:r>
      <w:r w:rsidRPr="001C42C5">
        <w:rPr>
          <w:rFonts w:ascii="Arial" w:hAnsi="Arial" w:cs="Arial"/>
          <w:sz w:val="22"/>
          <w:szCs w:val="22"/>
        </w:rPr>
        <w:t>te isplate stipendija za studente medicine u iznosu 82.048,70 eura u sklopu mjere Istarske županije za osiguranje potrebnih ljudskih resursa u zdravstvu.</w:t>
      </w:r>
      <w:r w:rsidR="00CA57BF" w:rsidRPr="001C42C5">
        <w:rPr>
          <w:rFonts w:ascii="Arial" w:hAnsi="Arial" w:cs="Arial"/>
          <w:sz w:val="22"/>
          <w:szCs w:val="22"/>
        </w:rPr>
        <w:t xml:space="preserve"> </w:t>
      </w:r>
    </w:p>
    <w:p w14:paraId="64B26087" w14:textId="63846085" w:rsidR="002319DC" w:rsidRPr="001C42C5" w:rsidRDefault="009639FB" w:rsidP="00953031">
      <w:pPr>
        <w:spacing w:line="276" w:lineRule="auto"/>
        <w:jc w:val="both"/>
        <w:rPr>
          <w:rFonts w:ascii="Arial" w:hAnsi="Arial" w:cs="Arial"/>
          <w:sz w:val="21"/>
          <w:szCs w:val="21"/>
          <w:shd w:val="clear" w:color="auto" w:fill="FFFFFF"/>
        </w:rPr>
      </w:pPr>
      <w:r w:rsidRPr="001C42C5">
        <w:rPr>
          <w:rFonts w:ascii="Arial" w:hAnsi="Arial" w:cs="Arial"/>
          <w:sz w:val="22"/>
          <w:szCs w:val="22"/>
        </w:rPr>
        <w:t>Rashodi za materijal i energiju (račun 322) imaju indeks izvršenja 90% u odnosu na 2024. g. radi izmjena Računskog plana proračunskog računovodstva prema kojem se svi lijekovi i sanitetski materijali koji koriste zdravstveni djelatnici u svom radu od 01. siječnja 2025. bilježe na zasebnom računu unutar skupine 32 (račun</w:t>
      </w:r>
      <w:r w:rsidR="003E5393" w:rsidRPr="001C42C5">
        <w:rPr>
          <w:rFonts w:ascii="Arial" w:hAnsi="Arial" w:cs="Arial"/>
          <w:sz w:val="22"/>
          <w:szCs w:val="22"/>
        </w:rPr>
        <w:t xml:space="preserve"> </w:t>
      </w:r>
      <w:r w:rsidRPr="001C42C5">
        <w:rPr>
          <w:rFonts w:ascii="Arial" w:hAnsi="Arial" w:cs="Arial"/>
          <w:sz w:val="22"/>
          <w:szCs w:val="22"/>
        </w:rPr>
        <w:t>325).</w:t>
      </w:r>
      <w:r w:rsidRPr="001C42C5">
        <w:rPr>
          <w:rFonts w:ascii="Arial" w:hAnsi="Arial" w:cs="Arial"/>
          <w:sz w:val="21"/>
          <w:szCs w:val="21"/>
          <w:shd w:val="clear" w:color="auto" w:fill="FFFFFF"/>
        </w:rPr>
        <w:t> </w:t>
      </w:r>
    </w:p>
    <w:p w14:paraId="54EA70A1" w14:textId="000E8F56" w:rsidR="003E5393" w:rsidRPr="001C42C5" w:rsidRDefault="003E5393" w:rsidP="00953031">
      <w:pPr>
        <w:spacing w:line="276" w:lineRule="auto"/>
        <w:jc w:val="both"/>
        <w:rPr>
          <w:rFonts w:ascii="Arial" w:hAnsi="Arial" w:cs="Arial"/>
          <w:sz w:val="22"/>
          <w:szCs w:val="22"/>
        </w:rPr>
      </w:pPr>
      <w:r w:rsidRPr="001C42C5">
        <w:rPr>
          <w:rFonts w:ascii="Arial" w:hAnsi="Arial" w:cs="Arial"/>
          <w:sz w:val="22"/>
          <w:szCs w:val="22"/>
          <w:shd w:val="clear" w:color="auto" w:fill="FFFFFF"/>
        </w:rPr>
        <w:t>Ostali nespomenuti rashodi poslovanja (račun 329)</w:t>
      </w:r>
      <w:r w:rsidR="0069007A" w:rsidRPr="001C42C5">
        <w:rPr>
          <w:rFonts w:ascii="Arial" w:hAnsi="Arial" w:cs="Arial"/>
          <w:sz w:val="22"/>
          <w:szCs w:val="22"/>
          <w:shd w:val="clear" w:color="auto" w:fill="FFFFFF"/>
        </w:rPr>
        <w:t xml:space="preserve"> imaju indeks izvršenja 83% u odnosu na prethodnu godinu </w:t>
      </w:r>
      <w:r w:rsidR="0097592D" w:rsidRPr="001C42C5">
        <w:rPr>
          <w:rFonts w:ascii="Arial" w:hAnsi="Arial" w:cs="Arial"/>
          <w:sz w:val="22"/>
          <w:szCs w:val="22"/>
          <w:shd w:val="clear" w:color="auto" w:fill="FFFFFF"/>
        </w:rPr>
        <w:t xml:space="preserve">na što je najvećim djelom utjecalo smanjenje troškova održavanja vozila budući je većina vozila Ustanove u najmu. </w:t>
      </w:r>
    </w:p>
    <w:p w14:paraId="6D03C7FF" w14:textId="77777777" w:rsidR="0056011A" w:rsidRPr="001C42C5" w:rsidRDefault="0056011A" w:rsidP="00DD01BC">
      <w:pPr>
        <w:rPr>
          <w:rFonts w:ascii="Arial" w:hAnsi="Arial" w:cs="Arial"/>
          <w:b/>
          <w:bCs/>
          <w:sz w:val="22"/>
          <w:szCs w:val="22"/>
        </w:rPr>
      </w:pPr>
    </w:p>
    <w:p w14:paraId="7D325F4D" w14:textId="77777777" w:rsidR="00953031" w:rsidRPr="001C42C5" w:rsidRDefault="00953031" w:rsidP="00DD01BC">
      <w:pPr>
        <w:rPr>
          <w:rFonts w:ascii="Arial" w:hAnsi="Arial" w:cs="Arial"/>
          <w:b/>
          <w:bCs/>
          <w:sz w:val="22"/>
          <w:szCs w:val="22"/>
        </w:rPr>
      </w:pPr>
    </w:p>
    <w:p w14:paraId="051F316D" w14:textId="1D91FEE2" w:rsidR="00D8560D" w:rsidRPr="001C42C5" w:rsidRDefault="00DD01BC" w:rsidP="00953031">
      <w:pPr>
        <w:spacing w:line="276" w:lineRule="auto"/>
        <w:jc w:val="both"/>
        <w:rPr>
          <w:rFonts w:ascii="Arial" w:hAnsi="Arial" w:cs="Arial"/>
          <w:bCs/>
          <w:sz w:val="22"/>
          <w:szCs w:val="22"/>
        </w:rPr>
      </w:pPr>
      <w:r w:rsidRPr="001C42C5">
        <w:rPr>
          <w:rFonts w:ascii="Arial" w:hAnsi="Arial" w:cs="Arial"/>
          <w:sz w:val="22"/>
          <w:szCs w:val="22"/>
        </w:rPr>
        <w:t>Rezultat poslovanja u 202</w:t>
      </w:r>
      <w:r w:rsidR="002319DC" w:rsidRPr="001C42C5">
        <w:rPr>
          <w:rFonts w:ascii="Arial" w:hAnsi="Arial" w:cs="Arial"/>
          <w:sz w:val="22"/>
          <w:szCs w:val="22"/>
        </w:rPr>
        <w:t>5</w:t>
      </w:r>
      <w:r w:rsidRPr="001C42C5">
        <w:rPr>
          <w:rFonts w:ascii="Arial" w:hAnsi="Arial" w:cs="Arial"/>
          <w:sz w:val="22"/>
          <w:szCs w:val="22"/>
        </w:rPr>
        <w:t xml:space="preserve">. godini iskazuje manjak od </w:t>
      </w:r>
      <w:r w:rsidR="002319DC" w:rsidRPr="001C42C5">
        <w:rPr>
          <w:rFonts w:ascii="Arial" w:hAnsi="Arial" w:cs="Arial"/>
          <w:b/>
          <w:bCs/>
          <w:sz w:val="22"/>
          <w:szCs w:val="22"/>
        </w:rPr>
        <w:t>247.971,70</w:t>
      </w:r>
      <w:r w:rsidRPr="001C42C5">
        <w:rPr>
          <w:rFonts w:ascii="Arial" w:hAnsi="Arial" w:cs="Arial"/>
          <w:b/>
          <w:sz w:val="22"/>
          <w:szCs w:val="22"/>
        </w:rPr>
        <w:t xml:space="preserve"> eura</w:t>
      </w:r>
      <w:r w:rsidR="0097592D" w:rsidRPr="001C42C5">
        <w:rPr>
          <w:rFonts w:ascii="Arial" w:hAnsi="Arial" w:cs="Arial"/>
          <w:b/>
          <w:sz w:val="22"/>
          <w:szCs w:val="22"/>
        </w:rPr>
        <w:t xml:space="preserve"> </w:t>
      </w:r>
      <w:r w:rsidR="0097592D" w:rsidRPr="001C42C5">
        <w:rPr>
          <w:rFonts w:ascii="Arial" w:hAnsi="Arial" w:cs="Arial"/>
          <w:bCs/>
          <w:sz w:val="22"/>
          <w:szCs w:val="22"/>
        </w:rPr>
        <w:t>na koji su značajan utjecaj imali rashodi za specijalizacije liječnika</w:t>
      </w:r>
      <w:r w:rsidR="00D8560D" w:rsidRPr="001C42C5">
        <w:rPr>
          <w:rFonts w:ascii="Arial" w:hAnsi="Arial" w:cs="Arial"/>
          <w:bCs/>
          <w:sz w:val="22"/>
          <w:szCs w:val="22"/>
        </w:rPr>
        <w:t xml:space="preserve"> te kasna uplata sredstava Istarske županije (siječanj 2026.</w:t>
      </w:r>
      <w:r w:rsidR="00184F72" w:rsidRPr="001C42C5">
        <w:rPr>
          <w:rFonts w:ascii="Arial" w:hAnsi="Arial" w:cs="Arial"/>
          <w:bCs/>
          <w:sz w:val="22"/>
          <w:szCs w:val="22"/>
        </w:rPr>
        <w:t xml:space="preserve"> g.</w:t>
      </w:r>
      <w:r w:rsidR="00D8560D" w:rsidRPr="001C42C5">
        <w:rPr>
          <w:rFonts w:ascii="Arial" w:hAnsi="Arial" w:cs="Arial"/>
          <w:bCs/>
          <w:sz w:val="22"/>
          <w:szCs w:val="22"/>
        </w:rPr>
        <w:t>) za rashode nastale u 2025. godini</w:t>
      </w:r>
      <w:r w:rsidR="00843258" w:rsidRPr="001C42C5">
        <w:rPr>
          <w:rFonts w:ascii="Arial" w:hAnsi="Arial" w:cs="Arial"/>
          <w:bCs/>
          <w:sz w:val="22"/>
          <w:szCs w:val="22"/>
        </w:rPr>
        <w:t xml:space="preserve"> tzv. </w:t>
      </w:r>
      <w:r w:rsidR="00953031" w:rsidRPr="001C42C5">
        <w:rPr>
          <w:rFonts w:ascii="Arial" w:hAnsi="Arial" w:cs="Arial"/>
          <w:bCs/>
          <w:sz w:val="22"/>
          <w:szCs w:val="22"/>
        </w:rPr>
        <w:t>m</w:t>
      </w:r>
      <w:r w:rsidR="00843258" w:rsidRPr="001C42C5">
        <w:rPr>
          <w:rFonts w:ascii="Arial" w:hAnsi="Arial" w:cs="Arial"/>
          <w:bCs/>
          <w:sz w:val="22"/>
          <w:szCs w:val="22"/>
        </w:rPr>
        <w:t>etodološki manjak</w:t>
      </w:r>
      <w:r w:rsidR="00D8560D" w:rsidRPr="001C42C5">
        <w:rPr>
          <w:rFonts w:ascii="Arial" w:hAnsi="Arial" w:cs="Arial"/>
          <w:bCs/>
          <w:sz w:val="22"/>
          <w:szCs w:val="22"/>
        </w:rPr>
        <w:t>.</w:t>
      </w:r>
    </w:p>
    <w:p w14:paraId="2FFD0138" w14:textId="0D62F8C6" w:rsidR="007C2D61" w:rsidRPr="001C42C5" w:rsidRDefault="00D8560D" w:rsidP="00953031">
      <w:pPr>
        <w:spacing w:line="276" w:lineRule="auto"/>
        <w:jc w:val="both"/>
        <w:rPr>
          <w:rFonts w:ascii="Arial" w:hAnsi="Arial" w:cs="Arial"/>
          <w:bCs/>
          <w:sz w:val="22"/>
          <w:szCs w:val="22"/>
        </w:rPr>
      </w:pPr>
      <w:r w:rsidRPr="001C42C5">
        <w:rPr>
          <w:rFonts w:ascii="Arial" w:hAnsi="Arial" w:cs="Arial"/>
          <w:bCs/>
          <w:sz w:val="22"/>
          <w:szCs w:val="22"/>
        </w:rPr>
        <w:t>Tijekom 2025. g. započe</w:t>
      </w:r>
      <w:r w:rsidR="00FB5F09" w:rsidRPr="001C42C5">
        <w:rPr>
          <w:rFonts w:ascii="Arial" w:hAnsi="Arial" w:cs="Arial"/>
          <w:bCs/>
          <w:sz w:val="22"/>
          <w:szCs w:val="22"/>
        </w:rPr>
        <w:t>t</w:t>
      </w:r>
      <w:r w:rsidRPr="001C42C5">
        <w:rPr>
          <w:rFonts w:ascii="Arial" w:hAnsi="Arial" w:cs="Arial"/>
          <w:bCs/>
          <w:sz w:val="22"/>
          <w:szCs w:val="22"/>
        </w:rPr>
        <w:t xml:space="preserve">e su specijalizacije 6 </w:t>
      </w:r>
      <w:r w:rsidR="00335AB4" w:rsidRPr="001C42C5">
        <w:rPr>
          <w:rFonts w:ascii="Arial" w:hAnsi="Arial" w:cs="Arial"/>
          <w:bCs/>
          <w:sz w:val="22"/>
          <w:szCs w:val="22"/>
        </w:rPr>
        <w:t xml:space="preserve">liječnika </w:t>
      </w:r>
      <w:r w:rsidR="007C2D61" w:rsidRPr="001C42C5">
        <w:rPr>
          <w:rFonts w:ascii="Arial" w:hAnsi="Arial" w:cs="Arial"/>
          <w:bCs/>
          <w:sz w:val="22"/>
          <w:szCs w:val="22"/>
        </w:rPr>
        <w:t xml:space="preserve">za koje je izdvojeno 145.539,32 eura iz </w:t>
      </w:r>
      <w:r w:rsidRPr="001C42C5">
        <w:rPr>
          <w:rFonts w:ascii="Arial" w:hAnsi="Arial" w:cs="Arial"/>
          <w:bCs/>
          <w:sz w:val="22"/>
          <w:szCs w:val="22"/>
        </w:rPr>
        <w:t xml:space="preserve">vlastitih </w:t>
      </w:r>
      <w:r w:rsidR="007C2D61" w:rsidRPr="001C42C5">
        <w:rPr>
          <w:rFonts w:ascii="Arial" w:hAnsi="Arial" w:cs="Arial"/>
          <w:bCs/>
          <w:sz w:val="22"/>
          <w:szCs w:val="22"/>
        </w:rPr>
        <w:t>prihoda</w:t>
      </w:r>
      <w:r w:rsidRPr="001C42C5">
        <w:rPr>
          <w:rFonts w:ascii="Arial" w:hAnsi="Arial" w:cs="Arial"/>
          <w:bCs/>
          <w:sz w:val="22"/>
          <w:szCs w:val="22"/>
        </w:rPr>
        <w:t xml:space="preserve"> poslovanja</w:t>
      </w:r>
      <w:r w:rsidR="007C2D61" w:rsidRPr="001C42C5">
        <w:rPr>
          <w:rFonts w:ascii="Arial" w:hAnsi="Arial" w:cs="Arial"/>
          <w:bCs/>
          <w:sz w:val="22"/>
          <w:szCs w:val="22"/>
        </w:rPr>
        <w:t xml:space="preserve">. Također, refundacija dijela sredstava za 19 specijalizanata sufinanciranih iz EU fondova, zaprimljena je u siječnju 2026. g. čime su Istarski domovi zdravlja iz vlastitih prihoda dodatno sufinancirali i rashode za EU specijalizante za razdoblje 09.-12.2025. g. u iznosu od 237.283,26 eura. Tako su ukupni izdaci za specijalizante u 2025. g. iz vlastitih </w:t>
      </w:r>
      <w:r w:rsidR="00843258" w:rsidRPr="001C42C5">
        <w:rPr>
          <w:rFonts w:ascii="Arial" w:hAnsi="Arial" w:cs="Arial"/>
          <w:bCs/>
          <w:sz w:val="22"/>
          <w:szCs w:val="22"/>
        </w:rPr>
        <w:t>prihoda</w:t>
      </w:r>
      <w:r w:rsidR="007C2D61" w:rsidRPr="001C42C5">
        <w:rPr>
          <w:rFonts w:ascii="Arial" w:hAnsi="Arial" w:cs="Arial"/>
          <w:bCs/>
          <w:sz w:val="22"/>
          <w:szCs w:val="22"/>
        </w:rPr>
        <w:t xml:space="preserve"> poslovanja iznosili 382.822,58 eura.  </w:t>
      </w:r>
      <w:r w:rsidRPr="001C42C5">
        <w:rPr>
          <w:rFonts w:ascii="Arial" w:hAnsi="Arial" w:cs="Arial"/>
          <w:bCs/>
          <w:sz w:val="22"/>
          <w:szCs w:val="22"/>
        </w:rPr>
        <w:t xml:space="preserve"> </w:t>
      </w:r>
    </w:p>
    <w:p w14:paraId="0339CAD1" w14:textId="5C19E2DA" w:rsidR="00843258" w:rsidRPr="001C42C5" w:rsidRDefault="00843258" w:rsidP="00953031">
      <w:pPr>
        <w:spacing w:line="276" w:lineRule="auto"/>
        <w:jc w:val="both"/>
        <w:rPr>
          <w:rFonts w:ascii="Arial" w:hAnsi="Arial" w:cs="Arial"/>
          <w:sz w:val="22"/>
          <w:szCs w:val="22"/>
          <w:shd w:val="clear" w:color="auto" w:fill="FFFFFF"/>
        </w:rPr>
      </w:pPr>
      <w:r w:rsidRPr="001C42C5">
        <w:rPr>
          <w:rFonts w:ascii="Arial" w:hAnsi="Arial" w:cs="Arial"/>
          <w:sz w:val="22"/>
          <w:szCs w:val="22"/>
          <w:shd w:val="clear" w:color="auto" w:fill="FFFFFF"/>
        </w:rPr>
        <w:t>Primjenom novog Pravilnika o proračunskom računovodstvu i Računskom planu iz 2025. g. došlo je do izmjena evidentiranja kontinuiranih rashoda budućih razdoblja te prihoda za pokrivanje istih, čime nailazimo na raskorak kod prelaska godine odnosno rashoda evidentiranih u 12.2025.</w:t>
      </w:r>
      <w:r w:rsidR="00FB5F09" w:rsidRPr="001C42C5">
        <w:rPr>
          <w:rFonts w:ascii="Arial" w:hAnsi="Arial" w:cs="Arial"/>
          <w:sz w:val="22"/>
          <w:szCs w:val="22"/>
          <w:shd w:val="clear" w:color="auto" w:fill="FFFFFF"/>
        </w:rPr>
        <w:t xml:space="preserve"> g.</w:t>
      </w:r>
      <w:r w:rsidRPr="001C42C5">
        <w:rPr>
          <w:rFonts w:ascii="Arial" w:hAnsi="Arial" w:cs="Arial"/>
          <w:sz w:val="22"/>
          <w:szCs w:val="22"/>
          <w:shd w:val="clear" w:color="auto" w:fill="FFFFFF"/>
        </w:rPr>
        <w:t xml:space="preserve"> i zaprimljenih prihoda za pokriće navedenih rashoda u  01.2026. godine. Tako je u 2025. g. po prvi puta došlo do </w:t>
      </w:r>
      <w:r w:rsidR="00FB5F09" w:rsidRPr="001C42C5">
        <w:rPr>
          <w:rFonts w:ascii="Arial" w:hAnsi="Arial" w:cs="Arial"/>
          <w:sz w:val="22"/>
          <w:szCs w:val="22"/>
          <w:shd w:val="clear" w:color="auto" w:fill="FFFFFF"/>
        </w:rPr>
        <w:t>neujednačenosti</w:t>
      </w:r>
      <w:r w:rsidRPr="001C42C5">
        <w:rPr>
          <w:rFonts w:ascii="Arial" w:hAnsi="Arial" w:cs="Arial"/>
          <w:sz w:val="22"/>
          <w:szCs w:val="22"/>
          <w:shd w:val="clear" w:color="auto" w:fill="FFFFFF"/>
        </w:rPr>
        <w:t xml:space="preserve"> </w:t>
      </w:r>
      <w:r w:rsidR="00FB5F09" w:rsidRPr="001C42C5">
        <w:rPr>
          <w:rFonts w:ascii="Arial" w:hAnsi="Arial" w:cs="Arial"/>
          <w:sz w:val="22"/>
          <w:szCs w:val="22"/>
          <w:shd w:val="clear" w:color="auto" w:fill="FFFFFF"/>
        </w:rPr>
        <w:t>evidentiranih rashoda te zaprimljenih prihoda Istarske županije u iznosu 123.537,03 eura koje nazivamo „Metodološkim manjkom“. Navedeni se manjak zatvara prilikom zaprimanja uplate Istarske županije u slijedećoj poslovnoj godini te ne predstavlja stvarni gubitak poslovanja Ustanove.</w:t>
      </w:r>
      <w:r w:rsidR="00953031" w:rsidRPr="001C42C5">
        <w:rPr>
          <w:rFonts w:ascii="Arial" w:hAnsi="Arial" w:cs="Arial"/>
          <w:sz w:val="22"/>
          <w:szCs w:val="22"/>
          <w:shd w:val="clear" w:color="auto" w:fill="FFFFFF"/>
        </w:rPr>
        <w:t xml:space="preserve"> </w:t>
      </w:r>
    </w:p>
    <w:p w14:paraId="7DD224DA" w14:textId="5114FF63" w:rsidR="00953031" w:rsidRPr="001C42C5" w:rsidRDefault="00953031" w:rsidP="00953031">
      <w:pPr>
        <w:spacing w:line="276" w:lineRule="auto"/>
        <w:jc w:val="both"/>
        <w:rPr>
          <w:rFonts w:ascii="Arial" w:hAnsi="Arial" w:cs="Arial"/>
          <w:sz w:val="22"/>
          <w:szCs w:val="22"/>
          <w:shd w:val="clear" w:color="auto" w:fill="FFFFFF"/>
        </w:rPr>
      </w:pPr>
      <w:r w:rsidRPr="001C42C5">
        <w:rPr>
          <w:rFonts w:ascii="Arial" w:hAnsi="Arial" w:cs="Arial"/>
          <w:sz w:val="22"/>
          <w:szCs w:val="22"/>
          <w:shd w:val="clear" w:color="auto" w:fill="FFFFFF"/>
        </w:rPr>
        <w:t xml:space="preserve">U slučaju da su gore navedeni izdaci bili podmireni do 31.12.2025. g. financijski rezultat poslovanja Ustanove imao bi pozitivan predznak. </w:t>
      </w:r>
      <w:r w:rsidR="003C2D52" w:rsidRPr="001C42C5">
        <w:rPr>
          <w:rFonts w:ascii="Arial" w:hAnsi="Arial" w:cs="Arial"/>
          <w:sz w:val="22"/>
          <w:szCs w:val="22"/>
          <w:shd w:val="clear" w:color="auto" w:fill="FFFFFF"/>
        </w:rPr>
        <w:t xml:space="preserve">Rezultat poslovanja </w:t>
      </w:r>
      <w:r w:rsidR="00335AB4" w:rsidRPr="001C42C5">
        <w:rPr>
          <w:rFonts w:ascii="Arial" w:hAnsi="Arial" w:cs="Arial"/>
          <w:sz w:val="22"/>
          <w:szCs w:val="22"/>
          <w:shd w:val="clear" w:color="auto" w:fill="FFFFFF"/>
        </w:rPr>
        <w:t xml:space="preserve">za </w:t>
      </w:r>
      <w:r w:rsidR="003C2D52" w:rsidRPr="001C42C5">
        <w:rPr>
          <w:rFonts w:ascii="Arial" w:hAnsi="Arial" w:cs="Arial"/>
          <w:sz w:val="22"/>
          <w:szCs w:val="22"/>
          <w:shd w:val="clear" w:color="auto" w:fill="FFFFFF"/>
        </w:rPr>
        <w:t>2025. g. čak</w:t>
      </w:r>
      <w:r w:rsidR="00A7238C" w:rsidRPr="001C42C5">
        <w:rPr>
          <w:rFonts w:ascii="Arial" w:hAnsi="Arial" w:cs="Arial"/>
          <w:sz w:val="22"/>
          <w:szCs w:val="22"/>
          <w:shd w:val="clear" w:color="auto" w:fill="FFFFFF"/>
        </w:rPr>
        <w:t xml:space="preserve"> je</w:t>
      </w:r>
      <w:r w:rsidR="003C2D52" w:rsidRPr="001C42C5">
        <w:rPr>
          <w:rFonts w:ascii="Arial" w:hAnsi="Arial" w:cs="Arial"/>
          <w:sz w:val="22"/>
          <w:szCs w:val="22"/>
          <w:shd w:val="clear" w:color="auto" w:fill="FFFFFF"/>
        </w:rPr>
        <w:t xml:space="preserve"> 5,8 puta </w:t>
      </w:r>
      <w:r w:rsidR="00335AB4" w:rsidRPr="001C42C5">
        <w:rPr>
          <w:rFonts w:ascii="Arial" w:hAnsi="Arial" w:cs="Arial"/>
          <w:sz w:val="22"/>
          <w:szCs w:val="22"/>
          <w:shd w:val="clear" w:color="auto" w:fill="FFFFFF"/>
        </w:rPr>
        <w:t>bolji</w:t>
      </w:r>
      <w:r w:rsidR="003C2D52" w:rsidRPr="001C42C5">
        <w:rPr>
          <w:rFonts w:ascii="Arial" w:hAnsi="Arial" w:cs="Arial"/>
          <w:sz w:val="22"/>
          <w:szCs w:val="22"/>
          <w:shd w:val="clear" w:color="auto" w:fill="FFFFFF"/>
        </w:rPr>
        <w:t xml:space="preserve"> od rezultata poslovanja </w:t>
      </w:r>
      <w:r w:rsidR="00335AB4" w:rsidRPr="001C42C5">
        <w:rPr>
          <w:rFonts w:ascii="Arial" w:hAnsi="Arial" w:cs="Arial"/>
          <w:sz w:val="22"/>
          <w:szCs w:val="22"/>
          <w:shd w:val="clear" w:color="auto" w:fill="FFFFFF"/>
        </w:rPr>
        <w:t xml:space="preserve">za </w:t>
      </w:r>
      <w:r w:rsidR="00A7238C" w:rsidRPr="001C42C5">
        <w:rPr>
          <w:rFonts w:ascii="Arial" w:hAnsi="Arial" w:cs="Arial"/>
          <w:sz w:val="22"/>
          <w:szCs w:val="22"/>
          <w:shd w:val="clear" w:color="auto" w:fill="FFFFFF"/>
        </w:rPr>
        <w:t>2</w:t>
      </w:r>
      <w:r w:rsidR="003C2D52" w:rsidRPr="001C42C5">
        <w:rPr>
          <w:rFonts w:ascii="Arial" w:hAnsi="Arial" w:cs="Arial"/>
          <w:sz w:val="22"/>
          <w:szCs w:val="22"/>
          <w:shd w:val="clear" w:color="auto" w:fill="FFFFFF"/>
        </w:rPr>
        <w:t>024. g</w:t>
      </w:r>
      <w:r w:rsidR="00A7238C" w:rsidRPr="001C42C5">
        <w:rPr>
          <w:rFonts w:ascii="Arial" w:hAnsi="Arial" w:cs="Arial"/>
          <w:sz w:val="22"/>
          <w:szCs w:val="22"/>
          <w:shd w:val="clear" w:color="auto" w:fill="FFFFFF"/>
        </w:rPr>
        <w:t>odin</w:t>
      </w:r>
      <w:r w:rsidR="00335AB4" w:rsidRPr="001C42C5">
        <w:rPr>
          <w:rFonts w:ascii="Arial" w:hAnsi="Arial" w:cs="Arial"/>
          <w:sz w:val="22"/>
          <w:szCs w:val="22"/>
          <w:shd w:val="clear" w:color="auto" w:fill="FFFFFF"/>
        </w:rPr>
        <w:t>u</w:t>
      </w:r>
      <w:r w:rsidR="003C2D52" w:rsidRPr="001C42C5">
        <w:rPr>
          <w:rFonts w:ascii="Arial" w:hAnsi="Arial" w:cs="Arial"/>
          <w:sz w:val="22"/>
          <w:szCs w:val="22"/>
          <w:shd w:val="clear" w:color="auto" w:fill="FFFFFF"/>
        </w:rPr>
        <w:t xml:space="preserve"> kad</w:t>
      </w:r>
      <w:r w:rsidR="00A7238C" w:rsidRPr="001C42C5">
        <w:rPr>
          <w:rFonts w:ascii="Arial" w:hAnsi="Arial" w:cs="Arial"/>
          <w:sz w:val="22"/>
          <w:szCs w:val="22"/>
          <w:shd w:val="clear" w:color="auto" w:fill="FFFFFF"/>
        </w:rPr>
        <w:t>a</w:t>
      </w:r>
      <w:r w:rsidR="003C2D52" w:rsidRPr="001C42C5">
        <w:rPr>
          <w:rFonts w:ascii="Arial" w:hAnsi="Arial" w:cs="Arial"/>
          <w:sz w:val="22"/>
          <w:szCs w:val="22"/>
          <w:shd w:val="clear" w:color="auto" w:fill="FFFFFF"/>
        </w:rPr>
        <w:t xml:space="preserve"> je iskazan manjak od 1.447.005,76 eura što </w:t>
      </w:r>
      <w:r w:rsidR="00A7238C" w:rsidRPr="001C42C5">
        <w:rPr>
          <w:rFonts w:ascii="Arial" w:hAnsi="Arial" w:cs="Arial"/>
          <w:sz w:val="22"/>
          <w:szCs w:val="22"/>
          <w:shd w:val="clear" w:color="auto" w:fill="FFFFFF"/>
        </w:rPr>
        <w:t>dovodi</w:t>
      </w:r>
      <w:r w:rsidR="003C2D52" w:rsidRPr="001C42C5">
        <w:rPr>
          <w:rFonts w:ascii="Arial" w:hAnsi="Arial" w:cs="Arial"/>
          <w:sz w:val="22"/>
          <w:szCs w:val="22"/>
          <w:shd w:val="clear" w:color="auto" w:fill="FFFFFF"/>
        </w:rPr>
        <w:t xml:space="preserve"> do zaključka da su </w:t>
      </w:r>
      <w:r w:rsidR="00A7238C" w:rsidRPr="001C42C5">
        <w:rPr>
          <w:rFonts w:ascii="Arial" w:hAnsi="Arial" w:cs="Arial"/>
          <w:sz w:val="22"/>
          <w:szCs w:val="22"/>
          <w:shd w:val="clear" w:color="auto" w:fill="FFFFFF"/>
        </w:rPr>
        <w:t xml:space="preserve">koraci za poboljšanje poslovanja uz odgovorno planiranje te  </w:t>
      </w:r>
      <w:r w:rsidR="003C2D52" w:rsidRPr="001C42C5">
        <w:rPr>
          <w:rFonts w:ascii="Arial" w:hAnsi="Arial" w:cs="Arial"/>
          <w:sz w:val="22"/>
          <w:szCs w:val="22"/>
          <w:shd w:val="clear" w:color="auto" w:fill="FFFFFF"/>
        </w:rPr>
        <w:t xml:space="preserve">provedene mjere uštede </w:t>
      </w:r>
      <w:r w:rsidR="00AA496B" w:rsidRPr="001C42C5">
        <w:rPr>
          <w:rFonts w:ascii="Arial" w:hAnsi="Arial" w:cs="Arial"/>
          <w:sz w:val="22"/>
          <w:szCs w:val="22"/>
          <w:shd w:val="clear" w:color="auto" w:fill="FFFFFF"/>
        </w:rPr>
        <w:t>donijel</w:t>
      </w:r>
      <w:r w:rsidR="001C42C5" w:rsidRPr="001C42C5">
        <w:rPr>
          <w:rFonts w:ascii="Arial" w:hAnsi="Arial" w:cs="Arial"/>
          <w:sz w:val="22"/>
          <w:szCs w:val="22"/>
          <w:shd w:val="clear" w:color="auto" w:fill="FFFFFF"/>
        </w:rPr>
        <w:t>e</w:t>
      </w:r>
      <w:r w:rsidR="00AA496B" w:rsidRPr="001C42C5">
        <w:rPr>
          <w:rFonts w:ascii="Arial" w:hAnsi="Arial" w:cs="Arial"/>
          <w:sz w:val="22"/>
          <w:szCs w:val="22"/>
          <w:shd w:val="clear" w:color="auto" w:fill="FFFFFF"/>
        </w:rPr>
        <w:t xml:space="preserve"> rezultate.</w:t>
      </w:r>
    </w:p>
    <w:p w14:paraId="70FEEE9A" w14:textId="3A02C4AD" w:rsidR="00194C77" w:rsidRPr="004F3556" w:rsidRDefault="00194C77" w:rsidP="00194C77">
      <w:pPr>
        <w:jc w:val="both"/>
        <w:rPr>
          <w:rFonts w:ascii="Arial" w:hAnsi="Arial" w:cs="Arial"/>
          <w:sz w:val="16"/>
          <w:szCs w:val="16"/>
        </w:rPr>
      </w:pPr>
    </w:p>
    <w:p w14:paraId="6A04E800" w14:textId="77777777" w:rsidR="00D816DF" w:rsidRDefault="00D816DF" w:rsidP="001031CB">
      <w:pPr>
        <w:spacing w:line="276" w:lineRule="auto"/>
        <w:jc w:val="both"/>
        <w:rPr>
          <w:rFonts w:ascii="Arial" w:hAnsi="Arial" w:cs="Arial"/>
          <w:sz w:val="22"/>
          <w:szCs w:val="22"/>
        </w:rPr>
      </w:pPr>
    </w:p>
    <w:p w14:paraId="58883597" w14:textId="77777777" w:rsidR="00DB0966" w:rsidRDefault="00DB0966" w:rsidP="001031CB">
      <w:pPr>
        <w:spacing w:line="276" w:lineRule="auto"/>
        <w:jc w:val="both"/>
        <w:rPr>
          <w:rFonts w:ascii="Arial" w:hAnsi="Arial" w:cs="Arial"/>
          <w:sz w:val="22"/>
          <w:szCs w:val="22"/>
        </w:rPr>
      </w:pPr>
    </w:p>
    <w:p w14:paraId="5C301FAF" w14:textId="77777777" w:rsidR="00DB0966" w:rsidRDefault="00DB0966" w:rsidP="001031CB">
      <w:pPr>
        <w:spacing w:line="276" w:lineRule="auto"/>
        <w:jc w:val="both"/>
        <w:rPr>
          <w:rFonts w:ascii="Arial" w:hAnsi="Arial" w:cs="Arial"/>
          <w:sz w:val="22"/>
          <w:szCs w:val="22"/>
        </w:rPr>
      </w:pPr>
    </w:p>
    <w:p w14:paraId="4F336D86" w14:textId="77777777" w:rsidR="00DB0966" w:rsidRDefault="00DB0966" w:rsidP="001031CB">
      <w:pPr>
        <w:spacing w:line="276" w:lineRule="auto"/>
        <w:jc w:val="both"/>
        <w:rPr>
          <w:rFonts w:ascii="Arial" w:hAnsi="Arial" w:cs="Arial"/>
          <w:sz w:val="22"/>
          <w:szCs w:val="22"/>
        </w:rPr>
      </w:pPr>
    </w:p>
    <w:p w14:paraId="53F702F8" w14:textId="77777777" w:rsidR="00DB0966" w:rsidRDefault="00DB0966" w:rsidP="001031CB">
      <w:pPr>
        <w:spacing w:line="276" w:lineRule="auto"/>
        <w:jc w:val="both"/>
        <w:rPr>
          <w:rFonts w:ascii="Arial" w:hAnsi="Arial" w:cs="Arial"/>
          <w:sz w:val="22"/>
          <w:szCs w:val="22"/>
        </w:rPr>
      </w:pPr>
    </w:p>
    <w:p w14:paraId="321B4CC6" w14:textId="77777777" w:rsidR="00DB0966" w:rsidRDefault="00DB0966" w:rsidP="001031CB">
      <w:pPr>
        <w:spacing w:line="276" w:lineRule="auto"/>
        <w:jc w:val="both"/>
        <w:rPr>
          <w:rFonts w:ascii="Arial" w:hAnsi="Arial" w:cs="Arial"/>
          <w:sz w:val="22"/>
          <w:szCs w:val="22"/>
        </w:rPr>
      </w:pPr>
    </w:p>
    <w:p w14:paraId="7A3347C3" w14:textId="77777777" w:rsidR="00DB0966" w:rsidRDefault="00DB0966" w:rsidP="001031CB">
      <w:pPr>
        <w:spacing w:line="276" w:lineRule="auto"/>
        <w:jc w:val="both"/>
        <w:rPr>
          <w:rFonts w:ascii="Arial" w:hAnsi="Arial" w:cs="Arial"/>
          <w:sz w:val="22"/>
          <w:szCs w:val="22"/>
        </w:rPr>
      </w:pPr>
    </w:p>
    <w:p w14:paraId="05BC7DFC" w14:textId="77777777" w:rsidR="00DB0966" w:rsidRDefault="00DB0966" w:rsidP="001031CB">
      <w:pPr>
        <w:spacing w:line="276" w:lineRule="auto"/>
        <w:jc w:val="both"/>
        <w:rPr>
          <w:rFonts w:ascii="Arial" w:hAnsi="Arial" w:cs="Arial"/>
          <w:sz w:val="22"/>
          <w:szCs w:val="22"/>
        </w:rPr>
      </w:pPr>
    </w:p>
    <w:p w14:paraId="4CF93DB9" w14:textId="77777777" w:rsidR="00D816DF" w:rsidRPr="004F3556" w:rsidRDefault="00D816DF" w:rsidP="001031CB">
      <w:pPr>
        <w:spacing w:line="276" w:lineRule="auto"/>
        <w:jc w:val="both"/>
        <w:rPr>
          <w:rFonts w:ascii="Arial" w:hAnsi="Arial" w:cs="Arial"/>
          <w:sz w:val="22"/>
          <w:szCs w:val="22"/>
        </w:rPr>
      </w:pPr>
    </w:p>
    <w:p w14:paraId="2FBA8154" w14:textId="48E7CC82" w:rsidR="00DD3FB4" w:rsidRPr="004F3556" w:rsidRDefault="00056393" w:rsidP="00056393">
      <w:pPr>
        <w:jc w:val="center"/>
        <w:rPr>
          <w:rFonts w:ascii="Arial" w:hAnsi="Arial" w:cs="Arial"/>
          <w:b/>
          <w:bCs/>
          <w:szCs w:val="22"/>
        </w:rPr>
      </w:pPr>
      <w:r w:rsidRPr="004F3556">
        <w:rPr>
          <w:rFonts w:ascii="Arial" w:hAnsi="Arial" w:cs="Arial"/>
          <w:b/>
          <w:bCs/>
          <w:szCs w:val="22"/>
        </w:rPr>
        <w:lastRenderedPageBreak/>
        <w:t>Pregled ukupnih prihoda i rashoda po IZVORIMA FINANCIRANJA</w:t>
      </w:r>
    </w:p>
    <w:p w14:paraId="73EB6FBF" w14:textId="77777777" w:rsidR="00F61971" w:rsidRPr="00033347" w:rsidRDefault="00F61971" w:rsidP="00AC35FA">
      <w:pPr>
        <w:rPr>
          <w:rFonts w:ascii="Arial" w:hAnsi="Arial" w:cs="Arial"/>
          <w:b/>
          <w:bCs/>
          <w:sz w:val="14"/>
          <w:szCs w:val="12"/>
        </w:rPr>
      </w:pPr>
    </w:p>
    <w:tbl>
      <w:tblPr>
        <w:tblW w:w="10551" w:type="dxa"/>
        <w:jc w:val="center"/>
        <w:tblLook w:val="04A0" w:firstRow="1" w:lastRow="0" w:firstColumn="1" w:lastColumn="0" w:noHBand="0" w:noVBand="1"/>
      </w:tblPr>
      <w:tblGrid>
        <w:gridCol w:w="832"/>
        <w:gridCol w:w="2252"/>
        <w:gridCol w:w="1147"/>
        <w:gridCol w:w="1496"/>
        <w:gridCol w:w="1496"/>
        <w:gridCol w:w="1496"/>
        <w:gridCol w:w="901"/>
        <w:gridCol w:w="901"/>
        <w:gridCol w:w="222"/>
      </w:tblGrid>
      <w:tr w:rsidR="001C42C5" w:rsidRPr="001C42C5" w14:paraId="049E674B" w14:textId="77777777" w:rsidTr="00033347">
        <w:trPr>
          <w:gridAfter w:val="1"/>
          <w:wAfter w:w="219" w:type="dxa"/>
          <w:trHeight w:val="517"/>
          <w:jc w:val="center"/>
        </w:trPr>
        <w:tc>
          <w:tcPr>
            <w:tcW w:w="821"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9BAA571" w14:textId="77777777" w:rsidR="005917B5" w:rsidRPr="001C42C5" w:rsidRDefault="005917B5">
            <w:pPr>
              <w:jc w:val="center"/>
              <w:rPr>
                <w:rFonts w:ascii="Calibri" w:hAnsi="Calibri" w:cs="Calibri"/>
                <w:b/>
                <w:bCs/>
                <w:sz w:val="20"/>
                <w:szCs w:val="20"/>
              </w:rPr>
            </w:pPr>
            <w:r w:rsidRPr="001C42C5">
              <w:rPr>
                <w:rFonts w:ascii="Calibri" w:hAnsi="Calibri" w:cs="Calibri"/>
                <w:b/>
                <w:bCs/>
                <w:sz w:val="20"/>
                <w:szCs w:val="20"/>
              </w:rPr>
              <w:t>Oznaka IF</w:t>
            </w:r>
          </w:p>
        </w:tc>
        <w:tc>
          <w:tcPr>
            <w:tcW w:w="3305" w:type="dxa"/>
            <w:gridSpan w:val="2"/>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14:paraId="0869D218" w14:textId="77777777" w:rsidR="005917B5" w:rsidRPr="001C42C5" w:rsidRDefault="005917B5">
            <w:pPr>
              <w:jc w:val="center"/>
              <w:rPr>
                <w:rFonts w:ascii="Arial" w:hAnsi="Arial" w:cs="Arial"/>
                <w:b/>
                <w:bCs/>
                <w:sz w:val="20"/>
                <w:szCs w:val="20"/>
              </w:rPr>
            </w:pPr>
            <w:r w:rsidRPr="001C42C5">
              <w:rPr>
                <w:rFonts w:ascii="Arial" w:hAnsi="Arial" w:cs="Arial"/>
                <w:b/>
                <w:bCs/>
                <w:sz w:val="20"/>
                <w:szCs w:val="20"/>
              </w:rPr>
              <w:t>NAZIV IZVORA FINANCIRANJA</w:t>
            </w:r>
          </w:p>
        </w:tc>
        <w:tc>
          <w:tcPr>
            <w:tcW w:w="1476"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5EADA7E0" w14:textId="77777777" w:rsidR="005917B5" w:rsidRPr="001C42C5" w:rsidRDefault="005917B5">
            <w:pPr>
              <w:jc w:val="center"/>
              <w:rPr>
                <w:rFonts w:ascii="Arial" w:hAnsi="Arial" w:cs="Arial"/>
                <w:b/>
                <w:bCs/>
                <w:sz w:val="18"/>
                <w:szCs w:val="18"/>
              </w:rPr>
            </w:pPr>
            <w:r w:rsidRPr="001C42C5">
              <w:rPr>
                <w:rFonts w:ascii="Arial" w:hAnsi="Arial" w:cs="Arial"/>
                <w:b/>
                <w:bCs/>
                <w:sz w:val="18"/>
                <w:szCs w:val="18"/>
              </w:rPr>
              <w:t>Izvršenje         01.-12.2024.</w:t>
            </w:r>
          </w:p>
        </w:tc>
        <w:tc>
          <w:tcPr>
            <w:tcW w:w="1476"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70E2F51" w14:textId="77777777" w:rsidR="005917B5" w:rsidRPr="001C42C5" w:rsidRDefault="005917B5">
            <w:pPr>
              <w:jc w:val="center"/>
              <w:rPr>
                <w:rFonts w:ascii="Arial" w:hAnsi="Arial" w:cs="Arial"/>
                <w:b/>
                <w:bCs/>
                <w:sz w:val="18"/>
                <w:szCs w:val="18"/>
              </w:rPr>
            </w:pPr>
            <w:r w:rsidRPr="001C42C5">
              <w:rPr>
                <w:rFonts w:ascii="Arial" w:hAnsi="Arial" w:cs="Arial"/>
                <w:b/>
                <w:bCs/>
                <w:sz w:val="18"/>
                <w:szCs w:val="18"/>
              </w:rPr>
              <w:t>Financijski plan 2025.</w:t>
            </w:r>
          </w:p>
        </w:tc>
        <w:tc>
          <w:tcPr>
            <w:tcW w:w="1476"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63A0255" w14:textId="77777777" w:rsidR="005917B5" w:rsidRPr="001C42C5" w:rsidRDefault="005917B5">
            <w:pPr>
              <w:jc w:val="center"/>
              <w:rPr>
                <w:rFonts w:ascii="Arial" w:hAnsi="Arial" w:cs="Arial"/>
                <w:b/>
                <w:bCs/>
                <w:sz w:val="18"/>
                <w:szCs w:val="18"/>
              </w:rPr>
            </w:pPr>
            <w:r w:rsidRPr="001C42C5">
              <w:rPr>
                <w:rFonts w:ascii="Arial" w:hAnsi="Arial" w:cs="Arial"/>
                <w:b/>
                <w:bCs/>
                <w:sz w:val="18"/>
                <w:szCs w:val="18"/>
              </w:rPr>
              <w:t>Izvršenje        01.-12.2025.</w:t>
            </w:r>
          </w:p>
        </w:tc>
        <w:tc>
          <w:tcPr>
            <w:tcW w:w="889"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7A782A6D" w14:textId="435CCCE4" w:rsidR="005917B5" w:rsidRPr="001C42C5" w:rsidRDefault="005917B5">
            <w:pPr>
              <w:jc w:val="center"/>
              <w:rPr>
                <w:rFonts w:ascii="Arial" w:hAnsi="Arial" w:cs="Arial"/>
                <w:b/>
                <w:bCs/>
                <w:sz w:val="18"/>
                <w:szCs w:val="18"/>
              </w:rPr>
            </w:pPr>
            <w:r w:rsidRPr="001C42C5">
              <w:rPr>
                <w:rFonts w:ascii="Arial" w:hAnsi="Arial" w:cs="Arial"/>
                <w:b/>
                <w:bCs/>
                <w:sz w:val="16"/>
                <w:szCs w:val="16"/>
              </w:rPr>
              <w:t>Indeks izvršenje</w:t>
            </w:r>
            <w:r w:rsidRPr="001C42C5">
              <w:rPr>
                <w:rFonts w:ascii="Arial" w:hAnsi="Arial" w:cs="Arial"/>
                <w:b/>
                <w:bCs/>
                <w:sz w:val="18"/>
                <w:szCs w:val="18"/>
              </w:rPr>
              <w:t xml:space="preserve"> </w:t>
            </w:r>
            <w:r w:rsidRPr="001C42C5">
              <w:rPr>
                <w:rFonts w:ascii="Arial" w:hAnsi="Arial" w:cs="Arial"/>
                <w:b/>
                <w:bCs/>
                <w:sz w:val="16"/>
                <w:szCs w:val="16"/>
              </w:rPr>
              <w:t>2025./</w:t>
            </w:r>
            <w:r w:rsidR="00DF7473" w:rsidRPr="001C42C5">
              <w:rPr>
                <w:rFonts w:ascii="Arial" w:hAnsi="Arial" w:cs="Arial"/>
                <w:b/>
                <w:bCs/>
                <w:sz w:val="16"/>
                <w:szCs w:val="16"/>
              </w:rPr>
              <w:t xml:space="preserve"> </w:t>
            </w:r>
            <w:r w:rsidRPr="001C42C5">
              <w:rPr>
                <w:rFonts w:ascii="Arial" w:hAnsi="Arial" w:cs="Arial"/>
                <w:b/>
                <w:bCs/>
                <w:sz w:val="16"/>
                <w:szCs w:val="16"/>
              </w:rPr>
              <w:t>2024.</w:t>
            </w:r>
          </w:p>
        </w:tc>
        <w:tc>
          <w:tcPr>
            <w:tcW w:w="88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F009699" w14:textId="77777777" w:rsidR="005917B5" w:rsidRPr="001C42C5" w:rsidRDefault="005917B5">
            <w:pPr>
              <w:jc w:val="center"/>
              <w:rPr>
                <w:rFonts w:ascii="Arial" w:hAnsi="Arial" w:cs="Arial"/>
                <w:b/>
                <w:bCs/>
                <w:sz w:val="16"/>
                <w:szCs w:val="16"/>
              </w:rPr>
            </w:pPr>
            <w:r w:rsidRPr="001C42C5">
              <w:rPr>
                <w:rFonts w:ascii="Arial" w:hAnsi="Arial" w:cs="Arial"/>
                <w:b/>
                <w:bCs/>
                <w:sz w:val="16"/>
                <w:szCs w:val="16"/>
              </w:rPr>
              <w:t>Indeks Plan / izvršenje</w:t>
            </w:r>
          </w:p>
        </w:tc>
      </w:tr>
      <w:tr w:rsidR="001C42C5" w:rsidRPr="001C42C5" w14:paraId="321A8A00" w14:textId="77777777" w:rsidTr="00033347">
        <w:trPr>
          <w:trHeight w:val="210"/>
          <w:jc w:val="center"/>
        </w:trPr>
        <w:tc>
          <w:tcPr>
            <w:tcW w:w="821" w:type="dxa"/>
            <w:vMerge/>
            <w:tcBorders>
              <w:top w:val="single" w:sz="4" w:space="0" w:color="auto"/>
              <w:left w:val="single" w:sz="4" w:space="0" w:color="auto"/>
              <w:bottom w:val="single" w:sz="4" w:space="0" w:color="auto"/>
              <w:right w:val="single" w:sz="4" w:space="0" w:color="auto"/>
            </w:tcBorders>
            <w:vAlign w:val="center"/>
            <w:hideMark/>
          </w:tcPr>
          <w:p w14:paraId="4BED5787" w14:textId="77777777" w:rsidR="005917B5" w:rsidRPr="001C42C5" w:rsidRDefault="005917B5">
            <w:pPr>
              <w:rPr>
                <w:rFonts w:ascii="Calibri" w:hAnsi="Calibri" w:cs="Calibri"/>
                <w:b/>
                <w:bCs/>
                <w:sz w:val="20"/>
                <w:szCs w:val="20"/>
              </w:rPr>
            </w:pPr>
          </w:p>
        </w:tc>
        <w:tc>
          <w:tcPr>
            <w:tcW w:w="3305" w:type="dxa"/>
            <w:gridSpan w:val="2"/>
            <w:vMerge/>
            <w:tcBorders>
              <w:top w:val="single" w:sz="4" w:space="0" w:color="auto"/>
              <w:left w:val="single" w:sz="4" w:space="0" w:color="auto"/>
              <w:bottom w:val="single" w:sz="4" w:space="0" w:color="000000"/>
              <w:right w:val="single" w:sz="4" w:space="0" w:color="000000"/>
            </w:tcBorders>
            <w:vAlign w:val="center"/>
            <w:hideMark/>
          </w:tcPr>
          <w:p w14:paraId="6B43A11E" w14:textId="77777777" w:rsidR="005917B5" w:rsidRPr="001C42C5" w:rsidRDefault="005917B5">
            <w:pPr>
              <w:rPr>
                <w:rFonts w:ascii="Arial" w:hAnsi="Arial" w:cs="Arial"/>
                <w:b/>
                <w:bCs/>
                <w:sz w:val="20"/>
                <w:szCs w:val="20"/>
              </w:rPr>
            </w:pPr>
          </w:p>
        </w:tc>
        <w:tc>
          <w:tcPr>
            <w:tcW w:w="1476" w:type="dxa"/>
            <w:vMerge/>
            <w:tcBorders>
              <w:top w:val="single" w:sz="4" w:space="0" w:color="auto"/>
              <w:left w:val="single" w:sz="4" w:space="0" w:color="auto"/>
              <w:bottom w:val="single" w:sz="4" w:space="0" w:color="000000"/>
              <w:right w:val="single" w:sz="4" w:space="0" w:color="auto"/>
            </w:tcBorders>
            <w:vAlign w:val="center"/>
            <w:hideMark/>
          </w:tcPr>
          <w:p w14:paraId="1C88FC41" w14:textId="77777777" w:rsidR="005917B5" w:rsidRPr="001C42C5" w:rsidRDefault="005917B5">
            <w:pPr>
              <w:rPr>
                <w:rFonts w:ascii="Arial" w:hAnsi="Arial" w:cs="Arial"/>
                <w:b/>
                <w:bCs/>
                <w:sz w:val="18"/>
                <w:szCs w:val="18"/>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4E4202EF" w14:textId="77777777" w:rsidR="005917B5" w:rsidRPr="001C42C5" w:rsidRDefault="005917B5">
            <w:pPr>
              <w:rPr>
                <w:rFonts w:ascii="Arial" w:hAnsi="Arial" w:cs="Arial"/>
                <w:b/>
                <w:bCs/>
                <w:sz w:val="18"/>
                <w:szCs w:val="18"/>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557762F0" w14:textId="77777777" w:rsidR="005917B5" w:rsidRPr="001C42C5" w:rsidRDefault="005917B5">
            <w:pPr>
              <w:rPr>
                <w:rFonts w:ascii="Arial" w:hAnsi="Arial" w:cs="Arial"/>
                <w:b/>
                <w:bCs/>
                <w:sz w:val="18"/>
                <w:szCs w:val="18"/>
              </w:rPr>
            </w:pPr>
          </w:p>
        </w:tc>
        <w:tc>
          <w:tcPr>
            <w:tcW w:w="889" w:type="dxa"/>
            <w:vMerge/>
            <w:tcBorders>
              <w:top w:val="single" w:sz="4" w:space="0" w:color="auto"/>
              <w:left w:val="single" w:sz="4" w:space="0" w:color="auto"/>
              <w:bottom w:val="single" w:sz="4" w:space="0" w:color="000000"/>
              <w:right w:val="single" w:sz="4" w:space="0" w:color="auto"/>
            </w:tcBorders>
            <w:vAlign w:val="center"/>
            <w:hideMark/>
          </w:tcPr>
          <w:p w14:paraId="601B8267" w14:textId="77777777" w:rsidR="005917B5" w:rsidRPr="001C42C5" w:rsidRDefault="005917B5">
            <w:pPr>
              <w:rPr>
                <w:rFonts w:ascii="Arial" w:hAnsi="Arial" w:cs="Arial"/>
                <w:b/>
                <w:bCs/>
                <w:sz w:val="18"/>
                <w:szCs w:val="18"/>
              </w:rPr>
            </w:pPr>
          </w:p>
        </w:tc>
        <w:tc>
          <w:tcPr>
            <w:tcW w:w="889" w:type="dxa"/>
            <w:vMerge/>
            <w:tcBorders>
              <w:top w:val="single" w:sz="4" w:space="0" w:color="auto"/>
              <w:left w:val="single" w:sz="4" w:space="0" w:color="auto"/>
              <w:bottom w:val="single" w:sz="4" w:space="0" w:color="auto"/>
              <w:right w:val="single" w:sz="4" w:space="0" w:color="auto"/>
            </w:tcBorders>
            <w:vAlign w:val="center"/>
            <w:hideMark/>
          </w:tcPr>
          <w:p w14:paraId="1A6694DE" w14:textId="77777777" w:rsidR="005917B5" w:rsidRPr="001C42C5" w:rsidRDefault="005917B5">
            <w:pPr>
              <w:rPr>
                <w:rFonts w:ascii="Arial" w:hAnsi="Arial" w:cs="Arial"/>
                <w:b/>
                <w:bCs/>
                <w:sz w:val="16"/>
                <w:szCs w:val="16"/>
              </w:rPr>
            </w:pPr>
          </w:p>
        </w:tc>
        <w:tc>
          <w:tcPr>
            <w:tcW w:w="219" w:type="dxa"/>
            <w:tcBorders>
              <w:top w:val="nil"/>
              <w:left w:val="nil"/>
              <w:bottom w:val="nil"/>
              <w:right w:val="nil"/>
            </w:tcBorders>
            <w:noWrap/>
            <w:vAlign w:val="bottom"/>
            <w:hideMark/>
          </w:tcPr>
          <w:p w14:paraId="6C69CE41" w14:textId="77777777" w:rsidR="005917B5" w:rsidRPr="001C42C5" w:rsidRDefault="005917B5">
            <w:pPr>
              <w:jc w:val="center"/>
              <w:rPr>
                <w:rFonts w:ascii="Arial" w:hAnsi="Arial" w:cs="Arial"/>
                <w:b/>
                <w:bCs/>
                <w:sz w:val="16"/>
                <w:szCs w:val="16"/>
              </w:rPr>
            </w:pPr>
          </w:p>
        </w:tc>
      </w:tr>
      <w:tr w:rsidR="001C42C5" w:rsidRPr="001C42C5" w14:paraId="531DF772" w14:textId="77777777" w:rsidTr="00033347">
        <w:trPr>
          <w:trHeight w:val="245"/>
          <w:jc w:val="center"/>
        </w:trPr>
        <w:tc>
          <w:tcPr>
            <w:tcW w:w="821" w:type="dxa"/>
            <w:tcBorders>
              <w:top w:val="nil"/>
              <w:left w:val="single" w:sz="4" w:space="0" w:color="auto"/>
              <w:bottom w:val="single" w:sz="4" w:space="0" w:color="auto"/>
              <w:right w:val="single" w:sz="4" w:space="0" w:color="auto"/>
            </w:tcBorders>
            <w:noWrap/>
            <w:vAlign w:val="bottom"/>
            <w:hideMark/>
          </w:tcPr>
          <w:p w14:paraId="3F2CFB8A" w14:textId="77777777" w:rsidR="005917B5" w:rsidRPr="001C42C5" w:rsidRDefault="005917B5">
            <w:pPr>
              <w:jc w:val="center"/>
              <w:rPr>
                <w:rFonts w:ascii="Arial" w:hAnsi="Arial" w:cs="Arial"/>
                <w:b/>
                <w:bCs/>
                <w:sz w:val="20"/>
                <w:szCs w:val="20"/>
              </w:rPr>
            </w:pPr>
            <w:r w:rsidRPr="001C42C5">
              <w:rPr>
                <w:rFonts w:ascii="Arial" w:hAnsi="Arial" w:cs="Arial"/>
                <w:b/>
                <w:bCs/>
                <w:sz w:val="20"/>
                <w:szCs w:val="20"/>
              </w:rPr>
              <w:t>12</w:t>
            </w:r>
          </w:p>
        </w:tc>
        <w:tc>
          <w:tcPr>
            <w:tcW w:w="3305" w:type="dxa"/>
            <w:gridSpan w:val="2"/>
            <w:tcBorders>
              <w:top w:val="single" w:sz="4" w:space="0" w:color="auto"/>
              <w:left w:val="nil"/>
              <w:bottom w:val="single" w:sz="4" w:space="0" w:color="auto"/>
              <w:right w:val="single" w:sz="4" w:space="0" w:color="000000"/>
            </w:tcBorders>
            <w:noWrap/>
            <w:vAlign w:val="bottom"/>
            <w:hideMark/>
          </w:tcPr>
          <w:p w14:paraId="3BBAB94C" w14:textId="77777777" w:rsidR="005917B5" w:rsidRPr="001C42C5" w:rsidRDefault="005917B5">
            <w:pPr>
              <w:rPr>
                <w:rFonts w:ascii="Arial" w:hAnsi="Arial" w:cs="Arial"/>
                <w:b/>
                <w:bCs/>
                <w:sz w:val="20"/>
                <w:szCs w:val="20"/>
              </w:rPr>
            </w:pPr>
            <w:r w:rsidRPr="001C42C5">
              <w:rPr>
                <w:rFonts w:ascii="Arial" w:hAnsi="Arial" w:cs="Arial"/>
                <w:b/>
                <w:bCs/>
                <w:sz w:val="20"/>
                <w:szCs w:val="20"/>
              </w:rPr>
              <w:t>Istarska Županija</w:t>
            </w:r>
          </w:p>
        </w:tc>
        <w:tc>
          <w:tcPr>
            <w:tcW w:w="1476" w:type="dxa"/>
            <w:tcBorders>
              <w:top w:val="nil"/>
              <w:left w:val="nil"/>
              <w:bottom w:val="single" w:sz="4" w:space="0" w:color="auto"/>
              <w:right w:val="single" w:sz="4" w:space="0" w:color="auto"/>
            </w:tcBorders>
            <w:noWrap/>
            <w:vAlign w:val="bottom"/>
            <w:hideMark/>
          </w:tcPr>
          <w:p w14:paraId="05635C20" w14:textId="77777777" w:rsidR="005917B5" w:rsidRPr="001C42C5" w:rsidRDefault="005917B5">
            <w:pPr>
              <w:jc w:val="right"/>
              <w:rPr>
                <w:rFonts w:ascii="Arial" w:hAnsi="Arial" w:cs="Arial"/>
                <w:b/>
                <w:bCs/>
                <w:sz w:val="20"/>
                <w:szCs w:val="20"/>
              </w:rPr>
            </w:pPr>
            <w:r w:rsidRPr="001C42C5">
              <w:rPr>
                <w:rFonts w:ascii="Arial" w:hAnsi="Arial" w:cs="Arial"/>
                <w:b/>
                <w:bCs/>
                <w:sz w:val="20"/>
                <w:szCs w:val="20"/>
              </w:rPr>
              <w:t> </w:t>
            </w:r>
          </w:p>
        </w:tc>
        <w:tc>
          <w:tcPr>
            <w:tcW w:w="1476" w:type="dxa"/>
            <w:tcBorders>
              <w:top w:val="nil"/>
              <w:left w:val="nil"/>
              <w:bottom w:val="single" w:sz="4" w:space="0" w:color="auto"/>
              <w:right w:val="single" w:sz="4" w:space="0" w:color="auto"/>
            </w:tcBorders>
            <w:noWrap/>
            <w:vAlign w:val="bottom"/>
            <w:hideMark/>
          </w:tcPr>
          <w:p w14:paraId="4FD1DDFD" w14:textId="77777777" w:rsidR="005917B5" w:rsidRPr="001C42C5" w:rsidRDefault="005917B5">
            <w:pPr>
              <w:rPr>
                <w:rFonts w:ascii="Arial" w:hAnsi="Arial" w:cs="Arial"/>
                <w:sz w:val="20"/>
                <w:szCs w:val="20"/>
              </w:rPr>
            </w:pPr>
            <w:r w:rsidRPr="001C42C5">
              <w:rPr>
                <w:rFonts w:ascii="Arial" w:hAnsi="Arial" w:cs="Arial"/>
                <w:sz w:val="20"/>
                <w:szCs w:val="20"/>
              </w:rPr>
              <w:t> </w:t>
            </w:r>
          </w:p>
        </w:tc>
        <w:tc>
          <w:tcPr>
            <w:tcW w:w="1476" w:type="dxa"/>
            <w:tcBorders>
              <w:top w:val="nil"/>
              <w:left w:val="nil"/>
              <w:bottom w:val="single" w:sz="4" w:space="0" w:color="auto"/>
              <w:right w:val="single" w:sz="4" w:space="0" w:color="auto"/>
            </w:tcBorders>
            <w:noWrap/>
            <w:vAlign w:val="bottom"/>
            <w:hideMark/>
          </w:tcPr>
          <w:p w14:paraId="413E0CC0" w14:textId="77777777" w:rsidR="005917B5" w:rsidRPr="001C42C5" w:rsidRDefault="005917B5">
            <w:pPr>
              <w:rPr>
                <w:rFonts w:ascii="Arial" w:hAnsi="Arial" w:cs="Arial"/>
                <w:sz w:val="20"/>
                <w:szCs w:val="20"/>
              </w:rPr>
            </w:pPr>
            <w:r w:rsidRPr="001C42C5">
              <w:rPr>
                <w:rFonts w:ascii="Arial" w:hAnsi="Arial" w:cs="Arial"/>
                <w:sz w:val="20"/>
                <w:szCs w:val="20"/>
              </w:rPr>
              <w:t> </w:t>
            </w:r>
          </w:p>
        </w:tc>
        <w:tc>
          <w:tcPr>
            <w:tcW w:w="889" w:type="dxa"/>
            <w:tcBorders>
              <w:top w:val="nil"/>
              <w:left w:val="nil"/>
              <w:bottom w:val="single" w:sz="4" w:space="0" w:color="auto"/>
              <w:right w:val="single" w:sz="4" w:space="0" w:color="auto"/>
            </w:tcBorders>
            <w:noWrap/>
            <w:vAlign w:val="bottom"/>
            <w:hideMark/>
          </w:tcPr>
          <w:p w14:paraId="047BF36D" w14:textId="77777777" w:rsidR="005917B5" w:rsidRPr="001C42C5" w:rsidRDefault="005917B5">
            <w:pPr>
              <w:rPr>
                <w:rFonts w:ascii="Arial" w:hAnsi="Arial" w:cs="Arial"/>
                <w:sz w:val="20"/>
                <w:szCs w:val="20"/>
              </w:rPr>
            </w:pPr>
            <w:r w:rsidRPr="001C42C5">
              <w:rPr>
                <w:rFonts w:ascii="Arial" w:hAnsi="Arial" w:cs="Arial"/>
                <w:sz w:val="20"/>
                <w:szCs w:val="20"/>
              </w:rPr>
              <w:t> </w:t>
            </w:r>
          </w:p>
        </w:tc>
        <w:tc>
          <w:tcPr>
            <w:tcW w:w="889" w:type="dxa"/>
            <w:tcBorders>
              <w:top w:val="nil"/>
              <w:left w:val="nil"/>
              <w:bottom w:val="single" w:sz="4" w:space="0" w:color="auto"/>
              <w:right w:val="single" w:sz="4" w:space="0" w:color="auto"/>
            </w:tcBorders>
            <w:noWrap/>
            <w:vAlign w:val="bottom"/>
            <w:hideMark/>
          </w:tcPr>
          <w:p w14:paraId="22364FA0" w14:textId="77777777" w:rsidR="005917B5" w:rsidRPr="001C42C5" w:rsidRDefault="005917B5">
            <w:pPr>
              <w:rPr>
                <w:rFonts w:ascii="Calibri" w:hAnsi="Calibri" w:cs="Calibri"/>
                <w:sz w:val="22"/>
                <w:szCs w:val="22"/>
              </w:rPr>
            </w:pPr>
            <w:r w:rsidRPr="001C42C5">
              <w:rPr>
                <w:rFonts w:ascii="Calibri" w:hAnsi="Calibri" w:cs="Calibri"/>
                <w:sz w:val="22"/>
                <w:szCs w:val="22"/>
              </w:rPr>
              <w:t> </w:t>
            </w:r>
          </w:p>
        </w:tc>
        <w:tc>
          <w:tcPr>
            <w:tcW w:w="219" w:type="dxa"/>
            <w:vAlign w:val="center"/>
            <w:hideMark/>
          </w:tcPr>
          <w:p w14:paraId="18997B5A" w14:textId="77777777" w:rsidR="005917B5" w:rsidRPr="001C42C5" w:rsidRDefault="005917B5">
            <w:pPr>
              <w:rPr>
                <w:sz w:val="20"/>
                <w:szCs w:val="20"/>
              </w:rPr>
            </w:pPr>
          </w:p>
        </w:tc>
      </w:tr>
      <w:tr w:rsidR="001C42C5" w:rsidRPr="001C42C5" w14:paraId="30E13805" w14:textId="77777777" w:rsidTr="00033347">
        <w:trPr>
          <w:trHeight w:val="245"/>
          <w:jc w:val="center"/>
        </w:trPr>
        <w:tc>
          <w:tcPr>
            <w:tcW w:w="821" w:type="dxa"/>
            <w:tcBorders>
              <w:top w:val="nil"/>
              <w:left w:val="single" w:sz="4" w:space="0" w:color="auto"/>
              <w:bottom w:val="single" w:sz="4" w:space="0" w:color="auto"/>
              <w:right w:val="single" w:sz="4" w:space="0" w:color="auto"/>
            </w:tcBorders>
            <w:noWrap/>
            <w:vAlign w:val="bottom"/>
            <w:hideMark/>
          </w:tcPr>
          <w:p w14:paraId="3FAAC2C1" w14:textId="77777777" w:rsidR="005917B5" w:rsidRPr="001C42C5" w:rsidRDefault="005917B5">
            <w:pPr>
              <w:jc w:val="center"/>
              <w:rPr>
                <w:rFonts w:ascii="Arial" w:hAnsi="Arial" w:cs="Arial"/>
                <w:sz w:val="20"/>
                <w:szCs w:val="20"/>
              </w:rPr>
            </w:pPr>
            <w:r w:rsidRPr="001C42C5">
              <w:rPr>
                <w:rFonts w:ascii="Arial" w:hAnsi="Arial" w:cs="Arial"/>
                <w:sz w:val="20"/>
                <w:szCs w:val="20"/>
              </w:rPr>
              <w:t> </w:t>
            </w:r>
          </w:p>
        </w:tc>
        <w:tc>
          <w:tcPr>
            <w:tcW w:w="2252" w:type="dxa"/>
            <w:tcBorders>
              <w:top w:val="nil"/>
              <w:left w:val="nil"/>
              <w:bottom w:val="single" w:sz="4" w:space="0" w:color="auto"/>
              <w:right w:val="nil"/>
            </w:tcBorders>
            <w:noWrap/>
            <w:vAlign w:val="bottom"/>
            <w:hideMark/>
          </w:tcPr>
          <w:p w14:paraId="14FE4700" w14:textId="77777777" w:rsidR="005917B5" w:rsidRPr="001C42C5" w:rsidRDefault="005917B5">
            <w:pPr>
              <w:rPr>
                <w:rFonts w:ascii="Arial" w:hAnsi="Arial" w:cs="Arial"/>
                <w:sz w:val="18"/>
                <w:szCs w:val="18"/>
              </w:rPr>
            </w:pPr>
            <w:r w:rsidRPr="001C42C5">
              <w:rPr>
                <w:rFonts w:ascii="Arial" w:hAnsi="Arial" w:cs="Arial"/>
                <w:sz w:val="18"/>
                <w:szCs w:val="18"/>
              </w:rPr>
              <w:t>PRIHODI</w:t>
            </w:r>
          </w:p>
        </w:tc>
        <w:tc>
          <w:tcPr>
            <w:tcW w:w="1053" w:type="dxa"/>
            <w:tcBorders>
              <w:top w:val="nil"/>
              <w:left w:val="nil"/>
              <w:bottom w:val="single" w:sz="4" w:space="0" w:color="auto"/>
              <w:right w:val="single" w:sz="4" w:space="0" w:color="auto"/>
            </w:tcBorders>
            <w:noWrap/>
            <w:vAlign w:val="bottom"/>
            <w:hideMark/>
          </w:tcPr>
          <w:p w14:paraId="79F67927" w14:textId="77777777" w:rsidR="005917B5" w:rsidRPr="001C42C5" w:rsidRDefault="005917B5">
            <w:pPr>
              <w:rPr>
                <w:rFonts w:ascii="Arial" w:hAnsi="Arial" w:cs="Arial"/>
                <w:sz w:val="20"/>
                <w:szCs w:val="20"/>
              </w:rPr>
            </w:pPr>
            <w:r w:rsidRPr="001C42C5">
              <w:rPr>
                <w:rFonts w:ascii="Arial" w:hAnsi="Arial" w:cs="Arial"/>
                <w:sz w:val="20"/>
                <w:szCs w:val="20"/>
              </w:rPr>
              <w:t> </w:t>
            </w:r>
          </w:p>
        </w:tc>
        <w:tc>
          <w:tcPr>
            <w:tcW w:w="1476" w:type="dxa"/>
            <w:tcBorders>
              <w:top w:val="nil"/>
              <w:left w:val="nil"/>
              <w:bottom w:val="single" w:sz="4" w:space="0" w:color="auto"/>
              <w:right w:val="single" w:sz="4" w:space="0" w:color="auto"/>
            </w:tcBorders>
            <w:noWrap/>
            <w:vAlign w:val="bottom"/>
            <w:hideMark/>
          </w:tcPr>
          <w:p w14:paraId="7F92C92C" w14:textId="77777777" w:rsidR="005917B5" w:rsidRPr="001C42C5" w:rsidRDefault="005917B5">
            <w:pPr>
              <w:jc w:val="right"/>
              <w:rPr>
                <w:rFonts w:ascii="Arial" w:hAnsi="Arial" w:cs="Arial"/>
                <w:sz w:val="20"/>
                <w:szCs w:val="20"/>
              </w:rPr>
            </w:pPr>
            <w:r w:rsidRPr="001C42C5">
              <w:rPr>
                <w:rFonts w:ascii="Arial" w:hAnsi="Arial" w:cs="Arial"/>
                <w:sz w:val="20"/>
                <w:szCs w:val="20"/>
              </w:rPr>
              <w:t>785.492,78</w:t>
            </w:r>
          </w:p>
        </w:tc>
        <w:tc>
          <w:tcPr>
            <w:tcW w:w="1476" w:type="dxa"/>
            <w:tcBorders>
              <w:top w:val="nil"/>
              <w:left w:val="nil"/>
              <w:bottom w:val="single" w:sz="4" w:space="0" w:color="auto"/>
              <w:right w:val="single" w:sz="4" w:space="0" w:color="auto"/>
            </w:tcBorders>
            <w:noWrap/>
            <w:vAlign w:val="bottom"/>
            <w:hideMark/>
          </w:tcPr>
          <w:p w14:paraId="3D3C8E80" w14:textId="77777777" w:rsidR="005917B5" w:rsidRPr="001C42C5" w:rsidRDefault="005917B5">
            <w:pPr>
              <w:jc w:val="right"/>
              <w:rPr>
                <w:rFonts w:ascii="Arial" w:hAnsi="Arial" w:cs="Arial"/>
                <w:sz w:val="20"/>
                <w:szCs w:val="20"/>
              </w:rPr>
            </w:pPr>
            <w:r w:rsidRPr="001C42C5">
              <w:rPr>
                <w:rFonts w:ascii="Arial" w:hAnsi="Arial" w:cs="Arial"/>
                <w:sz w:val="20"/>
                <w:szCs w:val="20"/>
              </w:rPr>
              <w:t>956.400,00</w:t>
            </w:r>
          </w:p>
        </w:tc>
        <w:tc>
          <w:tcPr>
            <w:tcW w:w="1476" w:type="dxa"/>
            <w:tcBorders>
              <w:top w:val="nil"/>
              <w:left w:val="nil"/>
              <w:bottom w:val="single" w:sz="4" w:space="0" w:color="auto"/>
              <w:right w:val="single" w:sz="4" w:space="0" w:color="auto"/>
            </w:tcBorders>
            <w:noWrap/>
            <w:vAlign w:val="bottom"/>
            <w:hideMark/>
          </w:tcPr>
          <w:p w14:paraId="5733A588" w14:textId="77777777" w:rsidR="005917B5" w:rsidRPr="001C42C5" w:rsidRDefault="005917B5">
            <w:pPr>
              <w:jc w:val="right"/>
              <w:rPr>
                <w:rFonts w:ascii="Arial" w:hAnsi="Arial" w:cs="Arial"/>
                <w:sz w:val="20"/>
                <w:szCs w:val="20"/>
              </w:rPr>
            </w:pPr>
            <w:r w:rsidRPr="001C42C5">
              <w:rPr>
                <w:rFonts w:ascii="Arial" w:hAnsi="Arial" w:cs="Arial"/>
                <w:sz w:val="20"/>
                <w:szCs w:val="20"/>
              </w:rPr>
              <w:t>703.650,30</w:t>
            </w:r>
          </w:p>
        </w:tc>
        <w:tc>
          <w:tcPr>
            <w:tcW w:w="889" w:type="dxa"/>
            <w:tcBorders>
              <w:top w:val="nil"/>
              <w:left w:val="nil"/>
              <w:bottom w:val="single" w:sz="4" w:space="0" w:color="auto"/>
              <w:right w:val="single" w:sz="4" w:space="0" w:color="auto"/>
            </w:tcBorders>
            <w:noWrap/>
            <w:vAlign w:val="bottom"/>
            <w:hideMark/>
          </w:tcPr>
          <w:p w14:paraId="736234DC" w14:textId="77777777" w:rsidR="005917B5" w:rsidRPr="001C42C5" w:rsidRDefault="005917B5">
            <w:pPr>
              <w:jc w:val="right"/>
              <w:rPr>
                <w:rFonts w:ascii="Arial" w:hAnsi="Arial" w:cs="Arial"/>
                <w:sz w:val="20"/>
                <w:szCs w:val="20"/>
              </w:rPr>
            </w:pPr>
            <w:r w:rsidRPr="001C42C5">
              <w:rPr>
                <w:rFonts w:ascii="Arial" w:hAnsi="Arial" w:cs="Arial"/>
                <w:sz w:val="20"/>
                <w:szCs w:val="20"/>
              </w:rPr>
              <w:t>90%</w:t>
            </w:r>
          </w:p>
        </w:tc>
        <w:tc>
          <w:tcPr>
            <w:tcW w:w="889" w:type="dxa"/>
            <w:tcBorders>
              <w:top w:val="nil"/>
              <w:left w:val="nil"/>
              <w:bottom w:val="single" w:sz="4" w:space="0" w:color="auto"/>
              <w:right w:val="single" w:sz="4" w:space="0" w:color="auto"/>
            </w:tcBorders>
            <w:noWrap/>
            <w:vAlign w:val="bottom"/>
            <w:hideMark/>
          </w:tcPr>
          <w:p w14:paraId="1992CFB0" w14:textId="77777777" w:rsidR="005917B5" w:rsidRPr="001C42C5" w:rsidRDefault="005917B5">
            <w:pPr>
              <w:jc w:val="right"/>
              <w:rPr>
                <w:rFonts w:ascii="Calibri" w:hAnsi="Calibri" w:cs="Calibri"/>
                <w:sz w:val="22"/>
                <w:szCs w:val="22"/>
              </w:rPr>
            </w:pPr>
            <w:r w:rsidRPr="001C42C5">
              <w:rPr>
                <w:rFonts w:ascii="Calibri" w:hAnsi="Calibri" w:cs="Calibri"/>
                <w:sz w:val="22"/>
                <w:szCs w:val="22"/>
              </w:rPr>
              <w:t>74%</w:t>
            </w:r>
          </w:p>
        </w:tc>
        <w:tc>
          <w:tcPr>
            <w:tcW w:w="219" w:type="dxa"/>
            <w:vAlign w:val="center"/>
            <w:hideMark/>
          </w:tcPr>
          <w:p w14:paraId="30365ED7" w14:textId="77777777" w:rsidR="005917B5" w:rsidRPr="001C42C5" w:rsidRDefault="005917B5">
            <w:pPr>
              <w:rPr>
                <w:sz w:val="20"/>
                <w:szCs w:val="20"/>
              </w:rPr>
            </w:pPr>
          </w:p>
        </w:tc>
      </w:tr>
      <w:tr w:rsidR="001C42C5" w:rsidRPr="001C42C5" w14:paraId="0E014C1B" w14:textId="77777777" w:rsidTr="00033347">
        <w:trPr>
          <w:trHeight w:val="245"/>
          <w:jc w:val="center"/>
        </w:trPr>
        <w:tc>
          <w:tcPr>
            <w:tcW w:w="821" w:type="dxa"/>
            <w:tcBorders>
              <w:top w:val="nil"/>
              <w:left w:val="single" w:sz="4" w:space="0" w:color="auto"/>
              <w:bottom w:val="single" w:sz="4" w:space="0" w:color="auto"/>
              <w:right w:val="single" w:sz="4" w:space="0" w:color="auto"/>
            </w:tcBorders>
            <w:noWrap/>
            <w:vAlign w:val="bottom"/>
            <w:hideMark/>
          </w:tcPr>
          <w:p w14:paraId="4B2EF075" w14:textId="77777777" w:rsidR="005917B5" w:rsidRPr="001C42C5" w:rsidRDefault="005917B5">
            <w:pPr>
              <w:jc w:val="center"/>
              <w:rPr>
                <w:rFonts w:ascii="Arial" w:hAnsi="Arial" w:cs="Arial"/>
                <w:sz w:val="20"/>
                <w:szCs w:val="20"/>
              </w:rPr>
            </w:pPr>
            <w:r w:rsidRPr="001C42C5">
              <w:rPr>
                <w:rFonts w:ascii="Arial" w:hAnsi="Arial" w:cs="Arial"/>
                <w:sz w:val="20"/>
                <w:szCs w:val="20"/>
              </w:rPr>
              <w:t> </w:t>
            </w:r>
          </w:p>
        </w:tc>
        <w:tc>
          <w:tcPr>
            <w:tcW w:w="2252" w:type="dxa"/>
            <w:tcBorders>
              <w:top w:val="nil"/>
              <w:left w:val="nil"/>
              <w:bottom w:val="single" w:sz="4" w:space="0" w:color="auto"/>
              <w:right w:val="nil"/>
            </w:tcBorders>
            <w:noWrap/>
            <w:vAlign w:val="bottom"/>
            <w:hideMark/>
          </w:tcPr>
          <w:p w14:paraId="62CB8DC5" w14:textId="77777777" w:rsidR="005917B5" w:rsidRPr="001C42C5" w:rsidRDefault="005917B5">
            <w:pPr>
              <w:rPr>
                <w:rFonts w:ascii="Arial" w:hAnsi="Arial" w:cs="Arial"/>
                <w:sz w:val="18"/>
                <w:szCs w:val="18"/>
              </w:rPr>
            </w:pPr>
            <w:r w:rsidRPr="001C42C5">
              <w:rPr>
                <w:rFonts w:ascii="Arial" w:hAnsi="Arial" w:cs="Arial"/>
                <w:sz w:val="18"/>
                <w:szCs w:val="18"/>
              </w:rPr>
              <w:t>RASHODI</w:t>
            </w:r>
          </w:p>
        </w:tc>
        <w:tc>
          <w:tcPr>
            <w:tcW w:w="1053" w:type="dxa"/>
            <w:tcBorders>
              <w:top w:val="nil"/>
              <w:left w:val="nil"/>
              <w:bottom w:val="single" w:sz="4" w:space="0" w:color="auto"/>
              <w:right w:val="single" w:sz="4" w:space="0" w:color="auto"/>
            </w:tcBorders>
            <w:noWrap/>
            <w:vAlign w:val="bottom"/>
            <w:hideMark/>
          </w:tcPr>
          <w:p w14:paraId="360AB388" w14:textId="77777777" w:rsidR="005917B5" w:rsidRPr="001C42C5" w:rsidRDefault="005917B5">
            <w:pPr>
              <w:rPr>
                <w:rFonts w:ascii="Arial" w:hAnsi="Arial" w:cs="Arial"/>
                <w:sz w:val="20"/>
                <w:szCs w:val="20"/>
              </w:rPr>
            </w:pPr>
            <w:r w:rsidRPr="001C42C5">
              <w:rPr>
                <w:rFonts w:ascii="Arial" w:hAnsi="Arial" w:cs="Arial"/>
                <w:sz w:val="20"/>
                <w:szCs w:val="20"/>
              </w:rPr>
              <w:t> </w:t>
            </w:r>
          </w:p>
        </w:tc>
        <w:tc>
          <w:tcPr>
            <w:tcW w:w="1476" w:type="dxa"/>
            <w:tcBorders>
              <w:top w:val="nil"/>
              <w:left w:val="nil"/>
              <w:bottom w:val="single" w:sz="4" w:space="0" w:color="auto"/>
              <w:right w:val="single" w:sz="4" w:space="0" w:color="auto"/>
            </w:tcBorders>
            <w:noWrap/>
            <w:vAlign w:val="bottom"/>
            <w:hideMark/>
          </w:tcPr>
          <w:p w14:paraId="539630A3" w14:textId="77777777" w:rsidR="005917B5" w:rsidRPr="001C42C5" w:rsidRDefault="005917B5">
            <w:pPr>
              <w:jc w:val="right"/>
              <w:rPr>
                <w:rFonts w:ascii="Arial" w:hAnsi="Arial" w:cs="Arial"/>
                <w:sz w:val="20"/>
                <w:szCs w:val="20"/>
              </w:rPr>
            </w:pPr>
            <w:r w:rsidRPr="001C42C5">
              <w:rPr>
                <w:rFonts w:ascii="Arial" w:hAnsi="Arial" w:cs="Arial"/>
                <w:sz w:val="20"/>
                <w:szCs w:val="20"/>
              </w:rPr>
              <w:t>785.492,78</w:t>
            </w:r>
          </w:p>
        </w:tc>
        <w:tc>
          <w:tcPr>
            <w:tcW w:w="1476" w:type="dxa"/>
            <w:tcBorders>
              <w:top w:val="nil"/>
              <w:left w:val="nil"/>
              <w:bottom w:val="single" w:sz="4" w:space="0" w:color="auto"/>
              <w:right w:val="single" w:sz="4" w:space="0" w:color="auto"/>
            </w:tcBorders>
            <w:noWrap/>
            <w:vAlign w:val="bottom"/>
            <w:hideMark/>
          </w:tcPr>
          <w:p w14:paraId="43D4BAF3" w14:textId="77777777" w:rsidR="005917B5" w:rsidRPr="001C42C5" w:rsidRDefault="005917B5">
            <w:pPr>
              <w:jc w:val="right"/>
              <w:rPr>
                <w:rFonts w:ascii="Arial" w:hAnsi="Arial" w:cs="Arial"/>
                <w:sz w:val="20"/>
                <w:szCs w:val="20"/>
              </w:rPr>
            </w:pPr>
            <w:r w:rsidRPr="001C42C5">
              <w:rPr>
                <w:rFonts w:ascii="Arial" w:hAnsi="Arial" w:cs="Arial"/>
                <w:sz w:val="20"/>
                <w:szCs w:val="20"/>
              </w:rPr>
              <w:t>956.400,00</w:t>
            </w:r>
          </w:p>
        </w:tc>
        <w:tc>
          <w:tcPr>
            <w:tcW w:w="1476" w:type="dxa"/>
            <w:tcBorders>
              <w:top w:val="nil"/>
              <w:left w:val="nil"/>
              <w:bottom w:val="single" w:sz="4" w:space="0" w:color="auto"/>
              <w:right w:val="single" w:sz="4" w:space="0" w:color="auto"/>
            </w:tcBorders>
            <w:shd w:val="clear" w:color="000000" w:fill="FFFFFF"/>
            <w:noWrap/>
            <w:vAlign w:val="bottom"/>
            <w:hideMark/>
          </w:tcPr>
          <w:p w14:paraId="5314DF08" w14:textId="77777777" w:rsidR="005917B5" w:rsidRPr="001C42C5" w:rsidRDefault="005917B5">
            <w:pPr>
              <w:jc w:val="right"/>
              <w:rPr>
                <w:rFonts w:ascii="Arial" w:hAnsi="Arial" w:cs="Arial"/>
                <w:sz w:val="20"/>
                <w:szCs w:val="20"/>
              </w:rPr>
            </w:pPr>
            <w:r w:rsidRPr="001C42C5">
              <w:rPr>
                <w:rFonts w:ascii="Arial" w:hAnsi="Arial" w:cs="Arial"/>
                <w:sz w:val="20"/>
                <w:szCs w:val="20"/>
              </w:rPr>
              <w:t>827.187,33</w:t>
            </w:r>
          </w:p>
        </w:tc>
        <w:tc>
          <w:tcPr>
            <w:tcW w:w="889" w:type="dxa"/>
            <w:tcBorders>
              <w:top w:val="nil"/>
              <w:left w:val="nil"/>
              <w:bottom w:val="single" w:sz="4" w:space="0" w:color="auto"/>
              <w:right w:val="single" w:sz="4" w:space="0" w:color="auto"/>
            </w:tcBorders>
            <w:noWrap/>
            <w:vAlign w:val="bottom"/>
            <w:hideMark/>
          </w:tcPr>
          <w:p w14:paraId="62BD1F2E" w14:textId="77777777" w:rsidR="005917B5" w:rsidRPr="001C42C5" w:rsidRDefault="005917B5">
            <w:pPr>
              <w:jc w:val="right"/>
              <w:rPr>
                <w:rFonts w:ascii="Arial" w:hAnsi="Arial" w:cs="Arial"/>
                <w:sz w:val="20"/>
                <w:szCs w:val="20"/>
              </w:rPr>
            </w:pPr>
            <w:r w:rsidRPr="001C42C5">
              <w:rPr>
                <w:rFonts w:ascii="Arial" w:hAnsi="Arial" w:cs="Arial"/>
                <w:sz w:val="20"/>
                <w:szCs w:val="20"/>
              </w:rPr>
              <w:t>105%</w:t>
            </w:r>
          </w:p>
        </w:tc>
        <w:tc>
          <w:tcPr>
            <w:tcW w:w="889" w:type="dxa"/>
            <w:tcBorders>
              <w:top w:val="nil"/>
              <w:left w:val="nil"/>
              <w:bottom w:val="single" w:sz="4" w:space="0" w:color="auto"/>
              <w:right w:val="single" w:sz="4" w:space="0" w:color="auto"/>
            </w:tcBorders>
            <w:noWrap/>
            <w:vAlign w:val="bottom"/>
            <w:hideMark/>
          </w:tcPr>
          <w:p w14:paraId="0C62096C" w14:textId="77777777" w:rsidR="005917B5" w:rsidRPr="001C42C5" w:rsidRDefault="005917B5">
            <w:pPr>
              <w:jc w:val="right"/>
              <w:rPr>
                <w:rFonts w:ascii="Calibri" w:hAnsi="Calibri" w:cs="Calibri"/>
                <w:sz w:val="22"/>
                <w:szCs w:val="22"/>
              </w:rPr>
            </w:pPr>
            <w:r w:rsidRPr="001C42C5">
              <w:rPr>
                <w:rFonts w:ascii="Calibri" w:hAnsi="Calibri" w:cs="Calibri"/>
                <w:sz w:val="22"/>
                <w:szCs w:val="22"/>
              </w:rPr>
              <w:t>86%</w:t>
            </w:r>
          </w:p>
        </w:tc>
        <w:tc>
          <w:tcPr>
            <w:tcW w:w="219" w:type="dxa"/>
            <w:vAlign w:val="center"/>
            <w:hideMark/>
          </w:tcPr>
          <w:p w14:paraId="28102251" w14:textId="77777777" w:rsidR="005917B5" w:rsidRPr="001C42C5" w:rsidRDefault="005917B5">
            <w:pPr>
              <w:rPr>
                <w:sz w:val="20"/>
                <w:szCs w:val="20"/>
              </w:rPr>
            </w:pPr>
          </w:p>
        </w:tc>
      </w:tr>
      <w:tr w:rsidR="001C42C5" w:rsidRPr="001C42C5" w14:paraId="7C82D3CF" w14:textId="77777777" w:rsidTr="00033347">
        <w:trPr>
          <w:trHeight w:val="245"/>
          <w:jc w:val="center"/>
        </w:trPr>
        <w:tc>
          <w:tcPr>
            <w:tcW w:w="821" w:type="dxa"/>
            <w:tcBorders>
              <w:top w:val="nil"/>
              <w:left w:val="single" w:sz="4" w:space="0" w:color="auto"/>
              <w:bottom w:val="single" w:sz="4" w:space="0" w:color="auto"/>
              <w:right w:val="single" w:sz="4" w:space="0" w:color="auto"/>
            </w:tcBorders>
            <w:noWrap/>
            <w:vAlign w:val="bottom"/>
            <w:hideMark/>
          </w:tcPr>
          <w:p w14:paraId="62D150A5" w14:textId="77777777" w:rsidR="005917B5" w:rsidRPr="001C42C5" w:rsidRDefault="005917B5">
            <w:pPr>
              <w:jc w:val="center"/>
              <w:rPr>
                <w:rFonts w:ascii="Arial" w:hAnsi="Arial" w:cs="Arial"/>
                <w:sz w:val="20"/>
                <w:szCs w:val="20"/>
              </w:rPr>
            </w:pPr>
            <w:r w:rsidRPr="001C42C5">
              <w:rPr>
                <w:rFonts w:ascii="Arial" w:hAnsi="Arial" w:cs="Arial"/>
                <w:sz w:val="20"/>
                <w:szCs w:val="20"/>
              </w:rPr>
              <w:t> </w:t>
            </w:r>
          </w:p>
        </w:tc>
        <w:tc>
          <w:tcPr>
            <w:tcW w:w="2252" w:type="dxa"/>
            <w:tcBorders>
              <w:top w:val="nil"/>
              <w:left w:val="nil"/>
              <w:bottom w:val="single" w:sz="4" w:space="0" w:color="auto"/>
              <w:right w:val="nil"/>
            </w:tcBorders>
            <w:noWrap/>
            <w:vAlign w:val="bottom"/>
            <w:hideMark/>
          </w:tcPr>
          <w:p w14:paraId="130FA38F" w14:textId="77777777" w:rsidR="005917B5" w:rsidRPr="001C42C5" w:rsidRDefault="005917B5">
            <w:pPr>
              <w:rPr>
                <w:rFonts w:ascii="Arial" w:hAnsi="Arial" w:cs="Arial"/>
                <w:sz w:val="18"/>
                <w:szCs w:val="18"/>
              </w:rPr>
            </w:pPr>
            <w:r w:rsidRPr="001C42C5">
              <w:rPr>
                <w:rFonts w:ascii="Arial" w:hAnsi="Arial" w:cs="Arial"/>
                <w:sz w:val="18"/>
                <w:szCs w:val="18"/>
              </w:rPr>
              <w:t> </w:t>
            </w:r>
          </w:p>
        </w:tc>
        <w:tc>
          <w:tcPr>
            <w:tcW w:w="1053" w:type="dxa"/>
            <w:tcBorders>
              <w:top w:val="nil"/>
              <w:left w:val="nil"/>
              <w:bottom w:val="single" w:sz="4" w:space="0" w:color="auto"/>
              <w:right w:val="single" w:sz="4" w:space="0" w:color="auto"/>
            </w:tcBorders>
            <w:noWrap/>
            <w:vAlign w:val="bottom"/>
            <w:hideMark/>
          </w:tcPr>
          <w:p w14:paraId="5A0261B7" w14:textId="37B66C5F" w:rsidR="005917B5" w:rsidRPr="001C42C5" w:rsidRDefault="004C49AC" w:rsidP="004C49AC">
            <w:pPr>
              <w:jc w:val="right"/>
              <w:rPr>
                <w:rFonts w:ascii="Arial" w:hAnsi="Arial" w:cs="Arial"/>
                <w:sz w:val="18"/>
                <w:szCs w:val="18"/>
              </w:rPr>
            </w:pPr>
            <w:r w:rsidRPr="001C42C5">
              <w:rPr>
                <w:rFonts w:ascii="Arial" w:hAnsi="Arial" w:cs="Arial"/>
                <w:sz w:val="18"/>
                <w:szCs w:val="18"/>
              </w:rPr>
              <w:t>REZULTAT</w:t>
            </w:r>
          </w:p>
        </w:tc>
        <w:tc>
          <w:tcPr>
            <w:tcW w:w="1476" w:type="dxa"/>
            <w:tcBorders>
              <w:top w:val="nil"/>
              <w:left w:val="nil"/>
              <w:bottom w:val="single" w:sz="4" w:space="0" w:color="auto"/>
              <w:right w:val="single" w:sz="4" w:space="0" w:color="auto"/>
            </w:tcBorders>
            <w:vAlign w:val="center"/>
            <w:hideMark/>
          </w:tcPr>
          <w:p w14:paraId="286B8F3C" w14:textId="77777777" w:rsidR="005917B5" w:rsidRPr="001C42C5" w:rsidRDefault="005917B5">
            <w:pPr>
              <w:jc w:val="right"/>
              <w:rPr>
                <w:rFonts w:ascii="Arial" w:hAnsi="Arial" w:cs="Arial"/>
                <w:sz w:val="20"/>
                <w:szCs w:val="20"/>
              </w:rPr>
            </w:pPr>
            <w:r w:rsidRPr="001C42C5">
              <w:rPr>
                <w:rFonts w:ascii="Arial" w:hAnsi="Arial" w:cs="Arial"/>
                <w:sz w:val="20"/>
                <w:szCs w:val="20"/>
              </w:rPr>
              <w:t>0,00</w:t>
            </w:r>
          </w:p>
        </w:tc>
        <w:tc>
          <w:tcPr>
            <w:tcW w:w="1476" w:type="dxa"/>
            <w:tcBorders>
              <w:top w:val="nil"/>
              <w:left w:val="nil"/>
              <w:bottom w:val="single" w:sz="4" w:space="0" w:color="auto"/>
              <w:right w:val="single" w:sz="4" w:space="0" w:color="auto"/>
            </w:tcBorders>
            <w:vAlign w:val="center"/>
            <w:hideMark/>
          </w:tcPr>
          <w:p w14:paraId="4162BDE6" w14:textId="77777777" w:rsidR="005917B5" w:rsidRPr="001C42C5" w:rsidRDefault="005917B5">
            <w:pPr>
              <w:jc w:val="right"/>
              <w:rPr>
                <w:rFonts w:ascii="Arial" w:hAnsi="Arial" w:cs="Arial"/>
                <w:sz w:val="20"/>
                <w:szCs w:val="20"/>
              </w:rPr>
            </w:pPr>
            <w:r w:rsidRPr="001C42C5">
              <w:rPr>
                <w:rFonts w:ascii="Arial" w:hAnsi="Arial" w:cs="Arial"/>
                <w:sz w:val="20"/>
                <w:szCs w:val="20"/>
              </w:rPr>
              <w:t>0,00</w:t>
            </w:r>
          </w:p>
        </w:tc>
        <w:tc>
          <w:tcPr>
            <w:tcW w:w="1476" w:type="dxa"/>
            <w:tcBorders>
              <w:top w:val="nil"/>
              <w:left w:val="nil"/>
              <w:bottom w:val="single" w:sz="4" w:space="0" w:color="auto"/>
              <w:right w:val="single" w:sz="4" w:space="0" w:color="auto"/>
            </w:tcBorders>
            <w:shd w:val="clear" w:color="000000" w:fill="FFFFFF"/>
            <w:vAlign w:val="center"/>
            <w:hideMark/>
          </w:tcPr>
          <w:p w14:paraId="041BF6E0" w14:textId="77777777" w:rsidR="005917B5" w:rsidRPr="001C42C5" w:rsidRDefault="005917B5">
            <w:pPr>
              <w:jc w:val="right"/>
              <w:rPr>
                <w:rFonts w:ascii="Arial" w:hAnsi="Arial" w:cs="Arial"/>
                <w:sz w:val="20"/>
                <w:szCs w:val="20"/>
              </w:rPr>
            </w:pPr>
            <w:r w:rsidRPr="001C42C5">
              <w:rPr>
                <w:rFonts w:ascii="Arial" w:hAnsi="Arial" w:cs="Arial"/>
                <w:sz w:val="20"/>
                <w:szCs w:val="20"/>
              </w:rPr>
              <w:t>-123.537,03</w:t>
            </w:r>
          </w:p>
        </w:tc>
        <w:tc>
          <w:tcPr>
            <w:tcW w:w="889" w:type="dxa"/>
            <w:tcBorders>
              <w:top w:val="nil"/>
              <w:left w:val="nil"/>
              <w:bottom w:val="single" w:sz="4" w:space="0" w:color="auto"/>
              <w:right w:val="single" w:sz="4" w:space="0" w:color="auto"/>
            </w:tcBorders>
            <w:shd w:val="clear" w:color="000000" w:fill="FFFFFF"/>
            <w:vAlign w:val="center"/>
            <w:hideMark/>
          </w:tcPr>
          <w:p w14:paraId="3FDAAC71" w14:textId="77777777" w:rsidR="005917B5" w:rsidRPr="001C42C5" w:rsidRDefault="005917B5">
            <w:pPr>
              <w:rPr>
                <w:rFonts w:ascii="Arial" w:hAnsi="Arial" w:cs="Arial"/>
                <w:sz w:val="20"/>
                <w:szCs w:val="20"/>
              </w:rPr>
            </w:pPr>
            <w:r w:rsidRPr="001C42C5">
              <w:rPr>
                <w:rFonts w:ascii="Arial" w:hAnsi="Arial" w:cs="Arial"/>
                <w:sz w:val="20"/>
                <w:szCs w:val="20"/>
              </w:rPr>
              <w:t> </w:t>
            </w:r>
          </w:p>
        </w:tc>
        <w:tc>
          <w:tcPr>
            <w:tcW w:w="889" w:type="dxa"/>
            <w:tcBorders>
              <w:top w:val="nil"/>
              <w:left w:val="nil"/>
              <w:bottom w:val="single" w:sz="4" w:space="0" w:color="auto"/>
              <w:right w:val="single" w:sz="4" w:space="0" w:color="auto"/>
            </w:tcBorders>
            <w:noWrap/>
            <w:vAlign w:val="bottom"/>
            <w:hideMark/>
          </w:tcPr>
          <w:p w14:paraId="43164650" w14:textId="77777777" w:rsidR="005917B5" w:rsidRPr="001C42C5" w:rsidRDefault="005917B5">
            <w:pPr>
              <w:rPr>
                <w:rFonts w:ascii="Calibri" w:hAnsi="Calibri" w:cs="Calibri"/>
                <w:sz w:val="22"/>
                <w:szCs w:val="22"/>
              </w:rPr>
            </w:pPr>
            <w:r w:rsidRPr="001C42C5">
              <w:rPr>
                <w:rFonts w:ascii="Calibri" w:hAnsi="Calibri" w:cs="Calibri"/>
                <w:sz w:val="22"/>
                <w:szCs w:val="22"/>
              </w:rPr>
              <w:t> </w:t>
            </w:r>
          </w:p>
        </w:tc>
        <w:tc>
          <w:tcPr>
            <w:tcW w:w="219" w:type="dxa"/>
            <w:vAlign w:val="center"/>
            <w:hideMark/>
          </w:tcPr>
          <w:p w14:paraId="48944E0B" w14:textId="77777777" w:rsidR="005917B5" w:rsidRPr="001C42C5" w:rsidRDefault="005917B5">
            <w:pPr>
              <w:rPr>
                <w:sz w:val="20"/>
                <w:szCs w:val="20"/>
              </w:rPr>
            </w:pPr>
          </w:p>
        </w:tc>
      </w:tr>
      <w:tr w:rsidR="001C42C5" w:rsidRPr="001C42C5" w14:paraId="628AEA54" w14:textId="77777777" w:rsidTr="00033347">
        <w:trPr>
          <w:trHeight w:val="245"/>
          <w:jc w:val="center"/>
        </w:trPr>
        <w:tc>
          <w:tcPr>
            <w:tcW w:w="821" w:type="dxa"/>
            <w:tcBorders>
              <w:top w:val="nil"/>
              <w:left w:val="single" w:sz="4" w:space="0" w:color="auto"/>
              <w:bottom w:val="single" w:sz="4" w:space="0" w:color="auto"/>
              <w:right w:val="single" w:sz="4" w:space="0" w:color="auto"/>
            </w:tcBorders>
            <w:noWrap/>
            <w:vAlign w:val="bottom"/>
            <w:hideMark/>
          </w:tcPr>
          <w:p w14:paraId="4204A7E8" w14:textId="77777777" w:rsidR="005917B5" w:rsidRPr="001C42C5" w:rsidRDefault="005917B5">
            <w:pPr>
              <w:jc w:val="center"/>
              <w:rPr>
                <w:rFonts w:ascii="Arial" w:hAnsi="Arial" w:cs="Arial"/>
                <w:b/>
                <w:bCs/>
                <w:sz w:val="20"/>
                <w:szCs w:val="20"/>
              </w:rPr>
            </w:pPr>
            <w:r w:rsidRPr="001C42C5">
              <w:rPr>
                <w:rFonts w:ascii="Arial" w:hAnsi="Arial" w:cs="Arial"/>
                <w:b/>
                <w:bCs/>
                <w:sz w:val="20"/>
                <w:szCs w:val="20"/>
              </w:rPr>
              <w:t>30</w:t>
            </w:r>
          </w:p>
        </w:tc>
        <w:tc>
          <w:tcPr>
            <w:tcW w:w="3305" w:type="dxa"/>
            <w:gridSpan w:val="2"/>
            <w:tcBorders>
              <w:top w:val="single" w:sz="4" w:space="0" w:color="auto"/>
              <w:left w:val="nil"/>
              <w:bottom w:val="single" w:sz="4" w:space="0" w:color="auto"/>
              <w:right w:val="single" w:sz="4" w:space="0" w:color="000000"/>
            </w:tcBorders>
            <w:noWrap/>
            <w:vAlign w:val="bottom"/>
            <w:hideMark/>
          </w:tcPr>
          <w:p w14:paraId="47AA44ED" w14:textId="77777777" w:rsidR="005917B5" w:rsidRPr="001C42C5" w:rsidRDefault="005917B5">
            <w:pPr>
              <w:rPr>
                <w:rFonts w:ascii="Arial" w:hAnsi="Arial" w:cs="Arial"/>
                <w:b/>
                <w:bCs/>
                <w:sz w:val="20"/>
                <w:szCs w:val="20"/>
              </w:rPr>
            </w:pPr>
            <w:r w:rsidRPr="001C42C5">
              <w:rPr>
                <w:rFonts w:ascii="Arial" w:hAnsi="Arial" w:cs="Arial"/>
                <w:b/>
                <w:bCs/>
                <w:sz w:val="20"/>
                <w:szCs w:val="20"/>
              </w:rPr>
              <w:t>Vlastiti prihodi</w:t>
            </w:r>
          </w:p>
        </w:tc>
        <w:tc>
          <w:tcPr>
            <w:tcW w:w="1476" w:type="dxa"/>
            <w:tcBorders>
              <w:top w:val="nil"/>
              <w:left w:val="nil"/>
              <w:bottom w:val="single" w:sz="4" w:space="0" w:color="auto"/>
              <w:right w:val="single" w:sz="4" w:space="0" w:color="auto"/>
            </w:tcBorders>
            <w:noWrap/>
            <w:vAlign w:val="bottom"/>
            <w:hideMark/>
          </w:tcPr>
          <w:p w14:paraId="6A23032C" w14:textId="77777777" w:rsidR="005917B5" w:rsidRPr="001C42C5" w:rsidRDefault="005917B5">
            <w:pPr>
              <w:jc w:val="right"/>
              <w:rPr>
                <w:rFonts w:ascii="Arial" w:hAnsi="Arial" w:cs="Arial"/>
                <w:b/>
                <w:bCs/>
                <w:sz w:val="20"/>
                <w:szCs w:val="20"/>
              </w:rPr>
            </w:pPr>
            <w:r w:rsidRPr="001C42C5">
              <w:rPr>
                <w:rFonts w:ascii="Arial" w:hAnsi="Arial" w:cs="Arial"/>
                <w:b/>
                <w:bCs/>
                <w:sz w:val="20"/>
                <w:szCs w:val="20"/>
              </w:rPr>
              <w:t> </w:t>
            </w:r>
          </w:p>
        </w:tc>
        <w:tc>
          <w:tcPr>
            <w:tcW w:w="1476" w:type="dxa"/>
            <w:tcBorders>
              <w:top w:val="nil"/>
              <w:left w:val="nil"/>
              <w:bottom w:val="single" w:sz="4" w:space="0" w:color="auto"/>
              <w:right w:val="single" w:sz="4" w:space="0" w:color="auto"/>
            </w:tcBorders>
            <w:noWrap/>
            <w:vAlign w:val="bottom"/>
            <w:hideMark/>
          </w:tcPr>
          <w:p w14:paraId="5C3DAF56" w14:textId="77777777" w:rsidR="005917B5" w:rsidRPr="001C42C5" w:rsidRDefault="005917B5">
            <w:pPr>
              <w:rPr>
                <w:rFonts w:ascii="Arial" w:hAnsi="Arial" w:cs="Arial"/>
                <w:sz w:val="20"/>
                <w:szCs w:val="20"/>
              </w:rPr>
            </w:pPr>
            <w:r w:rsidRPr="001C42C5">
              <w:rPr>
                <w:rFonts w:ascii="Arial" w:hAnsi="Arial" w:cs="Arial"/>
                <w:sz w:val="20"/>
                <w:szCs w:val="20"/>
              </w:rPr>
              <w:t> </w:t>
            </w:r>
          </w:p>
        </w:tc>
        <w:tc>
          <w:tcPr>
            <w:tcW w:w="1476" w:type="dxa"/>
            <w:tcBorders>
              <w:top w:val="nil"/>
              <w:left w:val="nil"/>
              <w:bottom w:val="single" w:sz="4" w:space="0" w:color="auto"/>
              <w:right w:val="single" w:sz="4" w:space="0" w:color="auto"/>
            </w:tcBorders>
            <w:noWrap/>
            <w:vAlign w:val="bottom"/>
            <w:hideMark/>
          </w:tcPr>
          <w:p w14:paraId="457C55DA" w14:textId="77777777" w:rsidR="005917B5" w:rsidRPr="001C42C5" w:rsidRDefault="005917B5">
            <w:pPr>
              <w:rPr>
                <w:rFonts w:ascii="Arial" w:hAnsi="Arial" w:cs="Arial"/>
                <w:sz w:val="20"/>
                <w:szCs w:val="20"/>
              </w:rPr>
            </w:pPr>
            <w:r w:rsidRPr="001C42C5">
              <w:rPr>
                <w:rFonts w:ascii="Arial" w:hAnsi="Arial" w:cs="Arial"/>
                <w:sz w:val="20"/>
                <w:szCs w:val="20"/>
              </w:rPr>
              <w:t> </w:t>
            </w:r>
          </w:p>
        </w:tc>
        <w:tc>
          <w:tcPr>
            <w:tcW w:w="889" w:type="dxa"/>
            <w:tcBorders>
              <w:top w:val="nil"/>
              <w:left w:val="nil"/>
              <w:bottom w:val="single" w:sz="4" w:space="0" w:color="auto"/>
              <w:right w:val="single" w:sz="4" w:space="0" w:color="auto"/>
            </w:tcBorders>
            <w:noWrap/>
            <w:vAlign w:val="bottom"/>
            <w:hideMark/>
          </w:tcPr>
          <w:p w14:paraId="4DF65D58" w14:textId="77777777" w:rsidR="005917B5" w:rsidRPr="001C42C5" w:rsidRDefault="005917B5">
            <w:pPr>
              <w:rPr>
                <w:rFonts w:ascii="Arial" w:hAnsi="Arial" w:cs="Arial"/>
                <w:sz w:val="20"/>
                <w:szCs w:val="20"/>
              </w:rPr>
            </w:pPr>
            <w:r w:rsidRPr="001C42C5">
              <w:rPr>
                <w:rFonts w:ascii="Arial" w:hAnsi="Arial" w:cs="Arial"/>
                <w:sz w:val="20"/>
                <w:szCs w:val="20"/>
              </w:rPr>
              <w:t> </w:t>
            </w:r>
          </w:p>
        </w:tc>
        <w:tc>
          <w:tcPr>
            <w:tcW w:w="889" w:type="dxa"/>
            <w:tcBorders>
              <w:top w:val="nil"/>
              <w:left w:val="nil"/>
              <w:bottom w:val="single" w:sz="4" w:space="0" w:color="auto"/>
              <w:right w:val="single" w:sz="4" w:space="0" w:color="auto"/>
            </w:tcBorders>
            <w:noWrap/>
            <w:vAlign w:val="bottom"/>
            <w:hideMark/>
          </w:tcPr>
          <w:p w14:paraId="7F67C7F1" w14:textId="77777777" w:rsidR="005917B5" w:rsidRPr="001C42C5" w:rsidRDefault="005917B5">
            <w:pPr>
              <w:rPr>
                <w:rFonts w:ascii="Calibri" w:hAnsi="Calibri" w:cs="Calibri"/>
                <w:sz w:val="22"/>
                <w:szCs w:val="22"/>
              </w:rPr>
            </w:pPr>
            <w:r w:rsidRPr="001C42C5">
              <w:rPr>
                <w:rFonts w:ascii="Calibri" w:hAnsi="Calibri" w:cs="Calibri"/>
                <w:sz w:val="22"/>
                <w:szCs w:val="22"/>
              </w:rPr>
              <w:t> </w:t>
            </w:r>
          </w:p>
        </w:tc>
        <w:tc>
          <w:tcPr>
            <w:tcW w:w="219" w:type="dxa"/>
            <w:vAlign w:val="center"/>
            <w:hideMark/>
          </w:tcPr>
          <w:p w14:paraId="4B6E539F" w14:textId="77777777" w:rsidR="005917B5" w:rsidRPr="001C42C5" w:rsidRDefault="005917B5">
            <w:pPr>
              <w:rPr>
                <w:sz w:val="20"/>
                <w:szCs w:val="20"/>
              </w:rPr>
            </w:pPr>
          </w:p>
        </w:tc>
      </w:tr>
      <w:tr w:rsidR="001C42C5" w:rsidRPr="001C42C5" w14:paraId="48FD7FC8" w14:textId="77777777" w:rsidTr="00033347">
        <w:trPr>
          <w:trHeight w:val="245"/>
          <w:jc w:val="center"/>
        </w:trPr>
        <w:tc>
          <w:tcPr>
            <w:tcW w:w="821" w:type="dxa"/>
            <w:tcBorders>
              <w:top w:val="nil"/>
              <w:left w:val="single" w:sz="4" w:space="0" w:color="auto"/>
              <w:bottom w:val="single" w:sz="4" w:space="0" w:color="auto"/>
              <w:right w:val="single" w:sz="4" w:space="0" w:color="auto"/>
            </w:tcBorders>
            <w:noWrap/>
            <w:vAlign w:val="bottom"/>
            <w:hideMark/>
          </w:tcPr>
          <w:p w14:paraId="064C841E" w14:textId="77777777" w:rsidR="005917B5" w:rsidRPr="001C42C5" w:rsidRDefault="005917B5">
            <w:pPr>
              <w:jc w:val="center"/>
              <w:rPr>
                <w:rFonts w:ascii="Arial" w:hAnsi="Arial" w:cs="Arial"/>
                <w:sz w:val="20"/>
                <w:szCs w:val="20"/>
              </w:rPr>
            </w:pPr>
            <w:r w:rsidRPr="001C42C5">
              <w:rPr>
                <w:rFonts w:ascii="Arial" w:hAnsi="Arial" w:cs="Arial"/>
                <w:sz w:val="20"/>
                <w:szCs w:val="20"/>
              </w:rPr>
              <w:t> </w:t>
            </w:r>
          </w:p>
        </w:tc>
        <w:tc>
          <w:tcPr>
            <w:tcW w:w="2252" w:type="dxa"/>
            <w:tcBorders>
              <w:top w:val="nil"/>
              <w:left w:val="nil"/>
              <w:bottom w:val="single" w:sz="4" w:space="0" w:color="auto"/>
              <w:right w:val="nil"/>
            </w:tcBorders>
            <w:noWrap/>
            <w:vAlign w:val="bottom"/>
            <w:hideMark/>
          </w:tcPr>
          <w:p w14:paraId="40752015" w14:textId="77777777" w:rsidR="005917B5" w:rsidRPr="001C42C5" w:rsidRDefault="005917B5">
            <w:pPr>
              <w:rPr>
                <w:rFonts w:ascii="Arial" w:hAnsi="Arial" w:cs="Arial"/>
                <w:sz w:val="18"/>
                <w:szCs w:val="18"/>
              </w:rPr>
            </w:pPr>
            <w:r w:rsidRPr="001C42C5">
              <w:rPr>
                <w:rFonts w:ascii="Arial" w:hAnsi="Arial" w:cs="Arial"/>
                <w:sz w:val="18"/>
                <w:szCs w:val="18"/>
              </w:rPr>
              <w:t>PRIHODI</w:t>
            </w:r>
          </w:p>
        </w:tc>
        <w:tc>
          <w:tcPr>
            <w:tcW w:w="1053" w:type="dxa"/>
            <w:tcBorders>
              <w:top w:val="nil"/>
              <w:left w:val="nil"/>
              <w:bottom w:val="single" w:sz="4" w:space="0" w:color="auto"/>
              <w:right w:val="single" w:sz="4" w:space="0" w:color="auto"/>
            </w:tcBorders>
            <w:noWrap/>
            <w:vAlign w:val="bottom"/>
            <w:hideMark/>
          </w:tcPr>
          <w:p w14:paraId="685C8D68" w14:textId="77777777" w:rsidR="005917B5" w:rsidRPr="001C42C5" w:rsidRDefault="005917B5">
            <w:pPr>
              <w:rPr>
                <w:rFonts w:ascii="Arial" w:hAnsi="Arial" w:cs="Arial"/>
                <w:sz w:val="20"/>
                <w:szCs w:val="20"/>
              </w:rPr>
            </w:pPr>
            <w:r w:rsidRPr="001C42C5">
              <w:rPr>
                <w:rFonts w:ascii="Arial" w:hAnsi="Arial" w:cs="Arial"/>
                <w:sz w:val="20"/>
                <w:szCs w:val="20"/>
              </w:rPr>
              <w:t> </w:t>
            </w:r>
          </w:p>
        </w:tc>
        <w:tc>
          <w:tcPr>
            <w:tcW w:w="1476" w:type="dxa"/>
            <w:tcBorders>
              <w:top w:val="nil"/>
              <w:left w:val="nil"/>
              <w:bottom w:val="single" w:sz="4" w:space="0" w:color="auto"/>
              <w:right w:val="single" w:sz="4" w:space="0" w:color="auto"/>
            </w:tcBorders>
            <w:noWrap/>
            <w:vAlign w:val="bottom"/>
            <w:hideMark/>
          </w:tcPr>
          <w:p w14:paraId="41A9CF6F" w14:textId="77777777" w:rsidR="005917B5" w:rsidRPr="001C42C5" w:rsidRDefault="005917B5">
            <w:pPr>
              <w:jc w:val="right"/>
              <w:rPr>
                <w:rFonts w:ascii="Arial" w:hAnsi="Arial" w:cs="Arial"/>
                <w:sz w:val="20"/>
                <w:szCs w:val="20"/>
              </w:rPr>
            </w:pPr>
            <w:r w:rsidRPr="001C42C5">
              <w:rPr>
                <w:rFonts w:ascii="Arial" w:hAnsi="Arial" w:cs="Arial"/>
                <w:sz w:val="20"/>
                <w:szCs w:val="20"/>
              </w:rPr>
              <w:t>5.386.082,62</w:t>
            </w:r>
          </w:p>
        </w:tc>
        <w:tc>
          <w:tcPr>
            <w:tcW w:w="1476" w:type="dxa"/>
            <w:tcBorders>
              <w:top w:val="nil"/>
              <w:left w:val="nil"/>
              <w:bottom w:val="single" w:sz="4" w:space="0" w:color="auto"/>
              <w:right w:val="single" w:sz="4" w:space="0" w:color="auto"/>
            </w:tcBorders>
            <w:noWrap/>
            <w:vAlign w:val="bottom"/>
            <w:hideMark/>
          </w:tcPr>
          <w:p w14:paraId="2A87AA72" w14:textId="77777777" w:rsidR="005917B5" w:rsidRPr="001C42C5" w:rsidRDefault="005917B5">
            <w:pPr>
              <w:jc w:val="right"/>
              <w:rPr>
                <w:rFonts w:ascii="Arial" w:hAnsi="Arial" w:cs="Arial"/>
                <w:sz w:val="20"/>
                <w:szCs w:val="20"/>
              </w:rPr>
            </w:pPr>
            <w:r w:rsidRPr="001C42C5">
              <w:rPr>
                <w:rFonts w:ascii="Arial" w:hAnsi="Arial" w:cs="Arial"/>
                <w:sz w:val="20"/>
                <w:szCs w:val="20"/>
              </w:rPr>
              <w:t>5.720.500,00</w:t>
            </w:r>
          </w:p>
        </w:tc>
        <w:tc>
          <w:tcPr>
            <w:tcW w:w="1476" w:type="dxa"/>
            <w:tcBorders>
              <w:top w:val="nil"/>
              <w:left w:val="nil"/>
              <w:bottom w:val="single" w:sz="4" w:space="0" w:color="auto"/>
              <w:right w:val="single" w:sz="4" w:space="0" w:color="auto"/>
            </w:tcBorders>
            <w:noWrap/>
            <w:vAlign w:val="bottom"/>
            <w:hideMark/>
          </w:tcPr>
          <w:p w14:paraId="31A29814" w14:textId="77777777" w:rsidR="005917B5" w:rsidRPr="001C42C5" w:rsidRDefault="005917B5">
            <w:pPr>
              <w:jc w:val="right"/>
              <w:rPr>
                <w:rFonts w:ascii="Arial" w:hAnsi="Arial" w:cs="Arial"/>
                <w:sz w:val="20"/>
                <w:szCs w:val="20"/>
              </w:rPr>
            </w:pPr>
            <w:r w:rsidRPr="001C42C5">
              <w:rPr>
                <w:rFonts w:ascii="Arial" w:hAnsi="Arial" w:cs="Arial"/>
                <w:sz w:val="20"/>
                <w:szCs w:val="20"/>
              </w:rPr>
              <w:t>5.751.439,12</w:t>
            </w:r>
          </w:p>
        </w:tc>
        <w:tc>
          <w:tcPr>
            <w:tcW w:w="889" w:type="dxa"/>
            <w:tcBorders>
              <w:top w:val="nil"/>
              <w:left w:val="nil"/>
              <w:bottom w:val="single" w:sz="4" w:space="0" w:color="auto"/>
              <w:right w:val="single" w:sz="4" w:space="0" w:color="auto"/>
            </w:tcBorders>
            <w:noWrap/>
            <w:vAlign w:val="bottom"/>
            <w:hideMark/>
          </w:tcPr>
          <w:p w14:paraId="45B107BD" w14:textId="77777777" w:rsidR="005917B5" w:rsidRPr="001C42C5" w:rsidRDefault="005917B5">
            <w:pPr>
              <w:jc w:val="right"/>
              <w:rPr>
                <w:rFonts w:ascii="Arial" w:hAnsi="Arial" w:cs="Arial"/>
                <w:sz w:val="20"/>
                <w:szCs w:val="20"/>
              </w:rPr>
            </w:pPr>
            <w:r w:rsidRPr="001C42C5">
              <w:rPr>
                <w:rFonts w:ascii="Arial" w:hAnsi="Arial" w:cs="Arial"/>
                <w:sz w:val="20"/>
                <w:szCs w:val="20"/>
              </w:rPr>
              <w:t>107%</w:t>
            </w:r>
          </w:p>
        </w:tc>
        <w:tc>
          <w:tcPr>
            <w:tcW w:w="889" w:type="dxa"/>
            <w:tcBorders>
              <w:top w:val="nil"/>
              <w:left w:val="nil"/>
              <w:bottom w:val="single" w:sz="4" w:space="0" w:color="auto"/>
              <w:right w:val="single" w:sz="4" w:space="0" w:color="auto"/>
            </w:tcBorders>
            <w:noWrap/>
            <w:vAlign w:val="bottom"/>
            <w:hideMark/>
          </w:tcPr>
          <w:p w14:paraId="3382BAA6" w14:textId="77777777" w:rsidR="005917B5" w:rsidRPr="001C42C5" w:rsidRDefault="005917B5">
            <w:pPr>
              <w:jc w:val="right"/>
              <w:rPr>
                <w:rFonts w:ascii="Calibri" w:hAnsi="Calibri" w:cs="Calibri"/>
                <w:sz w:val="22"/>
                <w:szCs w:val="22"/>
              </w:rPr>
            </w:pPr>
            <w:r w:rsidRPr="001C42C5">
              <w:rPr>
                <w:rFonts w:ascii="Calibri" w:hAnsi="Calibri" w:cs="Calibri"/>
                <w:sz w:val="22"/>
                <w:szCs w:val="22"/>
              </w:rPr>
              <w:t>101%</w:t>
            </w:r>
          </w:p>
        </w:tc>
        <w:tc>
          <w:tcPr>
            <w:tcW w:w="219" w:type="dxa"/>
            <w:vAlign w:val="center"/>
            <w:hideMark/>
          </w:tcPr>
          <w:p w14:paraId="393F35BE" w14:textId="77777777" w:rsidR="005917B5" w:rsidRPr="001C42C5" w:rsidRDefault="005917B5">
            <w:pPr>
              <w:rPr>
                <w:sz w:val="20"/>
                <w:szCs w:val="20"/>
              </w:rPr>
            </w:pPr>
          </w:p>
        </w:tc>
      </w:tr>
      <w:tr w:rsidR="001C42C5" w:rsidRPr="001C42C5" w14:paraId="4D0488C6" w14:textId="77777777" w:rsidTr="00033347">
        <w:trPr>
          <w:trHeight w:val="245"/>
          <w:jc w:val="center"/>
        </w:trPr>
        <w:tc>
          <w:tcPr>
            <w:tcW w:w="821" w:type="dxa"/>
            <w:tcBorders>
              <w:top w:val="nil"/>
              <w:left w:val="single" w:sz="4" w:space="0" w:color="auto"/>
              <w:bottom w:val="single" w:sz="4" w:space="0" w:color="auto"/>
              <w:right w:val="single" w:sz="4" w:space="0" w:color="auto"/>
            </w:tcBorders>
            <w:noWrap/>
            <w:vAlign w:val="bottom"/>
            <w:hideMark/>
          </w:tcPr>
          <w:p w14:paraId="401BF99E" w14:textId="77777777" w:rsidR="005917B5" w:rsidRPr="001C42C5" w:rsidRDefault="005917B5">
            <w:pPr>
              <w:jc w:val="center"/>
              <w:rPr>
                <w:rFonts w:ascii="Arial" w:hAnsi="Arial" w:cs="Arial"/>
                <w:sz w:val="20"/>
                <w:szCs w:val="20"/>
              </w:rPr>
            </w:pPr>
            <w:r w:rsidRPr="001C42C5">
              <w:rPr>
                <w:rFonts w:ascii="Arial" w:hAnsi="Arial" w:cs="Arial"/>
                <w:sz w:val="20"/>
                <w:szCs w:val="20"/>
              </w:rPr>
              <w:t> </w:t>
            </w:r>
          </w:p>
        </w:tc>
        <w:tc>
          <w:tcPr>
            <w:tcW w:w="2252" w:type="dxa"/>
            <w:tcBorders>
              <w:top w:val="nil"/>
              <w:left w:val="nil"/>
              <w:bottom w:val="single" w:sz="4" w:space="0" w:color="auto"/>
              <w:right w:val="nil"/>
            </w:tcBorders>
            <w:noWrap/>
            <w:vAlign w:val="bottom"/>
            <w:hideMark/>
          </w:tcPr>
          <w:p w14:paraId="0C43F3B3" w14:textId="77777777" w:rsidR="005917B5" w:rsidRPr="001C42C5" w:rsidRDefault="005917B5">
            <w:pPr>
              <w:rPr>
                <w:rFonts w:ascii="Arial" w:hAnsi="Arial" w:cs="Arial"/>
                <w:sz w:val="18"/>
                <w:szCs w:val="18"/>
              </w:rPr>
            </w:pPr>
            <w:r w:rsidRPr="001C42C5">
              <w:rPr>
                <w:rFonts w:ascii="Arial" w:hAnsi="Arial" w:cs="Arial"/>
                <w:sz w:val="18"/>
                <w:szCs w:val="18"/>
              </w:rPr>
              <w:t>RASHODI</w:t>
            </w:r>
          </w:p>
        </w:tc>
        <w:tc>
          <w:tcPr>
            <w:tcW w:w="1053" w:type="dxa"/>
            <w:tcBorders>
              <w:top w:val="nil"/>
              <w:left w:val="nil"/>
              <w:bottom w:val="single" w:sz="4" w:space="0" w:color="auto"/>
              <w:right w:val="single" w:sz="4" w:space="0" w:color="auto"/>
            </w:tcBorders>
            <w:noWrap/>
            <w:vAlign w:val="bottom"/>
            <w:hideMark/>
          </w:tcPr>
          <w:p w14:paraId="25E8D094" w14:textId="77777777" w:rsidR="005917B5" w:rsidRPr="001C42C5" w:rsidRDefault="005917B5">
            <w:pPr>
              <w:rPr>
                <w:rFonts w:ascii="Arial" w:hAnsi="Arial" w:cs="Arial"/>
                <w:sz w:val="20"/>
                <w:szCs w:val="20"/>
              </w:rPr>
            </w:pPr>
            <w:r w:rsidRPr="001C42C5">
              <w:rPr>
                <w:rFonts w:ascii="Arial" w:hAnsi="Arial" w:cs="Arial"/>
                <w:sz w:val="20"/>
                <w:szCs w:val="20"/>
              </w:rPr>
              <w:t> </w:t>
            </w:r>
          </w:p>
        </w:tc>
        <w:tc>
          <w:tcPr>
            <w:tcW w:w="1476" w:type="dxa"/>
            <w:tcBorders>
              <w:top w:val="nil"/>
              <w:left w:val="nil"/>
              <w:bottom w:val="single" w:sz="4" w:space="0" w:color="auto"/>
              <w:right w:val="single" w:sz="4" w:space="0" w:color="auto"/>
            </w:tcBorders>
            <w:noWrap/>
            <w:vAlign w:val="bottom"/>
            <w:hideMark/>
          </w:tcPr>
          <w:p w14:paraId="6F967A3B" w14:textId="77777777" w:rsidR="005917B5" w:rsidRPr="001C42C5" w:rsidRDefault="005917B5">
            <w:pPr>
              <w:jc w:val="right"/>
              <w:rPr>
                <w:rFonts w:ascii="Arial" w:hAnsi="Arial" w:cs="Arial"/>
                <w:sz w:val="20"/>
                <w:szCs w:val="20"/>
              </w:rPr>
            </w:pPr>
            <w:r w:rsidRPr="001C42C5">
              <w:rPr>
                <w:rFonts w:ascii="Arial" w:hAnsi="Arial" w:cs="Arial"/>
                <w:sz w:val="20"/>
                <w:szCs w:val="20"/>
              </w:rPr>
              <w:t>6.145.490,44</w:t>
            </w:r>
          </w:p>
        </w:tc>
        <w:tc>
          <w:tcPr>
            <w:tcW w:w="1476" w:type="dxa"/>
            <w:tcBorders>
              <w:top w:val="nil"/>
              <w:left w:val="nil"/>
              <w:bottom w:val="single" w:sz="4" w:space="0" w:color="auto"/>
              <w:right w:val="single" w:sz="4" w:space="0" w:color="auto"/>
            </w:tcBorders>
            <w:noWrap/>
            <w:vAlign w:val="bottom"/>
            <w:hideMark/>
          </w:tcPr>
          <w:p w14:paraId="7ADC19AC" w14:textId="77777777" w:rsidR="005917B5" w:rsidRPr="001C42C5" w:rsidRDefault="005917B5">
            <w:pPr>
              <w:jc w:val="right"/>
              <w:rPr>
                <w:rFonts w:ascii="Arial" w:hAnsi="Arial" w:cs="Arial"/>
                <w:sz w:val="20"/>
                <w:szCs w:val="20"/>
              </w:rPr>
            </w:pPr>
            <w:r w:rsidRPr="001C42C5">
              <w:rPr>
                <w:rFonts w:ascii="Arial" w:hAnsi="Arial" w:cs="Arial"/>
                <w:sz w:val="20"/>
                <w:szCs w:val="20"/>
              </w:rPr>
              <w:t>5.720.500,00</w:t>
            </w:r>
          </w:p>
        </w:tc>
        <w:tc>
          <w:tcPr>
            <w:tcW w:w="1476" w:type="dxa"/>
            <w:tcBorders>
              <w:top w:val="nil"/>
              <w:left w:val="nil"/>
              <w:bottom w:val="single" w:sz="4" w:space="0" w:color="auto"/>
              <w:right w:val="single" w:sz="4" w:space="0" w:color="auto"/>
            </w:tcBorders>
            <w:noWrap/>
            <w:vAlign w:val="bottom"/>
            <w:hideMark/>
          </w:tcPr>
          <w:p w14:paraId="68D1DF95" w14:textId="77777777" w:rsidR="005917B5" w:rsidRPr="001C42C5" w:rsidRDefault="005917B5">
            <w:pPr>
              <w:jc w:val="right"/>
              <w:rPr>
                <w:rFonts w:ascii="Arial" w:hAnsi="Arial" w:cs="Arial"/>
                <w:sz w:val="20"/>
                <w:szCs w:val="20"/>
              </w:rPr>
            </w:pPr>
            <w:r w:rsidRPr="001C42C5">
              <w:rPr>
                <w:rFonts w:ascii="Arial" w:hAnsi="Arial" w:cs="Arial"/>
                <w:sz w:val="20"/>
                <w:szCs w:val="20"/>
              </w:rPr>
              <w:t>5.751.439,12</w:t>
            </w:r>
          </w:p>
        </w:tc>
        <w:tc>
          <w:tcPr>
            <w:tcW w:w="889" w:type="dxa"/>
            <w:tcBorders>
              <w:top w:val="nil"/>
              <w:left w:val="nil"/>
              <w:bottom w:val="single" w:sz="4" w:space="0" w:color="auto"/>
              <w:right w:val="single" w:sz="4" w:space="0" w:color="auto"/>
            </w:tcBorders>
            <w:noWrap/>
            <w:vAlign w:val="bottom"/>
            <w:hideMark/>
          </w:tcPr>
          <w:p w14:paraId="567B39F5" w14:textId="77777777" w:rsidR="005917B5" w:rsidRPr="001C42C5" w:rsidRDefault="005917B5">
            <w:pPr>
              <w:jc w:val="right"/>
              <w:rPr>
                <w:rFonts w:ascii="Arial" w:hAnsi="Arial" w:cs="Arial"/>
                <w:sz w:val="20"/>
                <w:szCs w:val="20"/>
              </w:rPr>
            </w:pPr>
            <w:r w:rsidRPr="001C42C5">
              <w:rPr>
                <w:rFonts w:ascii="Arial" w:hAnsi="Arial" w:cs="Arial"/>
                <w:sz w:val="20"/>
                <w:szCs w:val="20"/>
              </w:rPr>
              <w:t>94%</w:t>
            </w:r>
          </w:p>
        </w:tc>
        <w:tc>
          <w:tcPr>
            <w:tcW w:w="889" w:type="dxa"/>
            <w:tcBorders>
              <w:top w:val="nil"/>
              <w:left w:val="nil"/>
              <w:bottom w:val="single" w:sz="4" w:space="0" w:color="auto"/>
              <w:right w:val="single" w:sz="4" w:space="0" w:color="auto"/>
            </w:tcBorders>
            <w:noWrap/>
            <w:vAlign w:val="bottom"/>
            <w:hideMark/>
          </w:tcPr>
          <w:p w14:paraId="506B5C3F" w14:textId="77777777" w:rsidR="005917B5" w:rsidRPr="001C42C5" w:rsidRDefault="005917B5">
            <w:pPr>
              <w:jc w:val="right"/>
              <w:rPr>
                <w:rFonts w:ascii="Calibri" w:hAnsi="Calibri" w:cs="Calibri"/>
                <w:sz w:val="22"/>
                <w:szCs w:val="22"/>
              </w:rPr>
            </w:pPr>
            <w:r w:rsidRPr="001C42C5">
              <w:rPr>
                <w:rFonts w:ascii="Calibri" w:hAnsi="Calibri" w:cs="Calibri"/>
                <w:sz w:val="22"/>
                <w:szCs w:val="22"/>
              </w:rPr>
              <w:t>101%</w:t>
            </w:r>
          </w:p>
        </w:tc>
        <w:tc>
          <w:tcPr>
            <w:tcW w:w="219" w:type="dxa"/>
            <w:vAlign w:val="center"/>
            <w:hideMark/>
          </w:tcPr>
          <w:p w14:paraId="41BEBA79" w14:textId="77777777" w:rsidR="005917B5" w:rsidRPr="001C42C5" w:rsidRDefault="005917B5">
            <w:pPr>
              <w:rPr>
                <w:sz w:val="20"/>
                <w:szCs w:val="20"/>
              </w:rPr>
            </w:pPr>
          </w:p>
        </w:tc>
      </w:tr>
      <w:tr w:rsidR="001C42C5" w:rsidRPr="001C42C5" w14:paraId="08C9CC1A" w14:textId="77777777" w:rsidTr="00033347">
        <w:trPr>
          <w:trHeight w:val="245"/>
          <w:jc w:val="center"/>
        </w:trPr>
        <w:tc>
          <w:tcPr>
            <w:tcW w:w="821" w:type="dxa"/>
            <w:tcBorders>
              <w:top w:val="nil"/>
              <w:left w:val="single" w:sz="4" w:space="0" w:color="auto"/>
              <w:bottom w:val="single" w:sz="4" w:space="0" w:color="auto"/>
              <w:right w:val="single" w:sz="4" w:space="0" w:color="auto"/>
            </w:tcBorders>
            <w:noWrap/>
            <w:vAlign w:val="bottom"/>
            <w:hideMark/>
          </w:tcPr>
          <w:p w14:paraId="42000572" w14:textId="77777777" w:rsidR="005917B5" w:rsidRPr="001C42C5" w:rsidRDefault="005917B5">
            <w:pPr>
              <w:jc w:val="center"/>
              <w:rPr>
                <w:rFonts w:ascii="Arial" w:hAnsi="Arial" w:cs="Arial"/>
                <w:sz w:val="20"/>
                <w:szCs w:val="20"/>
              </w:rPr>
            </w:pPr>
            <w:r w:rsidRPr="001C42C5">
              <w:rPr>
                <w:rFonts w:ascii="Arial" w:hAnsi="Arial" w:cs="Arial"/>
                <w:sz w:val="20"/>
                <w:szCs w:val="20"/>
              </w:rPr>
              <w:t> </w:t>
            </w:r>
          </w:p>
        </w:tc>
        <w:tc>
          <w:tcPr>
            <w:tcW w:w="2252" w:type="dxa"/>
            <w:tcBorders>
              <w:top w:val="nil"/>
              <w:left w:val="nil"/>
              <w:bottom w:val="single" w:sz="4" w:space="0" w:color="auto"/>
              <w:right w:val="nil"/>
            </w:tcBorders>
            <w:noWrap/>
            <w:vAlign w:val="bottom"/>
            <w:hideMark/>
          </w:tcPr>
          <w:p w14:paraId="15DDC760" w14:textId="77777777" w:rsidR="005917B5" w:rsidRPr="001C42C5" w:rsidRDefault="005917B5">
            <w:pPr>
              <w:rPr>
                <w:rFonts w:ascii="Arial" w:hAnsi="Arial" w:cs="Arial"/>
                <w:sz w:val="18"/>
                <w:szCs w:val="18"/>
              </w:rPr>
            </w:pPr>
            <w:r w:rsidRPr="001C42C5">
              <w:rPr>
                <w:rFonts w:ascii="Arial" w:hAnsi="Arial" w:cs="Arial"/>
                <w:sz w:val="18"/>
                <w:szCs w:val="18"/>
              </w:rPr>
              <w:t> </w:t>
            </w:r>
          </w:p>
        </w:tc>
        <w:tc>
          <w:tcPr>
            <w:tcW w:w="1053" w:type="dxa"/>
            <w:tcBorders>
              <w:top w:val="nil"/>
              <w:left w:val="nil"/>
              <w:bottom w:val="single" w:sz="4" w:space="0" w:color="auto"/>
              <w:right w:val="single" w:sz="4" w:space="0" w:color="auto"/>
            </w:tcBorders>
            <w:noWrap/>
            <w:vAlign w:val="bottom"/>
            <w:hideMark/>
          </w:tcPr>
          <w:p w14:paraId="783662FF" w14:textId="672CA7BD" w:rsidR="005917B5" w:rsidRPr="001C42C5" w:rsidRDefault="004C49AC">
            <w:pPr>
              <w:jc w:val="right"/>
              <w:rPr>
                <w:rFonts w:ascii="Arial" w:hAnsi="Arial" w:cs="Arial"/>
                <w:sz w:val="18"/>
                <w:szCs w:val="18"/>
              </w:rPr>
            </w:pPr>
            <w:r w:rsidRPr="001C42C5">
              <w:rPr>
                <w:rFonts w:ascii="Arial" w:hAnsi="Arial" w:cs="Arial"/>
                <w:sz w:val="18"/>
                <w:szCs w:val="18"/>
              </w:rPr>
              <w:t>REZULTAT</w:t>
            </w:r>
          </w:p>
        </w:tc>
        <w:tc>
          <w:tcPr>
            <w:tcW w:w="1476" w:type="dxa"/>
            <w:tcBorders>
              <w:top w:val="nil"/>
              <w:left w:val="nil"/>
              <w:bottom w:val="single" w:sz="4" w:space="0" w:color="auto"/>
              <w:right w:val="single" w:sz="4" w:space="0" w:color="auto"/>
            </w:tcBorders>
            <w:vAlign w:val="center"/>
            <w:hideMark/>
          </w:tcPr>
          <w:p w14:paraId="5980C885" w14:textId="77777777" w:rsidR="005917B5" w:rsidRPr="001C42C5" w:rsidRDefault="005917B5">
            <w:pPr>
              <w:jc w:val="right"/>
              <w:rPr>
                <w:rFonts w:ascii="Arial" w:hAnsi="Arial" w:cs="Arial"/>
                <w:sz w:val="20"/>
                <w:szCs w:val="20"/>
              </w:rPr>
            </w:pPr>
            <w:r w:rsidRPr="001C42C5">
              <w:rPr>
                <w:rFonts w:ascii="Arial" w:hAnsi="Arial" w:cs="Arial"/>
                <w:sz w:val="20"/>
                <w:szCs w:val="20"/>
              </w:rPr>
              <w:t>-759.407,82</w:t>
            </w:r>
          </w:p>
        </w:tc>
        <w:tc>
          <w:tcPr>
            <w:tcW w:w="1476" w:type="dxa"/>
            <w:tcBorders>
              <w:top w:val="nil"/>
              <w:left w:val="nil"/>
              <w:bottom w:val="single" w:sz="4" w:space="0" w:color="auto"/>
              <w:right w:val="single" w:sz="4" w:space="0" w:color="auto"/>
            </w:tcBorders>
            <w:vAlign w:val="center"/>
            <w:hideMark/>
          </w:tcPr>
          <w:p w14:paraId="3C998822" w14:textId="77777777" w:rsidR="005917B5" w:rsidRPr="001C42C5" w:rsidRDefault="005917B5">
            <w:pPr>
              <w:jc w:val="right"/>
              <w:rPr>
                <w:rFonts w:ascii="Arial" w:hAnsi="Arial" w:cs="Arial"/>
                <w:sz w:val="20"/>
                <w:szCs w:val="20"/>
              </w:rPr>
            </w:pPr>
            <w:r w:rsidRPr="001C42C5">
              <w:rPr>
                <w:rFonts w:ascii="Arial" w:hAnsi="Arial" w:cs="Arial"/>
                <w:sz w:val="20"/>
                <w:szCs w:val="20"/>
              </w:rPr>
              <w:t>0,00</w:t>
            </w:r>
          </w:p>
        </w:tc>
        <w:tc>
          <w:tcPr>
            <w:tcW w:w="1476" w:type="dxa"/>
            <w:tcBorders>
              <w:top w:val="nil"/>
              <w:left w:val="nil"/>
              <w:bottom w:val="single" w:sz="4" w:space="0" w:color="auto"/>
              <w:right w:val="single" w:sz="4" w:space="0" w:color="auto"/>
            </w:tcBorders>
            <w:vAlign w:val="center"/>
            <w:hideMark/>
          </w:tcPr>
          <w:p w14:paraId="690856D1" w14:textId="77777777" w:rsidR="005917B5" w:rsidRPr="001C42C5" w:rsidRDefault="005917B5">
            <w:pPr>
              <w:jc w:val="right"/>
              <w:rPr>
                <w:rFonts w:ascii="Arial" w:hAnsi="Arial" w:cs="Arial"/>
                <w:sz w:val="20"/>
                <w:szCs w:val="20"/>
              </w:rPr>
            </w:pPr>
            <w:r w:rsidRPr="001C42C5">
              <w:rPr>
                <w:rFonts w:ascii="Arial" w:hAnsi="Arial" w:cs="Arial"/>
                <w:sz w:val="20"/>
                <w:szCs w:val="20"/>
              </w:rPr>
              <w:t>0,00</w:t>
            </w:r>
          </w:p>
        </w:tc>
        <w:tc>
          <w:tcPr>
            <w:tcW w:w="889" w:type="dxa"/>
            <w:tcBorders>
              <w:top w:val="nil"/>
              <w:left w:val="nil"/>
              <w:bottom w:val="single" w:sz="4" w:space="0" w:color="auto"/>
              <w:right w:val="single" w:sz="4" w:space="0" w:color="auto"/>
            </w:tcBorders>
            <w:vAlign w:val="center"/>
            <w:hideMark/>
          </w:tcPr>
          <w:p w14:paraId="7FF7814A" w14:textId="77777777" w:rsidR="005917B5" w:rsidRPr="001C42C5" w:rsidRDefault="005917B5">
            <w:pPr>
              <w:rPr>
                <w:rFonts w:ascii="Arial" w:hAnsi="Arial" w:cs="Arial"/>
                <w:sz w:val="20"/>
                <w:szCs w:val="20"/>
              </w:rPr>
            </w:pPr>
            <w:r w:rsidRPr="001C42C5">
              <w:rPr>
                <w:rFonts w:ascii="Arial" w:hAnsi="Arial" w:cs="Arial"/>
                <w:sz w:val="20"/>
                <w:szCs w:val="20"/>
              </w:rPr>
              <w:t> </w:t>
            </w:r>
          </w:p>
        </w:tc>
        <w:tc>
          <w:tcPr>
            <w:tcW w:w="889" w:type="dxa"/>
            <w:tcBorders>
              <w:top w:val="nil"/>
              <w:left w:val="nil"/>
              <w:bottom w:val="single" w:sz="4" w:space="0" w:color="auto"/>
              <w:right w:val="single" w:sz="4" w:space="0" w:color="auto"/>
            </w:tcBorders>
            <w:noWrap/>
            <w:vAlign w:val="bottom"/>
            <w:hideMark/>
          </w:tcPr>
          <w:p w14:paraId="5527ED44" w14:textId="77777777" w:rsidR="005917B5" w:rsidRPr="001C42C5" w:rsidRDefault="005917B5">
            <w:pPr>
              <w:rPr>
                <w:rFonts w:ascii="Calibri" w:hAnsi="Calibri" w:cs="Calibri"/>
                <w:sz w:val="22"/>
                <w:szCs w:val="22"/>
              </w:rPr>
            </w:pPr>
            <w:r w:rsidRPr="001C42C5">
              <w:rPr>
                <w:rFonts w:ascii="Calibri" w:hAnsi="Calibri" w:cs="Calibri"/>
                <w:sz w:val="22"/>
                <w:szCs w:val="22"/>
              </w:rPr>
              <w:t> </w:t>
            </w:r>
          </w:p>
        </w:tc>
        <w:tc>
          <w:tcPr>
            <w:tcW w:w="219" w:type="dxa"/>
            <w:vAlign w:val="center"/>
            <w:hideMark/>
          </w:tcPr>
          <w:p w14:paraId="77C62D6E" w14:textId="77777777" w:rsidR="005917B5" w:rsidRPr="001C42C5" w:rsidRDefault="005917B5">
            <w:pPr>
              <w:rPr>
                <w:sz w:val="20"/>
                <w:szCs w:val="20"/>
              </w:rPr>
            </w:pPr>
          </w:p>
        </w:tc>
      </w:tr>
      <w:tr w:rsidR="001C42C5" w:rsidRPr="001C42C5" w14:paraId="37C6C329" w14:textId="77777777" w:rsidTr="00033347">
        <w:trPr>
          <w:trHeight w:val="245"/>
          <w:jc w:val="center"/>
        </w:trPr>
        <w:tc>
          <w:tcPr>
            <w:tcW w:w="821" w:type="dxa"/>
            <w:tcBorders>
              <w:top w:val="nil"/>
              <w:left w:val="single" w:sz="4" w:space="0" w:color="auto"/>
              <w:bottom w:val="single" w:sz="4" w:space="0" w:color="auto"/>
              <w:right w:val="single" w:sz="4" w:space="0" w:color="auto"/>
            </w:tcBorders>
            <w:noWrap/>
            <w:vAlign w:val="bottom"/>
            <w:hideMark/>
          </w:tcPr>
          <w:p w14:paraId="40A7ADBA" w14:textId="77777777" w:rsidR="005917B5" w:rsidRPr="001C42C5" w:rsidRDefault="005917B5">
            <w:pPr>
              <w:jc w:val="center"/>
              <w:rPr>
                <w:rFonts w:ascii="Arial" w:hAnsi="Arial" w:cs="Arial"/>
                <w:b/>
                <w:bCs/>
                <w:sz w:val="20"/>
                <w:szCs w:val="20"/>
              </w:rPr>
            </w:pPr>
            <w:r w:rsidRPr="001C42C5">
              <w:rPr>
                <w:rFonts w:ascii="Arial" w:hAnsi="Arial" w:cs="Arial"/>
                <w:b/>
                <w:bCs/>
                <w:sz w:val="20"/>
                <w:szCs w:val="20"/>
              </w:rPr>
              <w:t>40</w:t>
            </w:r>
          </w:p>
        </w:tc>
        <w:tc>
          <w:tcPr>
            <w:tcW w:w="3305" w:type="dxa"/>
            <w:gridSpan w:val="2"/>
            <w:tcBorders>
              <w:top w:val="single" w:sz="4" w:space="0" w:color="auto"/>
              <w:left w:val="nil"/>
              <w:bottom w:val="single" w:sz="4" w:space="0" w:color="auto"/>
              <w:right w:val="single" w:sz="4" w:space="0" w:color="000000"/>
            </w:tcBorders>
            <w:noWrap/>
            <w:vAlign w:val="bottom"/>
            <w:hideMark/>
          </w:tcPr>
          <w:p w14:paraId="7BC09FD1" w14:textId="77777777" w:rsidR="005917B5" w:rsidRPr="001C42C5" w:rsidRDefault="005917B5">
            <w:pPr>
              <w:rPr>
                <w:rFonts w:ascii="Arial" w:hAnsi="Arial" w:cs="Arial"/>
                <w:b/>
                <w:bCs/>
                <w:sz w:val="20"/>
                <w:szCs w:val="20"/>
              </w:rPr>
            </w:pPr>
            <w:r w:rsidRPr="001C42C5">
              <w:rPr>
                <w:rFonts w:ascii="Arial" w:hAnsi="Arial" w:cs="Arial"/>
                <w:b/>
                <w:bCs/>
                <w:sz w:val="20"/>
                <w:szCs w:val="20"/>
              </w:rPr>
              <w:t>Prihodi po posebnim propisima</w:t>
            </w:r>
          </w:p>
        </w:tc>
        <w:tc>
          <w:tcPr>
            <w:tcW w:w="1476" w:type="dxa"/>
            <w:tcBorders>
              <w:top w:val="nil"/>
              <w:left w:val="nil"/>
              <w:bottom w:val="single" w:sz="4" w:space="0" w:color="auto"/>
              <w:right w:val="single" w:sz="4" w:space="0" w:color="auto"/>
            </w:tcBorders>
            <w:noWrap/>
            <w:vAlign w:val="bottom"/>
            <w:hideMark/>
          </w:tcPr>
          <w:p w14:paraId="27C020AB" w14:textId="77777777" w:rsidR="005917B5" w:rsidRPr="001C42C5" w:rsidRDefault="005917B5">
            <w:pPr>
              <w:jc w:val="right"/>
              <w:rPr>
                <w:rFonts w:ascii="Arial" w:hAnsi="Arial" w:cs="Arial"/>
                <w:b/>
                <w:bCs/>
                <w:sz w:val="20"/>
                <w:szCs w:val="20"/>
              </w:rPr>
            </w:pPr>
            <w:r w:rsidRPr="001C42C5">
              <w:rPr>
                <w:rFonts w:ascii="Arial" w:hAnsi="Arial" w:cs="Arial"/>
                <w:b/>
                <w:bCs/>
                <w:sz w:val="20"/>
                <w:szCs w:val="20"/>
              </w:rPr>
              <w:t> </w:t>
            </w:r>
          </w:p>
        </w:tc>
        <w:tc>
          <w:tcPr>
            <w:tcW w:w="1476" w:type="dxa"/>
            <w:tcBorders>
              <w:top w:val="nil"/>
              <w:left w:val="nil"/>
              <w:bottom w:val="single" w:sz="4" w:space="0" w:color="auto"/>
              <w:right w:val="single" w:sz="4" w:space="0" w:color="auto"/>
            </w:tcBorders>
            <w:noWrap/>
            <w:vAlign w:val="bottom"/>
            <w:hideMark/>
          </w:tcPr>
          <w:p w14:paraId="10B210D2" w14:textId="77777777" w:rsidR="005917B5" w:rsidRPr="001C42C5" w:rsidRDefault="005917B5">
            <w:pPr>
              <w:rPr>
                <w:rFonts w:ascii="Arial" w:hAnsi="Arial" w:cs="Arial"/>
                <w:sz w:val="20"/>
                <w:szCs w:val="20"/>
              </w:rPr>
            </w:pPr>
            <w:r w:rsidRPr="001C42C5">
              <w:rPr>
                <w:rFonts w:ascii="Arial" w:hAnsi="Arial" w:cs="Arial"/>
                <w:sz w:val="20"/>
                <w:szCs w:val="20"/>
              </w:rPr>
              <w:t> </w:t>
            </w:r>
          </w:p>
        </w:tc>
        <w:tc>
          <w:tcPr>
            <w:tcW w:w="1476" w:type="dxa"/>
            <w:tcBorders>
              <w:top w:val="nil"/>
              <w:left w:val="nil"/>
              <w:bottom w:val="single" w:sz="4" w:space="0" w:color="auto"/>
              <w:right w:val="single" w:sz="4" w:space="0" w:color="auto"/>
            </w:tcBorders>
            <w:noWrap/>
            <w:vAlign w:val="bottom"/>
            <w:hideMark/>
          </w:tcPr>
          <w:p w14:paraId="1A3C13D2" w14:textId="77777777" w:rsidR="005917B5" w:rsidRPr="001C42C5" w:rsidRDefault="005917B5">
            <w:pPr>
              <w:rPr>
                <w:rFonts w:ascii="Arial" w:hAnsi="Arial" w:cs="Arial"/>
                <w:sz w:val="20"/>
                <w:szCs w:val="20"/>
              </w:rPr>
            </w:pPr>
            <w:r w:rsidRPr="001C42C5">
              <w:rPr>
                <w:rFonts w:ascii="Arial" w:hAnsi="Arial" w:cs="Arial"/>
                <w:sz w:val="20"/>
                <w:szCs w:val="20"/>
              </w:rPr>
              <w:t> </w:t>
            </w:r>
          </w:p>
        </w:tc>
        <w:tc>
          <w:tcPr>
            <w:tcW w:w="889" w:type="dxa"/>
            <w:tcBorders>
              <w:top w:val="nil"/>
              <w:left w:val="nil"/>
              <w:bottom w:val="single" w:sz="4" w:space="0" w:color="auto"/>
              <w:right w:val="single" w:sz="4" w:space="0" w:color="auto"/>
            </w:tcBorders>
            <w:noWrap/>
            <w:vAlign w:val="bottom"/>
            <w:hideMark/>
          </w:tcPr>
          <w:p w14:paraId="0DD1165D" w14:textId="77777777" w:rsidR="005917B5" w:rsidRPr="001C42C5" w:rsidRDefault="005917B5">
            <w:pPr>
              <w:rPr>
                <w:rFonts w:ascii="Arial" w:hAnsi="Arial" w:cs="Arial"/>
                <w:sz w:val="20"/>
                <w:szCs w:val="20"/>
              </w:rPr>
            </w:pPr>
            <w:r w:rsidRPr="001C42C5">
              <w:rPr>
                <w:rFonts w:ascii="Arial" w:hAnsi="Arial" w:cs="Arial"/>
                <w:sz w:val="20"/>
                <w:szCs w:val="20"/>
              </w:rPr>
              <w:t> </w:t>
            </w:r>
          </w:p>
        </w:tc>
        <w:tc>
          <w:tcPr>
            <w:tcW w:w="889" w:type="dxa"/>
            <w:tcBorders>
              <w:top w:val="nil"/>
              <w:left w:val="nil"/>
              <w:bottom w:val="single" w:sz="4" w:space="0" w:color="auto"/>
              <w:right w:val="single" w:sz="4" w:space="0" w:color="auto"/>
            </w:tcBorders>
            <w:noWrap/>
            <w:vAlign w:val="bottom"/>
            <w:hideMark/>
          </w:tcPr>
          <w:p w14:paraId="2953B4AB" w14:textId="77777777" w:rsidR="005917B5" w:rsidRPr="001C42C5" w:rsidRDefault="005917B5">
            <w:pPr>
              <w:rPr>
                <w:rFonts w:ascii="Calibri" w:hAnsi="Calibri" w:cs="Calibri"/>
                <w:sz w:val="22"/>
                <w:szCs w:val="22"/>
              </w:rPr>
            </w:pPr>
            <w:r w:rsidRPr="001C42C5">
              <w:rPr>
                <w:rFonts w:ascii="Calibri" w:hAnsi="Calibri" w:cs="Calibri"/>
                <w:sz w:val="22"/>
                <w:szCs w:val="22"/>
              </w:rPr>
              <w:t> </w:t>
            </w:r>
          </w:p>
        </w:tc>
        <w:tc>
          <w:tcPr>
            <w:tcW w:w="219" w:type="dxa"/>
            <w:vAlign w:val="center"/>
            <w:hideMark/>
          </w:tcPr>
          <w:p w14:paraId="0B46D785" w14:textId="77777777" w:rsidR="005917B5" w:rsidRPr="001C42C5" w:rsidRDefault="005917B5">
            <w:pPr>
              <w:rPr>
                <w:sz w:val="20"/>
                <w:szCs w:val="20"/>
              </w:rPr>
            </w:pPr>
          </w:p>
        </w:tc>
      </w:tr>
      <w:tr w:rsidR="001C42C5" w:rsidRPr="001C42C5" w14:paraId="1BEFF8B3" w14:textId="77777777" w:rsidTr="00033347">
        <w:trPr>
          <w:trHeight w:val="245"/>
          <w:jc w:val="center"/>
        </w:trPr>
        <w:tc>
          <w:tcPr>
            <w:tcW w:w="821" w:type="dxa"/>
            <w:tcBorders>
              <w:top w:val="nil"/>
              <w:left w:val="single" w:sz="4" w:space="0" w:color="auto"/>
              <w:bottom w:val="single" w:sz="4" w:space="0" w:color="auto"/>
              <w:right w:val="single" w:sz="4" w:space="0" w:color="auto"/>
            </w:tcBorders>
            <w:noWrap/>
            <w:vAlign w:val="bottom"/>
            <w:hideMark/>
          </w:tcPr>
          <w:p w14:paraId="5F39DE6C" w14:textId="77777777" w:rsidR="005917B5" w:rsidRPr="001C42C5" w:rsidRDefault="005917B5">
            <w:pPr>
              <w:jc w:val="center"/>
              <w:rPr>
                <w:rFonts w:ascii="Arial" w:hAnsi="Arial" w:cs="Arial"/>
                <w:sz w:val="20"/>
                <w:szCs w:val="20"/>
              </w:rPr>
            </w:pPr>
            <w:r w:rsidRPr="001C42C5">
              <w:rPr>
                <w:rFonts w:ascii="Arial" w:hAnsi="Arial" w:cs="Arial"/>
                <w:sz w:val="20"/>
                <w:szCs w:val="20"/>
              </w:rPr>
              <w:t> </w:t>
            </w:r>
          </w:p>
        </w:tc>
        <w:tc>
          <w:tcPr>
            <w:tcW w:w="2252" w:type="dxa"/>
            <w:tcBorders>
              <w:top w:val="nil"/>
              <w:left w:val="nil"/>
              <w:bottom w:val="single" w:sz="4" w:space="0" w:color="auto"/>
              <w:right w:val="nil"/>
            </w:tcBorders>
            <w:noWrap/>
            <w:vAlign w:val="bottom"/>
            <w:hideMark/>
          </w:tcPr>
          <w:p w14:paraId="4A16CFF7" w14:textId="77777777" w:rsidR="005917B5" w:rsidRPr="001C42C5" w:rsidRDefault="005917B5">
            <w:pPr>
              <w:rPr>
                <w:rFonts w:ascii="Arial" w:hAnsi="Arial" w:cs="Arial"/>
                <w:sz w:val="18"/>
                <w:szCs w:val="18"/>
              </w:rPr>
            </w:pPr>
            <w:r w:rsidRPr="001C42C5">
              <w:rPr>
                <w:rFonts w:ascii="Arial" w:hAnsi="Arial" w:cs="Arial"/>
                <w:sz w:val="18"/>
                <w:szCs w:val="18"/>
              </w:rPr>
              <w:t>PRIHODI</w:t>
            </w:r>
          </w:p>
        </w:tc>
        <w:tc>
          <w:tcPr>
            <w:tcW w:w="1053" w:type="dxa"/>
            <w:tcBorders>
              <w:top w:val="nil"/>
              <w:left w:val="nil"/>
              <w:bottom w:val="single" w:sz="4" w:space="0" w:color="auto"/>
              <w:right w:val="single" w:sz="4" w:space="0" w:color="auto"/>
            </w:tcBorders>
            <w:noWrap/>
            <w:vAlign w:val="bottom"/>
            <w:hideMark/>
          </w:tcPr>
          <w:p w14:paraId="683524CC" w14:textId="77777777" w:rsidR="005917B5" w:rsidRPr="001C42C5" w:rsidRDefault="005917B5">
            <w:pPr>
              <w:rPr>
                <w:rFonts w:ascii="Arial" w:hAnsi="Arial" w:cs="Arial"/>
                <w:sz w:val="20"/>
                <w:szCs w:val="20"/>
              </w:rPr>
            </w:pPr>
            <w:r w:rsidRPr="001C42C5">
              <w:rPr>
                <w:rFonts w:ascii="Arial" w:hAnsi="Arial" w:cs="Arial"/>
                <w:sz w:val="20"/>
                <w:szCs w:val="20"/>
              </w:rPr>
              <w:t> </w:t>
            </w:r>
          </w:p>
        </w:tc>
        <w:tc>
          <w:tcPr>
            <w:tcW w:w="1476" w:type="dxa"/>
            <w:tcBorders>
              <w:top w:val="nil"/>
              <w:left w:val="nil"/>
              <w:bottom w:val="single" w:sz="4" w:space="0" w:color="auto"/>
              <w:right w:val="single" w:sz="4" w:space="0" w:color="auto"/>
            </w:tcBorders>
            <w:noWrap/>
            <w:vAlign w:val="bottom"/>
            <w:hideMark/>
          </w:tcPr>
          <w:p w14:paraId="59D19FCB" w14:textId="77777777" w:rsidR="005917B5" w:rsidRPr="001C42C5" w:rsidRDefault="005917B5">
            <w:pPr>
              <w:jc w:val="right"/>
              <w:rPr>
                <w:rFonts w:ascii="Arial" w:hAnsi="Arial" w:cs="Arial"/>
                <w:sz w:val="20"/>
                <w:szCs w:val="20"/>
              </w:rPr>
            </w:pPr>
            <w:r w:rsidRPr="001C42C5">
              <w:rPr>
                <w:rFonts w:ascii="Arial" w:hAnsi="Arial" w:cs="Arial"/>
                <w:sz w:val="20"/>
                <w:szCs w:val="20"/>
              </w:rPr>
              <w:t>952.303,08</w:t>
            </w:r>
          </w:p>
        </w:tc>
        <w:tc>
          <w:tcPr>
            <w:tcW w:w="1476" w:type="dxa"/>
            <w:tcBorders>
              <w:top w:val="nil"/>
              <w:left w:val="nil"/>
              <w:bottom w:val="single" w:sz="4" w:space="0" w:color="auto"/>
              <w:right w:val="single" w:sz="4" w:space="0" w:color="auto"/>
            </w:tcBorders>
            <w:noWrap/>
            <w:vAlign w:val="bottom"/>
            <w:hideMark/>
          </w:tcPr>
          <w:p w14:paraId="59EC07FC" w14:textId="77777777" w:rsidR="005917B5" w:rsidRPr="001C42C5" w:rsidRDefault="005917B5">
            <w:pPr>
              <w:jc w:val="right"/>
              <w:rPr>
                <w:rFonts w:ascii="Arial" w:hAnsi="Arial" w:cs="Arial"/>
                <w:sz w:val="20"/>
                <w:szCs w:val="20"/>
              </w:rPr>
            </w:pPr>
            <w:r w:rsidRPr="001C42C5">
              <w:rPr>
                <w:rFonts w:ascii="Arial" w:hAnsi="Arial" w:cs="Arial"/>
                <w:sz w:val="20"/>
                <w:szCs w:val="20"/>
              </w:rPr>
              <w:t>1.130.000,00</w:t>
            </w:r>
          </w:p>
        </w:tc>
        <w:tc>
          <w:tcPr>
            <w:tcW w:w="1476" w:type="dxa"/>
            <w:tcBorders>
              <w:top w:val="nil"/>
              <w:left w:val="nil"/>
              <w:bottom w:val="single" w:sz="4" w:space="0" w:color="auto"/>
              <w:right w:val="single" w:sz="4" w:space="0" w:color="auto"/>
            </w:tcBorders>
            <w:noWrap/>
            <w:vAlign w:val="bottom"/>
            <w:hideMark/>
          </w:tcPr>
          <w:p w14:paraId="4EFB3533" w14:textId="77777777" w:rsidR="005917B5" w:rsidRPr="001C42C5" w:rsidRDefault="005917B5">
            <w:pPr>
              <w:jc w:val="right"/>
              <w:rPr>
                <w:rFonts w:ascii="Arial" w:hAnsi="Arial" w:cs="Arial"/>
                <w:sz w:val="20"/>
                <w:szCs w:val="20"/>
              </w:rPr>
            </w:pPr>
            <w:r w:rsidRPr="001C42C5">
              <w:rPr>
                <w:rFonts w:ascii="Arial" w:hAnsi="Arial" w:cs="Arial"/>
                <w:sz w:val="20"/>
                <w:szCs w:val="20"/>
              </w:rPr>
              <w:t>1.168.116,85</w:t>
            </w:r>
          </w:p>
        </w:tc>
        <w:tc>
          <w:tcPr>
            <w:tcW w:w="889" w:type="dxa"/>
            <w:tcBorders>
              <w:top w:val="nil"/>
              <w:left w:val="nil"/>
              <w:bottom w:val="single" w:sz="4" w:space="0" w:color="auto"/>
              <w:right w:val="single" w:sz="4" w:space="0" w:color="auto"/>
            </w:tcBorders>
            <w:noWrap/>
            <w:vAlign w:val="bottom"/>
            <w:hideMark/>
          </w:tcPr>
          <w:p w14:paraId="1634B986" w14:textId="77777777" w:rsidR="005917B5" w:rsidRPr="001C42C5" w:rsidRDefault="005917B5">
            <w:pPr>
              <w:jc w:val="right"/>
              <w:rPr>
                <w:rFonts w:ascii="Arial" w:hAnsi="Arial" w:cs="Arial"/>
                <w:sz w:val="20"/>
                <w:szCs w:val="20"/>
              </w:rPr>
            </w:pPr>
            <w:r w:rsidRPr="001C42C5">
              <w:rPr>
                <w:rFonts w:ascii="Arial" w:hAnsi="Arial" w:cs="Arial"/>
                <w:sz w:val="20"/>
                <w:szCs w:val="20"/>
              </w:rPr>
              <w:t>123%</w:t>
            </w:r>
          </w:p>
        </w:tc>
        <w:tc>
          <w:tcPr>
            <w:tcW w:w="889" w:type="dxa"/>
            <w:tcBorders>
              <w:top w:val="nil"/>
              <w:left w:val="nil"/>
              <w:bottom w:val="single" w:sz="4" w:space="0" w:color="auto"/>
              <w:right w:val="single" w:sz="4" w:space="0" w:color="auto"/>
            </w:tcBorders>
            <w:noWrap/>
            <w:vAlign w:val="bottom"/>
            <w:hideMark/>
          </w:tcPr>
          <w:p w14:paraId="7FBE14E7" w14:textId="77777777" w:rsidR="005917B5" w:rsidRPr="001C42C5" w:rsidRDefault="005917B5">
            <w:pPr>
              <w:jc w:val="right"/>
              <w:rPr>
                <w:rFonts w:ascii="Calibri" w:hAnsi="Calibri" w:cs="Calibri"/>
                <w:sz w:val="22"/>
                <w:szCs w:val="22"/>
              </w:rPr>
            </w:pPr>
            <w:r w:rsidRPr="001C42C5">
              <w:rPr>
                <w:rFonts w:ascii="Calibri" w:hAnsi="Calibri" w:cs="Calibri"/>
                <w:sz w:val="22"/>
                <w:szCs w:val="22"/>
              </w:rPr>
              <w:t>103%</w:t>
            </w:r>
          </w:p>
        </w:tc>
        <w:tc>
          <w:tcPr>
            <w:tcW w:w="219" w:type="dxa"/>
            <w:vAlign w:val="center"/>
            <w:hideMark/>
          </w:tcPr>
          <w:p w14:paraId="3A34F035" w14:textId="77777777" w:rsidR="005917B5" w:rsidRPr="001C42C5" w:rsidRDefault="005917B5">
            <w:pPr>
              <w:rPr>
                <w:sz w:val="20"/>
                <w:szCs w:val="20"/>
              </w:rPr>
            </w:pPr>
          </w:p>
        </w:tc>
      </w:tr>
      <w:tr w:rsidR="001C42C5" w:rsidRPr="001C42C5" w14:paraId="753DEF7B" w14:textId="77777777" w:rsidTr="00033347">
        <w:trPr>
          <w:trHeight w:val="245"/>
          <w:jc w:val="center"/>
        </w:trPr>
        <w:tc>
          <w:tcPr>
            <w:tcW w:w="821" w:type="dxa"/>
            <w:tcBorders>
              <w:top w:val="nil"/>
              <w:left w:val="single" w:sz="4" w:space="0" w:color="auto"/>
              <w:bottom w:val="single" w:sz="4" w:space="0" w:color="auto"/>
              <w:right w:val="single" w:sz="4" w:space="0" w:color="auto"/>
            </w:tcBorders>
            <w:noWrap/>
            <w:vAlign w:val="bottom"/>
            <w:hideMark/>
          </w:tcPr>
          <w:p w14:paraId="60249D87" w14:textId="77777777" w:rsidR="005917B5" w:rsidRPr="001C42C5" w:rsidRDefault="005917B5">
            <w:pPr>
              <w:jc w:val="center"/>
              <w:rPr>
                <w:rFonts w:ascii="Arial" w:hAnsi="Arial" w:cs="Arial"/>
                <w:sz w:val="20"/>
                <w:szCs w:val="20"/>
              </w:rPr>
            </w:pPr>
            <w:r w:rsidRPr="001C42C5">
              <w:rPr>
                <w:rFonts w:ascii="Arial" w:hAnsi="Arial" w:cs="Arial"/>
                <w:sz w:val="20"/>
                <w:szCs w:val="20"/>
              </w:rPr>
              <w:t> </w:t>
            </w:r>
          </w:p>
        </w:tc>
        <w:tc>
          <w:tcPr>
            <w:tcW w:w="2252" w:type="dxa"/>
            <w:tcBorders>
              <w:top w:val="nil"/>
              <w:left w:val="nil"/>
              <w:bottom w:val="single" w:sz="4" w:space="0" w:color="auto"/>
              <w:right w:val="nil"/>
            </w:tcBorders>
            <w:noWrap/>
            <w:vAlign w:val="bottom"/>
            <w:hideMark/>
          </w:tcPr>
          <w:p w14:paraId="77BC2E37" w14:textId="77777777" w:rsidR="005917B5" w:rsidRPr="001C42C5" w:rsidRDefault="005917B5">
            <w:pPr>
              <w:rPr>
                <w:rFonts w:ascii="Arial" w:hAnsi="Arial" w:cs="Arial"/>
                <w:sz w:val="18"/>
                <w:szCs w:val="18"/>
              </w:rPr>
            </w:pPr>
            <w:r w:rsidRPr="001C42C5">
              <w:rPr>
                <w:rFonts w:ascii="Arial" w:hAnsi="Arial" w:cs="Arial"/>
                <w:sz w:val="18"/>
                <w:szCs w:val="18"/>
              </w:rPr>
              <w:t>RASHODI</w:t>
            </w:r>
          </w:p>
        </w:tc>
        <w:tc>
          <w:tcPr>
            <w:tcW w:w="1053" w:type="dxa"/>
            <w:tcBorders>
              <w:top w:val="nil"/>
              <w:left w:val="nil"/>
              <w:bottom w:val="single" w:sz="4" w:space="0" w:color="auto"/>
              <w:right w:val="single" w:sz="4" w:space="0" w:color="auto"/>
            </w:tcBorders>
            <w:noWrap/>
            <w:vAlign w:val="bottom"/>
            <w:hideMark/>
          </w:tcPr>
          <w:p w14:paraId="0945DC96" w14:textId="77777777" w:rsidR="005917B5" w:rsidRPr="001C42C5" w:rsidRDefault="005917B5">
            <w:pPr>
              <w:rPr>
                <w:rFonts w:ascii="Arial" w:hAnsi="Arial" w:cs="Arial"/>
                <w:sz w:val="20"/>
                <w:szCs w:val="20"/>
              </w:rPr>
            </w:pPr>
            <w:r w:rsidRPr="001C42C5">
              <w:rPr>
                <w:rFonts w:ascii="Arial" w:hAnsi="Arial" w:cs="Arial"/>
                <w:sz w:val="20"/>
                <w:szCs w:val="20"/>
              </w:rPr>
              <w:t> </w:t>
            </w:r>
          </w:p>
        </w:tc>
        <w:tc>
          <w:tcPr>
            <w:tcW w:w="1476" w:type="dxa"/>
            <w:tcBorders>
              <w:top w:val="nil"/>
              <w:left w:val="nil"/>
              <w:bottom w:val="single" w:sz="4" w:space="0" w:color="auto"/>
              <w:right w:val="single" w:sz="4" w:space="0" w:color="auto"/>
            </w:tcBorders>
            <w:noWrap/>
            <w:vAlign w:val="bottom"/>
            <w:hideMark/>
          </w:tcPr>
          <w:p w14:paraId="582C097C" w14:textId="77777777" w:rsidR="005917B5" w:rsidRPr="001C42C5" w:rsidRDefault="005917B5">
            <w:pPr>
              <w:jc w:val="right"/>
              <w:rPr>
                <w:rFonts w:ascii="Arial" w:hAnsi="Arial" w:cs="Arial"/>
                <w:sz w:val="20"/>
                <w:szCs w:val="20"/>
              </w:rPr>
            </w:pPr>
            <w:r w:rsidRPr="001C42C5">
              <w:rPr>
                <w:rFonts w:ascii="Arial" w:hAnsi="Arial" w:cs="Arial"/>
                <w:sz w:val="20"/>
                <w:szCs w:val="20"/>
              </w:rPr>
              <w:t>952.303,08</w:t>
            </w:r>
          </w:p>
        </w:tc>
        <w:tc>
          <w:tcPr>
            <w:tcW w:w="1476" w:type="dxa"/>
            <w:tcBorders>
              <w:top w:val="nil"/>
              <w:left w:val="nil"/>
              <w:bottom w:val="single" w:sz="4" w:space="0" w:color="auto"/>
              <w:right w:val="single" w:sz="4" w:space="0" w:color="auto"/>
            </w:tcBorders>
            <w:noWrap/>
            <w:vAlign w:val="bottom"/>
            <w:hideMark/>
          </w:tcPr>
          <w:p w14:paraId="2C74AD38" w14:textId="77777777" w:rsidR="005917B5" w:rsidRPr="001C42C5" w:rsidRDefault="005917B5">
            <w:pPr>
              <w:jc w:val="right"/>
              <w:rPr>
                <w:rFonts w:ascii="Arial" w:hAnsi="Arial" w:cs="Arial"/>
                <w:sz w:val="20"/>
                <w:szCs w:val="20"/>
              </w:rPr>
            </w:pPr>
            <w:r w:rsidRPr="001C42C5">
              <w:rPr>
                <w:rFonts w:ascii="Arial" w:hAnsi="Arial" w:cs="Arial"/>
                <w:sz w:val="20"/>
                <w:szCs w:val="20"/>
              </w:rPr>
              <w:t>1.130.000,00</w:t>
            </w:r>
          </w:p>
        </w:tc>
        <w:tc>
          <w:tcPr>
            <w:tcW w:w="1476" w:type="dxa"/>
            <w:tcBorders>
              <w:top w:val="nil"/>
              <w:left w:val="nil"/>
              <w:bottom w:val="single" w:sz="4" w:space="0" w:color="auto"/>
              <w:right w:val="single" w:sz="4" w:space="0" w:color="auto"/>
            </w:tcBorders>
            <w:noWrap/>
            <w:vAlign w:val="bottom"/>
            <w:hideMark/>
          </w:tcPr>
          <w:p w14:paraId="132608A6" w14:textId="77777777" w:rsidR="005917B5" w:rsidRPr="001C42C5" w:rsidRDefault="005917B5">
            <w:pPr>
              <w:jc w:val="right"/>
              <w:rPr>
                <w:rFonts w:ascii="Arial" w:hAnsi="Arial" w:cs="Arial"/>
                <w:sz w:val="20"/>
                <w:szCs w:val="20"/>
              </w:rPr>
            </w:pPr>
            <w:r w:rsidRPr="001C42C5">
              <w:rPr>
                <w:rFonts w:ascii="Arial" w:hAnsi="Arial" w:cs="Arial"/>
                <w:sz w:val="20"/>
                <w:szCs w:val="20"/>
              </w:rPr>
              <w:t>1.168.116,85</w:t>
            </w:r>
          </w:p>
        </w:tc>
        <w:tc>
          <w:tcPr>
            <w:tcW w:w="889" w:type="dxa"/>
            <w:tcBorders>
              <w:top w:val="nil"/>
              <w:left w:val="nil"/>
              <w:bottom w:val="single" w:sz="4" w:space="0" w:color="auto"/>
              <w:right w:val="single" w:sz="4" w:space="0" w:color="auto"/>
            </w:tcBorders>
            <w:noWrap/>
            <w:vAlign w:val="bottom"/>
            <w:hideMark/>
          </w:tcPr>
          <w:p w14:paraId="352690D6" w14:textId="77777777" w:rsidR="005917B5" w:rsidRPr="001C42C5" w:rsidRDefault="005917B5">
            <w:pPr>
              <w:jc w:val="right"/>
              <w:rPr>
                <w:rFonts w:ascii="Arial" w:hAnsi="Arial" w:cs="Arial"/>
                <w:sz w:val="20"/>
                <w:szCs w:val="20"/>
              </w:rPr>
            </w:pPr>
            <w:r w:rsidRPr="001C42C5">
              <w:rPr>
                <w:rFonts w:ascii="Arial" w:hAnsi="Arial" w:cs="Arial"/>
                <w:sz w:val="20"/>
                <w:szCs w:val="20"/>
              </w:rPr>
              <w:t>123%</w:t>
            </w:r>
          </w:p>
        </w:tc>
        <w:tc>
          <w:tcPr>
            <w:tcW w:w="889" w:type="dxa"/>
            <w:tcBorders>
              <w:top w:val="nil"/>
              <w:left w:val="nil"/>
              <w:bottom w:val="single" w:sz="4" w:space="0" w:color="auto"/>
              <w:right w:val="single" w:sz="4" w:space="0" w:color="auto"/>
            </w:tcBorders>
            <w:noWrap/>
            <w:vAlign w:val="bottom"/>
            <w:hideMark/>
          </w:tcPr>
          <w:p w14:paraId="238F34FD" w14:textId="77777777" w:rsidR="005917B5" w:rsidRPr="001C42C5" w:rsidRDefault="005917B5">
            <w:pPr>
              <w:jc w:val="right"/>
              <w:rPr>
                <w:rFonts w:ascii="Calibri" w:hAnsi="Calibri" w:cs="Calibri"/>
                <w:sz w:val="22"/>
                <w:szCs w:val="22"/>
              </w:rPr>
            </w:pPr>
            <w:r w:rsidRPr="001C42C5">
              <w:rPr>
                <w:rFonts w:ascii="Calibri" w:hAnsi="Calibri" w:cs="Calibri"/>
                <w:sz w:val="22"/>
                <w:szCs w:val="22"/>
              </w:rPr>
              <w:t>103%</w:t>
            </w:r>
          </w:p>
        </w:tc>
        <w:tc>
          <w:tcPr>
            <w:tcW w:w="219" w:type="dxa"/>
            <w:vAlign w:val="center"/>
            <w:hideMark/>
          </w:tcPr>
          <w:p w14:paraId="47F0A02E" w14:textId="77777777" w:rsidR="005917B5" w:rsidRPr="001C42C5" w:rsidRDefault="005917B5">
            <w:pPr>
              <w:rPr>
                <w:sz w:val="20"/>
                <w:szCs w:val="20"/>
              </w:rPr>
            </w:pPr>
          </w:p>
        </w:tc>
      </w:tr>
      <w:tr w:rsidR="001C42C5" w:rsidRPr="001C42C5" w14:paraId="374FFD0F" w14:textId="77777777" w:rsidTr="00033347">
        <w:trPr>
          <w:trHeight w:val="245"/>
          <w:jc w:val="center"/>
        </w:trPr>
        <w:tc>
          <w:tcPr>
            <w:tcW w:w="821" w:type="dxa"/>
            <w:tcBorders>
              <w:top w:val="nil"/>
              <w:left w:val="single" w:sz="4" w:space="0" w:color="auto"/>
              <w:bottom w:val="single" w:sz="4" w:space="0" w:color="auto"/>
              <w:right w:val="single" w:sz="4" w:space="0" w:color="auto"/>
            </w:tcBorders>
            <w:noWrap/>
            <w:vAlign w:val="bottom"/>
            <w:hideMark/>
          </w:tcPr>
          <w:p w14:paraId="64193BAA" w14:textId="77777777" w:rsidR="005917B5" w:rsidRPr="001C42C5" w:rsidRDefault="005917B5">
            <w:pPr>
              <w:jc w:val="center"/>
              <w:rPr>
                <w:rFonts w:ascii="Arial" w:hAnsi="Arial" w:cs="Arial"/>
                <w:sz w:val="20"/>
                <w:szCs w:val="20"/>
              </w:rPr>
            </w:pPr>
            <w:r w:rsidRPr="001C42C5">
              <w:rPr>
                <w:rFonts w:ascii="Arial" w:hAnsi="Arial" w:cs="Arial"/>
                <w:sz w:val="20"/>
                <w:szCs w:val="20"/>
              </w:rPr>
              <w:t> </w:t>
            </w:r>
          </w:p>
        </w:tc>
        <w:tc>
          <w:tcPr>
            <w:tcW w:w="2252" w:type="dxa"/>
            <w:tcBorders>
              <w:top w:val="nil"/>
              <w:left w:val="nil"/>
              <w:bottom w:val="single" w:sz="4" w:space="0" w:color="auto"/>
              <w:right w:val="nil"/>
            </w:tcBorders>
            <w:noWrap/>
            <w:vAlign w:val="bottom"/>
            <w:hideMark/>
          </w:tcPr>
          <w:p w14:paraId="3712DDDF" w14:textId="77777777" w:rsidR="005917B5" w:rsidRPr="001C42C5" w:rsidRDefault="005917B5">
            <w:pPr>
              <w:rPr>
                <w:rFonts w:ascii="Arial" w:hAnsi="Arial" w:cs="Arial"/>
                <w:sz w:val="18"/>
                <w:szCs w:val="18"/>
              </w:rPr>
            </w:pPr>
            <w:r w:rsidRPr="001C42C5">
              <w:rPr>
                <w:rFonts w:ascii="Arial" w:hAnsi="Arial" w:cs="Arial"/>
                <w:sz w:val="18"/>
                <w:szCs w:val="18"/>
              </w:rPr>
              <w:t> </w:t>
            </w:r>
          </w:p>
        </w:tc>
        <w:tc>
          <w:tcPr>
            <w:tcW w:w="1053" w:type="dxa"/>
            <w:tcBorders>
              <w:top w:val="nil"/>
              <w:left w:val="nil"/>
              <w:bottom w:val="single" w:sz="4" w:space="0" w:color="auto"/>
              <w:right w:val="single" w:sz="4" w:space="0" w:color="auto"/>
            </w:tcBorders>
            <w:noWrap/>
            <w:vAlign w:val="bottom"/>
            <w:hideMark/>
          </w:tcPr>
          <w:p w14:paraId="69D68A2D" w14:textId="2D385EA6" w:rsidR="005917B5" w:rsidRPr="001C42C5" w:rsidRDefault="004C49AC">
            <w:pPr>
              <w:jc w:val="right"/>
              <w:rPr>
                <w:rFonts w:ascii="Arial" w:hAnsi="Arial" w:cs="Arial"/>
                <w:sz w:val="18"/>
                <w:szCs w:val="18"/>
              </w:rPr>
            </w:pPr>
            <w:r w:rsidRPr="001C42C5">
              <w:rPr>
                <w:rFonts w:ascii="Arial" w:hAnsi="Arial" w:cs="Arial"/>
                <w:sz w:val="18"/>
                <w:szCs w:val="18"/>
              </w:rPr>
              <w:t>REZULTAT</w:t>
            </w:r>
          </w:p>
        </w:tc>
        <w:tc>
          <w:tcPr>
            <w:tcW w:w="1476" w:type="dxa"/>
            <w:tcBorders>
              <w:top w:val="nil"/>
              <w:left w:val="nil"/>
              <w:bottom w:val="single" w:sz="4" w:space="0" w:color="auto"/>
              <w:right w:val="single" w:sz="4" w:space="0" w:color="auto"/>
            </w:tcBorders>
            <w:vAlign w:val="center"/>
            <w:hideMark/>
          </w:tcPr>
          <w:p w14:paraId="667FDC34" w14:textId="77777777" w:rsidR="005917B5" w:rsidRPr="001C42C5" w:rsidRDefault="005917B5">
            <w:pPr>
              <w:jc w:val="right"/>
              <w:rPr>
                <w:rFonts w:ascii="Arial" w:hAnsi="Arial" w:cs="Arial"/>
                <w:sz w:val="20"/>
                <w:szCs w:val="20"/>
              </w:rPr>
            </w:pPr>
            <w:r w:rsidRPr="001C42C5">
              <w:rPr>
                <w:rFonts w:ascii="Arial" w:hAnsi="Arial" w:cs="Arial"/>
                <w:sz w:val="20"/>
                <w:szCs w:val="20"/>
              </w:rPr>
              <w:t>0,00</w:t>
            </w:r>
          </w:p>
        </w:tc>
        <w:tc>
          <w:tcPr>
            <w:tcW w:w="1476" w:type="dxa"/>
            <w:tcBorders>
              <w:top w:val="nil"/>
              <w:left w:val="nil"/>
              <w:bottom w:val="single" w:sz="4" w:space="0" w:color="auto"/>
              <w:right w:val="single" w:sz="4" w:space="0" w:color="auto"/>
            </w:tcBorders>
            <w:vAlign w:val="center"/>
            <w:hideMark/>
          </w:tcPr>
          <w:p w14:paraId="522F9A65" w14:textId="77777777" w:rsidR="005917B5" w:rsidRPr="001C42C5" w:rsidRDefault="005917B5">
            <w:pPr>
              <w:jc w:val="right"/>
              <w:rPr>
                <w:rFonts w:ascii="Arial" w:hAnsi="Arial" w:cs="Arial"/>
                <w:sz w:val="20"/>
                <w:szCs w:val="20"/>
              </w:rPr>
            </w:pPr>
            <w:r w:rsidRPr="001C42C5">
              <w:rPr>
                <w:rFonts w:ascii="Arial" w:hAnsi="Arial" w:cs="Arial"/>
                <w:sz w:val="20"/>
                <w:szCs w:val="20"/>
              </w:rPr>
              <w:t>0,00</w:t>
            </w:r>
          </w:p>
        </w:tc>
        <w:tc>
          <w:tcPr>
            <w:tcW w:w="1476" w:type="dxa"/>
            <w:tcBorders>
              <w:top w:val="nil"/>
              <w:left w:val="nil"/>
              <w:bottom w:val="single" w:sz="4" w:space="0" w:color="auto"/>
              <w:right w:val="single" w:sz="4" w:space="0" w:color="auto"/>
            </w:tcBorders>
            <w:vAlign w:val="center"/>
            <w:hideMark/>
          </w:tcPr>
          <w:p w14:paraId="0742F6ED" w14:textId="77777777" w:rsidR="005917B5" w:rsidRPr="001C42C5" w:rsidRDefault="005917B5">
            <w:pPr>
              <w:jc w:val="right"/>
              <w:rPr>
                <w:rFonts w:ascii="Arial" w:hAnsi="Arial" w:cs="Arial"/>
                <w:sz w:val="20"/>
                <w:szCs w:val="20"/>
              </w:rPr>
            </w:pPr>
            <w:r w:rsidRPr="001C42C5">
              <w:rPr>
                <w:rFonts w:ascii="Arial" w:hAnsi="Arial" w:cs="Arial"/>
                <w:sz w:val="20"/>
                <w:szCs w:val="20"/>
              </w:rPr>
              <w:t>0,00</w:t>
            </w:r>
          </w:p>
        </w:tc>
        <w:tc>
          <w:tcPr>
            <w:tcW w:w="889" w:type="dxa"/>
            <w:tcBorders>
              <w:top w:val="nil"/>
              <w:left w:val="nil"/>
              <w:bottom w:val="single" w:sz="4" w:space="0" w:color="auto"/>
              <w:right w:val="single" w:sz="4" w:space="0" w:color="auto"/>
            </w:tcBorders>
            <w:vAlign w:val="center"/>
            <w:hideMark/>
          </w:tcPr>
          <w:p w14:paraId="2F079A98" w14:textId="77777777" w:rsidR="005917B5" w:rsidRPr="001C42C5" w:rsidRDefault="005917B5">
            <w:pPr>
              <w:rPr>
                <w:rFonts w:ascii="Arial" w:hAnsi="Arial" w:cs="Arial"/>
                <w:sz w:val="20"/>
                <w:szCs w:val="20"/>
              </w:rPr>
            </w:pPr>
            <w:r w:rsidRPr="001C42C5">
              <w:rPr>
                <w:rFonts w:ascii="Arial" w:hAnsi="Arial" w:cs="Arial"/>
                <w:sz w:val="20"/>
                <w:szCs w:val="20"/>
              </w:rPr>
              <w:t> </w:t>
            </w:r>
          </w:p>
        </w:tc>
        <w:tc>
          <w:tcPr>
            <w:tcW w:w="889" w:type="dxa"/>
            <w:tcBorders>
              <w:top w:val="nil"/>
              <w:left w:val="nil"/>
              <w:bottom w:val="single" w:sz="4" w:space="0" w:color="auto"/>
              <w:right w:val="single" w:sz="4" w:space="0" w:color="auto"/>
            </w:tcBorders>
            <w:noWrap/>
            <w:vAlign w:val="bottom"/>
            <w:hideMark/>
          </w:tcPr>
          <w:p w14:paraId="51C29169" w14:textId="77777777" w:rsidR="005917B5" w:rsidRPr="001C42C5" w:rsidRDefault="005917B5">
            <w:pPr>
              <w:rPr>
                <w:rFonts w:ascii="Calibri" w:hAnsi="Calibri" w:cs="Calibri"/>
                <w:sz w:val="22"/>
                <w:szCs w:val="22"/>
              </w:rPr>
            </w:pPr>
            <w:r w:rsidRPr="001C42C5">
              <w:rPr>
                <w:rFonts w:ascii="Calibri" w:hAnsi="Calibri" w:cs="Calibri"/>
                <w:sz w:val="22"/>
                <w:szCs w:val="22"/>
              </w:rPr>
              <w:t> </w:t>
            </w:r>
          </w:p>
        </w:tc>
        <w:tc>
          <w:tcPr>
            <w:tcW w:w="219" w:type="dxa"/>
            <w:vAlign w:val="center"/>
            <w:hideMark/>
          </w:tcPr>
          <w:p w14:paraId="30513AF8" w14:textId="77777777" w:rsidR="005917B5" w:rsidRPr="001C42C5" w:rsidRDefault="005917B5">
            <w:pPr>
              <w:rPr>
                <w:sz w:val="20"/>
                <w:szCs w:val="20"/>
              </w:rPr>
            </w:pPr>
          </w:p>
        </w:tc>
      </w:tr>
      <w:tr w:rsidR="001C42C5" w:rsidRPr="001C42C5" w14:paraId="5E579BE8" w14:textId="77777777" w:rsidTr="00033347">
        <w:trPr>
          <w:trHeight w:val="245"/>
          <w:jc w:val="center"/>
        </w:trPr>
        <w:tc>
          <w:tcPr>
            <w:tcW w:w="821" w:type="dxa"/>
            <w:tcBorders>
              <w:top w:val="nil"/>
              <w:left w:val="single" w:sz="4" w:space="0" w:color="auto"/>
              <w:bottom w:val="single" w:sz="4" w:space="0" w:color="auto"/>
              <w:right w:val="single" w:sz="4" w:space="0" w:color="auto"/>
            </w:tcBorders>
            <w:noWrap/>
            <w:vAlign w:val="bottom"/>
            <w:hideMark/>
          </w:tcPr>
          <w:p w14:paraId="12ABEE6F" w14:textId="77777777" w:rsidR="005917B5" w:rsidRPr="001C42C5" w:rsidRDefault="005917B5">
            <w:pPr>
              <w:jc w:val="center"/>
              <w:rPr>
                <w:rFonts w:ascii="Arial" w:hAnsi="Arial" w:cs="Arial"/>
                <w:b/>
                <w:bCs/>
                <w:sz w:val="20"/>
                <w:szCs w:val="20"/>
              </w:rPr>
            </w:pPr>
            <w:r w:rsidRPr="001C42C5">
              <w:rPr>
                <w:rFonts w:ascii="Arial" w:hAnsi="Arial" w:cs="Arial"/>
                <w:b/>
                <w:bCs/>
                <w:sz w:val="20"/>
                <w:szCs w:val="20"/>
              </w:rPr>
              <w:t>47</w:t>
            </w:r>
          </w:p>
        </w:tc>
        <w:tc>
          <w:tcPr>
            <w:tcW w:w="3305" w:type="dxa"/>
            <w:gridSpan w:val="2"/>
            <w:tcBorders>
              <w:top w:val="single" w:sz="4" w:space="0" w:color="auto"/>
              <w:left w:val="nil"/>
              <w:bottom w:val="single" w:sz="4" w:space="0" w:color="auto"/>
              <w:right w:val="single" w:sz="4" w:space="0" w:color="000000"/>
            </w:tcBorders>
            <w:noWrap/>
            <w:vAlign w:val="bottom"/>
            <w:hideMark/>
          </w:tcPr>
          <w:p w14:paraId="68E6E4D3" w14:textId="77777777" w:rsidR="005917B5" w:rsidRPr="001C42C5" w:rsidRDefault="005917B5">
            <w:pPr>
              <w:rPr>
                <w:rFonts w:ascii="Arial" w:hAnsi="Arial" w:cs="Arial"/>
                <w:b/>
                <w:bCs/>
                <w:sz w:val="20"/>
                <w:szCs w:val="20"/>
              </w:rPr>
            </w:pPr>
            <w:r w:rsidRPr="001C42C5">
              <w:rPr>
                <w:rFonts w:ascii="Arial" w:hAnsi="Arial" w:cs="Arial"/>
                <w:b/>
                <w:bCs/>
                <w:sz w:val="20"/>
                <w:szCs w:val="20"/>
              </w:rPr>
              <w:t>HZZO</w:t>
            </w:r>
          </w:p>
        </w:tc>
        <w:tc>
          <w:tcPr>
            <w:tcW w:w="1476" w:type="dxa"/>
            <w:tcBorders>
              <w:top w:val="nil"/>
              <w:left w:val="nil"/>
              <w:bottom w:val="single" w:sz="4" w:space="0" w:color="auto"/>
              <w:right w:val="single" w:sz="4" w:space="0" w:color="auto"/>
            </w:tcBorders>
            <w:noWrap/>
            <w:vAlign w:val="bottom"/>
            <w:hideMark/>
          </w:tcPr>
          <w:p w14:paraId="7CE55DF2" w14:textId="77777777" w:rsidR="005917B5" w:rsidRPr="001C42C5" w:rsidRDefault="005917B5">
            <w:pPr>
              <w:jc w:val="right"/>
              <w:rPr>
                <w:rFonts w:ascii="Arial" w:hAnsi="Arial" w:cs="Arial"/>
                <w:b/>
                <w:bCs/>
                <w:sz w:val="20"/>
                <w:szCs w:val="20"/>
              </w:rPr>
            </w:pPr>
            <w:r w:rsidRPr="001C42C5">
              <w:rPr>
                <w:rFonts w:ascii="Arial" w:hAnsi="Arial" w:cs="Arial"/>
                <w:b/>
                <w:bCs/>
                <w:sz w:val="20"/>
                <w:szCs w:val="20"/>
              </w:rPr>
              <w:t> </w:t>
            </w:r>
          </w:p>
        </w:tc>
        <w:tc>
          <w:tcPr>
            <w:tcW w:w="1476" w:type="dxa"/>
            <w:tcBorders>
              <w:top w:val="nil"/>
              <w:left w:val="nil"/>
              <w:bottom w:val="single" w:sz="4" w:space="0" w:color="auto"/>
              <w:right w:val="single" w:sz="4" w:space="0" w:color="auto"/>
            </w:tcBorders>
            <w:noWrap/>
            <w:vAlign w:val="bottom"/>
            <w:hideMark/>
          </w:tcPr>
          <w:p w14:paraId="06521151" w14:textId="77777777" w:rsidR="005917B5" w:rsidRPr="001C42C5" w:rsidRDefault="005917B5">
            <w:pPr>
              <w:rPr>
                <w:rFonts w:ascii="Arial" w:hAnsi="Arial" w:cs="Arial"/>
                <w:sz w:val="20"/>
                <w:szCs w:val="20"/>
              </w:rPr>
            </w:pPr>
            <w:r w:rsidRPr="001C42C5">
              <w:rPr>
                <w:rFonts w:ascii="Arial" w:hAnsi="Arial" w:cs="Arial"/>
                <w:sz w:val="20"/>
                <w:szCs w:val="20"/>
              </w:rPr>
              <w:t> </w:t>
            </w:r>
          </w:p>
        </w:tc>
        <w:tc>
          <w:tcPr>
            <w:tcW w:w="1476" w:type="dxa"/>
            <w:tcBorders>
              <w:top w:val="nil"/>
              <w:left w:val="nil"/>
              <w:bottom w:val="single" w:sz="4" w:space="0" w:color="auto"/>
              <w:right w:val="single" w:sz="4" w:space="0" w:color="auto"/>
            </w:tcBorders>
            <w:noWrap/>
            <w:vAlign w:val="bottom"/>
            <w:hideMark/>
          </w:tcPr>
          <w:p w14:paraId="156F0268" w14:textId="77777777" w:rsidR="005917B5" w:rsidRPr="001C42C5" w:rsidRDefault="005917B5">
            <w:pPr>
              <w:rPr>
                <w:rFonts w:ascii="Arial" w:hAnsi="Arial" w:cs="Arial"/>
                <w:sz w:val="20"/>
                <w:szCs w:val="20"/>
              </w:rPr>
            </w:pPr>
            <w:r w:rsidRPr="001C42C5">
              <w:rPr>
                <w:rFonts w:ascii="Arial" w:hAnsi="Arial" w:cs="Arial"/>
                <w:sz w:val="20"/>
                <w:szCs w:val="20"/>
              </w:rPr>
              <w:t> </w:t>
            </w:r>
          </w:p>
        </w:tc>
        <w:tc>
          <w:tcPr>
            <w:tcW w:w="889" w:type="dxa"/>
            <w:tcBorders>
              <w:top w:val="nil"/>
              <w:left w:val="nil"/>
              <w:bottom w:val="single" w:sz="4" w:space="0" w:color="auto"/>
              <w:right w:val="single" w:sz="4" w:space="0" w:color="auto"/>
            </w:tcBorders>
            <w:noWrap/>
            <w:vAlign w:val="bottom"/>
            <w:hideMark/>
          </w:tcPr>
          <w:p w14:paraId="5EBC092D" w14:textId="77777777" w:rsidR="005917B5" w:rsidRPr="001C42C5" w:rsidRDefault="005917B5">
            <w:pPr>
              <w:rPr>
                <w:rFonts w:ascii="Arial" w:hAnsi="Arial" w:cs="Arial"/>
                <w:sz w:val="20"/>
                <w:szCs w:val="20"/>
              </w:rPr>
            </w:pPr>
            <w:r w:rsidRPr="001C42C5">
              <w:rPr>
                <w:rFonts w:ascii="Arial" w:hAnsi="Arial" w:cs="Arial"/>
                <w:sz w:val="20"/>
                <w:szCs w:val="20"/>
              </w:rPr>
              <w:t> </w:t>
            </w:r>
          </w:p>
        </w:tc>
        <w:tc>
          <w:tcPr>
            <w:tcW w:w="889" w:type="dxa"/>
            <w:tcBorders>
              <w:top w:val="nil"/>
              <w:left w:val="nil"/>
              <w:bottom w:val="single" w:sz="4" w:space="0" w:color="auto"/>
              <w:right w:val="single" w:sz="4" w:space="0" w:color="auto"/>
            </w:tcBorders>
            <w:noWrap/>
            <w:vAlign w:val="bottom"/>
            <w:hideMark/>
          </w:tcPr>
          <w:p w14:paraId="6EB8E26E" w14:textId="77777777" w:rsidR="005917B5" w:rsidRPr="001C42C5" w:rsidRDefault="005917B5">
            <w:pPr>
              <w:rPr>
                <w:rFonts w:ascii="Calibri" w:hAnsi="Calibri" w:cs="Calibri"/>
                <w:sz w:val="22"/>
                <w:szCs w:val="22"/>
              </w:rPr>
            </w:pPr>
            <w:r w:rsidRPr="001C42C5">
              <w:rPr>
                <w:rFonts w:ascii="Calibri" w:hAnsi="Calibri" w:cs="Calibri"/>
                <w:sz w:val="22"/>
                <w:szCs w:val="22"/>
              </w:rPr>
              <w:t> </w:t>
            </w:r>
          </w:p>
        </w:tc>
        <w:tc>
          <w:tcPr>
            <w:tcW w:w="219" w:type="dxa"/>
            <w:vAlign w:val="center"/>
            <w:hideMark/>
          </w:tcPr>
          <w:p w14:paraId="45D3830E" w14:textId="77777777" w:rsidR="005917B5" w:rsidRPr="001C42C5" w:rsidRDefault="005917B5">
            <w:pPr>
              <w:rPr>
                <w:sz w:val="20"/>
                <w:szCs w:val="20"/>
              </w:rPr>
            </w:pPr>
          </w:p>
        </w:tc>
      </w:tr>
      <w:tr w:rsidR="001C42C5" w:rsidRPr="001C42C5" w14:paraId="77547772" w14:textId="77777777" w:rsidTr="00033347">
        <w:trPr>
          <w:trHeight w:val="245"/>
          <w:jc w:val="center"/>
        </w:trPr>
        <w:tc>
          <w:tcPr>
            <w:tcW w:w="821" w:type="dxa"/>
            <w:tcBorders>
              <w:top w:val="nil"/>
              <w:left w:val="single" w:sz="4" w:space="0" w:color="auto"/>
              <w:bottom w:val="single" w:sz="4" w:space="0" w:color="auto"/>
              <w:right w:val="single" w:sz="4" w:space="0" w:color="auto"/>
            </w:tcBorders>
            <w:noWrap/>
            <w:vAlign w:val="bottom"/>
            <w:hideMark/>
          </w:tcPr>
          <w:p w14:paraId="6204FBBB" w14:textId="77777777" w:rsidR="005917B5" w:rsidRPr="001C42C5" w:rsidRDefault="005917B5">
            <w:pPr>
              <w:jc w:val="center"/>
              <w:rPr>
                <w:rFonts w:ascii="Arial" w:hAnsi="Arial" w:cs="Arial"/>
                <w:sz w:val="20"/>
                <w:szCs w:val="20"/>
              </w:rPr>
            </w:pPr>
            <w:r w:rsidRPr="001C42C5">
              <w:rPr>
                <w:rFonts w:ascii="Arial" w:hAnsi="Arial" w:cs="Arial"/>
                <w:sz w:val="20"/>
                <w:szCs w:val="20"/>
              </w:rPr>
              <w:t> </w:t>
            </w:r>
          </w:p>
        </w:tc>
        <w:tc>
          <w:tcPr>
            <w:tcW w:w="2252" w:type="dxa"/>
            <w:tcBorders>
              <w:top w:val="nil"/>
              <w:left w:val="nil"/>
              <w:bottom w:val="single" w:sz="4" w:space="0" w:color="auto"/>
              <w:right w:val="nil"/>
            </w:tcBorders>
            <w:noWrap/>
            <w:vAlign w:val="bottom"/>
            <w:hideMark/>
          </w:tcPr>
          <w:p w14:paraId="743A16B6" w14:textId="77777777" w:rsidR="005917B5" w:rsidRPr="001C42C5" w:rsidRDefault="005917B5">
            <w:pPr>
              <w:rPr>
                <w:rFonts w:ascii="Arial" w:hAnsi="Arial" w:cs="Arial"/>
                <w:sz w:val="18"/>
                <w:szCs w:val="18"/>
              </w:rPr>
            </w:pPr>
            <w:r w:rsidRPr="001C42C5">
              <w:rPr>
                <w:rFonts w:ascii="Arial" w:hAnsi="Arial" w:cs="Arial"/>
                <w:sz w:val="18"/>
                <w:szCs w:val="18"/>
              </w:rPr>
              <w:t>PRIHODI</w:t>
            </w:r>
          </w:p>
        </w:tc>
        <w:tc>
          <w:tcPr>
            <w:tcW w:w="1053" w:type="dxa"/>
            <w:tcBorders>
              <w:top w:val="nil"/>
              <w:left w:val="nil"/>
              <w:bottom w:val="single" w:sz="4" w:space="0" w:color="auto"/>
              <w:right w:val="single" w:sz="4" w:space="0" w:color="auto"/>
            </w:tcBorders>
            <w:noWrap/>
            <w:vAlign w:val="bottom"/>
            <w:hideMark/>
          </w:tcPr>
          <w:p w14:paraId="738645E4" w14:textId="77777777" w:rsidR="005917B5" w:rsidRPr="001C42C5" w:rsidRDefault="005917B5">
            <w:pPr>
              <w:rPr>
                <w:rFonts w:ascii="Arial" w:hAnsi="Arial" w:cs="Arial"/>
                <w:sz w:val="20"/>
                <w:szCs w:val="20"/>
              </w:rPr>
            </w:pPr>
            <w:r w:rsidRPr="001C42C5">
              <w:rPr>
                <w:rFonts w:ascii="Arial" w:hAnsi="Arial" w:cs="Arial"/>
                <w:sz w:val="20"/>
                <w:szCs w:val="20"/>
              </w:rPr>
              <w:t> </w:t>
            </w:r>
          </w:p>
        </w:tc>
        <w:tc>
          <w:tcPr>
            <w:tcW w:w="1476" w:type="dxa"/>
            <w:tcBorders>
              <w:top w:val="nil"/>
              <w:left w:val="nil"/>
              <w:bottom w:val="single" w:sz="4" w:space="0" w:color="auto"/>
              <w:right w:val="single" w:sz="4" w:space="0" w:color="auto"/>
            </w:tcBorders>
            <w:noWrap/>
            <w:vAlign w:val="bottom"/>
            <w:hideMark/>
          </w:tcPr>
          <w:p w14:paraId="01342CC0" w14:textId="77777777" w:rsidR="005917B5" w:rsidRPr="001C42C5" w:rsidRDefault="005917B5">
            <w:pPr>
              <w:jc w:val="right"/>
              <w:rPr>
                <w:rFonts w:ascii="Arial" w:hAnsi="Arial" w:cs="Arial"/>
                <w:sz w:val="20"/>
                <w:szCs w:val="20"/>
              </w:rPr>
            </w:pPr>
            <w:r w:rsidRPr="001C42C5">
              <w:rPr>
                <w:rFonts w:ascii="Arial" w:hAnsi="Arial" w:cs="Arial"/>
                <w:sz w:val="20"/>
                <w:szCs w:val="20"/>
              </w:rPr>
              <w:t>21.636.763,88</w:t>
            </w:r>
          </w:p>
        </w:tc>
        <w:tc>
          <w:tcPr>
            <w:tcW w:w="1476" w:type="dxa"/>
            <w:tcBorders>
              <w:top w:val="nil"/>
              <w:left w:val="nil"/>
              <w:bottom w:val="single" w:sz="4" w:space="0" w:color="auto"/>
              <w:right w:val="single" w:sz="4" w:space="0" w:color="auto"/>
            </w:tcBorders>
            <w:noWrap/>
            <w:vAlign w:val="bottom"/>
            <w:hideMark/>
          </w:tcPr>
          <w:p w14:paraId="49A56B09" w14:textId="77777777" w:rsidR="005917B5" w:rsidRPr="001C42C5" w:rsidRDefault="005917B5">
            <w:pPr>
              <w:jc w:val="right"/>
              <w:rPr>
                <w:rFonts w:ascii="Arial" w:hAnsi="Arial" w:cs="Arial"/>
                <w:sz w:val="20"/>
                <w:szCs w:val="20"/>
              </w:rPr>
            </w:pPr>
            <w:r w:rsidRPr="001C42C5">
              <w:rPr>
                <w:rFonts w:ascii="Arial" w:hAnsi="Arial" w:cs="Arial"/>
                <w:sz w:val="20"/>
                <w:szCs w:val="20"/>
              </w:rPr>
              <w:t>25.400.000,00</w:t>
            </w:r>
          </w:p>
        </w:tc>
        <w:tc>
          <w:tcPr>
            <w:tcW w:w="1476" w:type="dxa"/>
            <w:tcBorders>
              <w:top w:val="nil"/>
              <w:left w:val="nil"/>
              <w:bottom w:val="single" w:sz="4" w:space="0" w:color="auto"/>
              <w:right w:val="single" w:sz="4" w:space="0" w:color="auto"/>
            </w:tcBorders>
            <w:noWrap/>
            <w:vAlign w:val="bottom"/>
            <w:hideMark/>
          </w:tcPr>
          <w:p w14:paraId="6A081554" w14:textId="77777777" w:rsidR="005917B5" w:rsidRPr="001C42C5" w:rsidRDefault="005917B5">
            <w:pPr>
              <w:jc w:val="right"/>
              <w:rPr>
                <w:rFonts w:ascii="Arial" w:hAnsi="Arial" w:cs="Arial"/>
                <w:sz w:val="20"/>
                <w:szCs w:val="20"/>
              </w:rPr>
            </w:pPr>
            <w:r w:rsidRPr="001C42C5">
              <w:rPr>
                <w:rFonts w:ascii="Arial" w:hAnsi="Arial" w:cs="Arial"/>
                <w:sz w:val="20"/>
                <w:szCs w:val="20"/>
              </w:rPr>
              <w:t>25.294.651,78</w:t>
            </w:r>
          </w:p>
        </w:tc>
        <w:tc>
          <w:tcPr>
            <w:tcW w:w="889" w:type="dxa"/>
            <w:tcBorders>
              <w:top w:val="nil"/>
              <w:left w:val="nil"/>
              <w:bottom w:val="single" w:sz="4" w:space="0" w:color="auto"/>
              <w:right w:val="single" w:sz="4" w:space="0" w:color="auto"/>
            </w:tcBorders>
            <w:noWrap/>
            <w:vAlign w:val="bottom"/>
            <w:hideMark/>
          </w:tcPr>
          <w:p w14:paraId="532733BF" w14:textId="77777777" w:rsidR="005917B5" w:rsidRPr="001C42C5" w:rsidRDefault="005917B5">
            <w:pPr>
              <w:jc w:val="right"/>
              <w:rPr>
                <w:rFonts w:ascii="Arial" w:hAnsi="Arial" w:cs="Arial"/>
                <w:sz w:val="20"/>
                <w:szCs w:val="20"/>
              </w:rPr>
            </w:pPr>
            <w:r w:rsidRPr="001C42C5">
              <w:rPr>
                <w:rFonts w:ascii="Arial" w:hAnsi="Arial" w:cs="Arial"/>
                <w:sz w:val="20"/>
                <w:szCs w:val="20"/>
              </w:rPr>
              <w:t>117%</w:t>
            </w:r>
          </w:p>
        </w:tc>
        <w:tc>
          <w:tcPr>
            <w:tcW w:w="889" w:type="dxa"/>
            <w:tcBorders>
              <w:top w:val="nil"/>
              <w:left w:val="nil"/>
              <w:bottom w:val="single" w:sz="4" w:space="0" w:color="auto"/>
              <w:right w:val="single" w:sz="4" w:space="0" w:color="auto"/>
            </w:tcBorders>
            <w:noWrap/>
            <w:vAlign w:val="bottom"/>
            <w:hideMark/>
          </w:tcPr>
          <w:p w14:paraId="21F9065F" w14:textId="77777777" w:rsidR="005917B5" w:rsidRPr="001C42C5" w:rsidRDefault="005917B5">
            <w:pPr>
              <w:jc w:val="right"/>
              <w:rPr>
                <w:rFonts w:ascii="Calibri" w:hAnsi="Calibri" w:cs="Calibri"/>
                <w:sz w:val="22"/>
                <w:szCs w:val="22"/>
              </w:rPr>
            </w:pPr>
            <w:r w:rsidRPr="001C42C5">
              <w:rPr>
                <w:rFonts w:ascii="Calibri" w:hAnsi="Calibri" w:cs="Calibri"/>
                <w:sz w:val="22"/>
                <w:szCs w:val="22"/>
              </w:rPr>
              <w:t>100%</w:t>
            </w:r>
          </w:p>
        </w:tc>
        <w:tc>
          <w:tcPr>
            <w:tcW w:w="219" w:type="dxa"/>
            <w:vAlign w:val="center"/>
            <w:hideMark/>
          </w:tcPr>
          <w:p w14:paraId="69763823" w14:textId="77777777" w:rsidR="005917B5" w:rsidRPr="001C42C5" w:rsidRDefault="005917B5">
            <w:pPr>
              <w:rPr>
                <w:sz w:val="20"/>
                <w:szCs w:val="20"/>
              </w:rPr>
            </w:pPr>
          </w:p>
        </w:tc>
      </w:tr>
      <w:tr w:rsidR="001C42C5" w:rsidRPr="001C42C5" w14:paraId="644A8BAE" w14:textId="77777777" w:rsidTr="00033347">
        <w:trPr>
          <w:trHeight w:val="245"/>
          <w:jc w:val="center"/>
        </w:trPr>
        <w:tc>
          <w:tcPr>
            <w:tcW w:w="821" w:type="dxa"/>
            <w:tcBorders>
              <w:top w:val="nil"/>
              <w:left w:val="single" w:sz="4" w:space="0" w:color="auto"/>
              <w:bottom w:val="single" w:sz="4" w:space="0" w:color="auto"/>
              <w:right w:val="single" w:sz="4" w:space="0" w:color="auto"/>
            </w:tcBorders>
            <w:noWrap/>
            <w:vAlign w:val="bottom"/>
            <w:hideMark/>
          </w:tcPr>
          <w:p w14:paraId="7E773D5B" w14:textId="77777777" w:rsidR="005917B5" w:rsidRPr="001C42C5" w:rsidRDefault="005917B5">
            <w:pPr>
              <w:jc w:val="center"/>
              <w:rPr>
                <w:rFonts w:ascii="Arial" w:hAnsi="Arial" w:cs="Arial"/>
                <w:sz w:val="20"/>
                <w:szCs w:val="20"/>
              </w:rPr>
            </w:pPr>
            <w:r w:rsidRPr="001C42C5">
              <w:rPr>
                <w:rFonts w:ascii="Arial" w:hAnsi="Arial" w:cs="Arial"/>
                <w:sz w:val="20"/>
                <w:szCs w:val="20"/>
              </w:rPr>
              <w:t> </w:t>
            </w:r>
          </w:p>
        </w:tc>
        <w:tc>
          <w:tcPr>
            <w:tcW w:w="2252" w:type="dxa"/>
            <w:tcBorders>
              <w:top w:val="nil"/>
              <w:left w:val="nil"/>
              <w:bottom w:val="single" w:sz="4" w:space="0" w:color="auto"/>
              <w:right w:val="nil"/>
            </w:tcBorders>
            <w:noWrap/>
            <w:vAlign w:val="bottom"/>
            <w:hideMark/>
          </w:tcPr>
          <w:p w14:paraId="3F79D075" w14:textId="77777777" w:rsidR="005917B5" w:rsidRPr="001C42C5" w:rsidRDefault="005917B5">
            <w:pPr>
              <w:rPr>
                <w:rFonts w:ascii="Arial" w:hAnsi="Arial" w:cs="Arial"/>
                <w:sz w:val="18"/>
                <w:szCs w:val="18"/>
              </w:rPr>
            </w:pPr>
            <w:r w:rsidRPr="001C42C5">
              <w:rPr>
                <w:rFonts w:ascii="Arial" w:hAnsi="Arial" w:cs="Arial"/>
                <w:sz w:val="18"/>
                <w:szCs w:val="18"/>
              </w:rPr>
              <w:t>RASHODI</w:t>
            </w:r>
          </w:p>
        </w:tc>
        <w:tc>
          <w:tcPr>
            <w:tcW w:w="1053" w:type="dxa"/>
            <w:tcBorders>
              <w:top w:val="nil"/>
              <w:left w:val="nil"/>
              <w:bottom w:val="single" w:sz="4" w:space="0" w:color="auto"/>
              <w:right w:val="single" w:sz="4" w:space="0" w:color="auto"/>
            </w:tcBorders>
            <w:noWrap/>
            <w:vAlign w:val="bottom"/>
            <w:hideMark/>
          </w:tcPr>
          <w:p w14:paraId="3F3EF0D8" w14:textId="77777777" w:rsidR="005917B5" w:rsidRPr="001C42C5" w:rsidRDefault="005917B5">
            <w:pPr>
              <w:rPr>
                <w:rFonts w:ascii="Arial" w:hAnsi="Arial" w:cs="Arial"/>
                <w:sz w:val="20"/>
                <w:szCs w:val="20"/>
              </w:rPr>
            </w:pPr>
            <w:r w:rsidRPr="001C42C5">
              <w:rPr>
                <w:rFonts w:ascii="Arial" w:hAnsi="Arial" w:cs="Arial"/>
                <w:sz w:val="20"/>
                <w:szCs w:val="20"/>
              </w:rPr>
              <w:t> </w:t>
            </w:r>
          </w:p>
        </w:tc>
        <w:tc>
          <w:tcPr>
            <w:tcW w:w="1476" w:type="dxa"/>
            <w:tcBorders>
              <w:top w:val="nil"/>
              <w:left w:val="nil"/>
              <w:bottom w:val="single" w:sz="4" w:space="0" w:color="auto"/>
              <w:right w:val="single" w:sz="4" w:space="0" w:color="auto"/>
            </w:tcBorders>
            <w:noWrap/>
            <w:vAlign w:val="bottom"/>
            <w:hideMark/>
          </w:tcPr>
          <w:p w14:paraId="6CAA6E3A" w14:textId="77777777" w:rsidR="005917B5" w:rsidRPr="001C42C5" w:rsidRDefault="005917B5">
            <w:pPr>
              <w:jc w:val="right"/>
              <w:rPr>
                <w:rFonts w:ascii="Arial" w:hAnsi="Arial" w:cs="Arial"/>
                <w:sz w:val="20"/>
                <w:szCs w:val="20"/>
              </w:rPr>
            </w:pPr>
            <w:r w:rsidRPr="001C42C5">
              <w:rPr>
                <w:rFonts w:ascii="Arial" w:hAnsi="Arial" w:cs="Arial"/>
                <w:sz w:val="20"/>
                <w:szCs w:val="20"/>
              </w:rPr>
              <w:t>22.610.870,18</w:t>
            </w:r>
          </w:p>
        </w:tc>
        <w:tc>
          <w:tcPr>
            <w:tcW w:w="1476" w:type="dxa"/>
            <w:tcBorders>
              <w:top w:val="nil"/>
              <w:left w:val="nil"/>
              <w:bottom w:val="single" w:sz="4" w:space="0" w:color="auto"/>
              <w:right w:val="single" w:sz="4" w:space="0" w:color="auto"/>
            </w:tcBorders>
            <w:noWrap/>
            <w:vAlign w:val="bottom"/>
            <w:hideMark/>
          </w:tcPr>
          <w:p w14:paraId="61538627" w14:textId="77777777" w:rsidR="005917B5" w:rsidRPr="001C42C5" w:rsidRDefault="005917B5">
            <w:pPr>
              <w:jc w:val="right"/>
              <w:rPr>
                <w:rFonts w:ascii="Arial" w:hAnsi="Arial" w:cs="Arial"/>
                <w:sz w:val="20"/>
                <w:szCs w:val="20"/>
              </w:rPr>
            </w:pPr>
            <w:r w:rsidRPr="001C42C5">
              <w:rPr>
                <w:rFonts w:ascii="Arial" w:hAnsi="Arial" w:cs="Arial"/>
                <w:sz w:val="20"/>
                <w:szCs w:val="20"/>
              </w:rPr>
              <w:t>25.400.000,00</w:t>
            </w:r>
          </w:p>
        </w:tc>
        <w:tc>
          <w:tcPr>
            <w:tcW w:w="1476" w:type="dxa"/>
            <w:tcBorders>
              <w:top w:val="nil"/>
              <w:left w:val="nil"/>
              <w:bottom w:val="single" w:sz="4" w:space="0" w:color="auto"/>
              <w:right w:val="single" w:sz="4" w:space="0" w:color="auto"/>
            </w:tcBorders>
            <w:noWrap/>
            <w:vAlign w:val="bottom"/>
            <w:hideMark/>
          </w:tcPr>
          <w:p w14:paraId="5C4E7356" w14:textId="77777777" w:rsidR="005917B5" w:rsidRPr="001C42C5" w:rsidRDefault="005917B5">
            <w:pPr>
              <w:jc w:val="right"/>
              <w:rPr>
                <w:rFonts w:ascii="Arial" w:hAnsi="Arial" w:cs="Arial"/>
                <w:sz w:val="20"/>
                <w:szCs w:val="20"/>
              </w:rPr>
            </w:pPr>
            <w:r w:rsidRPr="001C42C5">
              <w:rPr>
                <w:rFonts w:ascii="Arial" w:hAnsi="Arial" w:cs="Arial"/>
                <w:sz w:val="20"/>
                <w:szCs w:val="20"/>
              </w:rPr>
              <w:t>25.371.065,73</w:t>
            </w:r>
          </w:p>
        </w:tc>
        <w:tc>
          <w:tcPr>
            <w:tcW w:w="889" w:type="dxa"/>
            <w:tcBorders>
              <w:top w:val="nil"/>
              <w:left w:val="nil"/>
              <w:bottom w:val="single" w:sz="4" w:space="0" w:color="auto"/>
              <w:right w:val="single" w:sz="4" w:space="0" w:color="auto"/>
            </w:tcBorders>
            <w:noWrap/>
            <w:vAlign w:val="bottom"/>
            <w:hideMark/>
          </w:tcPr>
          <w:p w14:paraId="48AB9D08" w14:textId="77777777" w:rsidR="005917B5" w:rsidRPr="001C42C5" w:rsidRDefault="005917B5">
            <w:pPr>
              <w:jc w:val="right"/>
              <w:rPr>
                <w:rFonts w:ascii="Arial" w:hAnsi="Arial" w:cs="Arial"/>
                <w:sz w:val="20"/>
                <w:szCs w:val="20"/>
              </w:rPr>
            </w:pPr>
            <w:r w:rsidRPr="001C42C5">
              <w:rPr>
                <w:rFonts w:ascii="Arial" w:hAnsi="Arial" w:cs="Arial"/>
                <w:sz w:val="20"/>
                <w:szCs w:val="20"/>
              </w:rPr>
              <w:t>112%</w:t>
            </w:r>
          </w:p>
        </w:tc>
        <w:tc>
          <w:tcPr>
            <w:tcW w:w="889" w:type="dxa"/>
            <w:tcBorders>
              <w:top w:val="nil"/>
              <w:left w:val="nil"/>
              <w:bottom w:val="single" w:sz="4" w:space="0" w:color="auto"/>
              <w:right w:val="single" w:sz="4" w:space="0" w:color="auto"/>
            </w:tcBorders>
            <w:noWrap/>
            <w:vAlign w:val="bottom"/>
            <w:hideMark/>
          </w:tcPr>
          <w:p w14:paraId="7AB4203B" w14:textId="77777777" w:rsidR="005917B5" w:rsidRPr="001C42C5" w:rsidRDefault="005917B5">
            <w:pPr>
              <w:jc w:val="right"/>
              <w:rPr>
                <w:rFonts w:ascii="Calibri" w:hAnsi="Calibri" w:cs="Calibri"/>
                <w:sz w:val="22"/>
                <w:szCs w:val="22"/>
              </w:rPr>
            </w:pPr>
            <w:r w:rsidRPr="001C42C5">
              <w:rPr>
                <w:rFonts w:ascii="Calibri" w:hAnsi="Calibri" w:cs="Calibri"/>
                <w:sz w:val="22"/>
                <w:szCs w:val="22"/>
              </w:rPr>
              <w:t>100%</w:t>
            </w:r>
          </w:p>
        </w:tc>
        <w:tc>
          <w:tcPr>
            <w:tcW w:w="219" w:type="dxa"/>
            <w:vAlign w:val="center"/>
            <w:hideMark/>
          </w:tcPr>
          <w:p w14:paraId="6B457FF3" w14:textId="77777777" w:rsidR="005917B5" w:rsidRPr="001C42C5" w:rsidRDefault="005917B5">
            <w:pPr>
              <w:rPr>
                <w:sz w:val="20"/>
                <w:szCs w:val="20"/>
              </w:rPr>
            </w:pPr>
          </w:p>
        </w:tc>
      </w:tr>
      <w:tr w:rsidR="001C42C5" w:rsidRPr="001C42C5" w14:paraId="289687B1" w14:textId="77777777" w:rsidTr="00033347">
        <w:trPr>
          <w:trHeight w:val="245"/>
          <w:jc w:val="center"/>
        </w:trPr>
        <w:tc>
          <w:tcPr>
            <w:tcW w:w="821" w:type="dxa"/>
            <w:tcBorders>
              <w:top w:val="nil"/>
              <w:left w:val="single" w:sz="4" w:space="0" w:color="auto"/>
              <w:bottom w:val="single" w:sz="4" w:space="0" w:color="auto"/>
              <w:right w:val="single" w:sz="4" w:space="0" w:color="auto"/>
            </w:tcBorders>
            <w:noWrap/>
            <w:vAlign w:val="bottom"/>
            <w:hideMark/>
          </w:tcPr>
          <w:p w14:paraId="1ADD7C89" w14:textId="77777777" w:rsidR="005917B5" w:rsidRPr="001C42C5" w:rsidRDefault="005917B5">
            <w:pPr>
              <w:jc w:val="center"/>
              <w:rPr>
                <w:rFonts w:ascii="Arial" w:hAnsi="Arial" w:cs="Arial"/>
                <w:sz w:val="20"/>
                <w:szCs w:val="20"/>
              </w:rPr>
            </w:pPr>
            <w:r w:rsidRPr="001C42C5">
              <w:rPr>
                <w:rFonts w:ascii="Arial" w:hAnsi="Arial" w:cs="Arial"/>
                <w:sz w:val="20"/>
                <w:szCs w:val="20"/>
              </w:rPr>
              <w:t> </w:t>
            </w:r>
          </w:p>
        </w:tc>
        <w:tc>
          <w:tcPr>
            <w:tcW w:w="2252" w:type="dxa"/>
            <w:tcBorders>
              <w:top w:val="nil"/>
              <w:left w:val="nil"/>
              <w:bottom w:val="single" w:sz="4" w:space="0" w:color="auto"/>
              <w:right w:val="nil"/>
            </w:tcBorders>
            <w:noWrap/>
            <w:vAlign w:val="bottom"/>
            <w:hideMark/>
          </w:tcPr>
          <w:p w14:paraId="3DFF63F1" w14:textId="77777777" w:rsidR="005917B5" w:rsidRPr="001C42C5" w:rsidRDefault="005917B5">
            <w:pPr>
              <w:rPr>
                <w:rFonts w:ascii="Arial" w:hAnsi="Arial" w:cs="Arial"/>
                <w:sz w:val="18"/>
                <w:szCs w:val="18"/>
              </w:rPr>
            </w:pPr>
            <w:r w:rsidRPr="001C42C5">
              <w:rPr>
                <w:rFonts w:ascii="Arial" w:hAnsi="Arial" w:cs="Arial"/>
                <w:sz w:val="18"/>
                <w:szCs w:val="18"/>
              </w:rPr>
              <w:t> </w:t>
            </w:r>
          </w:p>
        </w:tc>
        <w:tc>
          <w:tcPr>
            <w:tcW w:w="1053" w:type="dxa"/>
            <w:tcBorders>
              <w:top w:val="nil"/>
              <w:left w:val="nil"/>
              <w:bottom w:val="single" w:sz="4" w:space="0" w:color="auto"/>
              <w:right w:val="single" w:sz="4" w:space="0" w:color="auto"/>
            </w:tcBorders>
            <w:noWrap/>
            <w:vAlign w:val="bottom"/>
            <w:hideMark/>
          </w:tcPr>
          <w:p w14:paraId="09A9FC08" w14:textId="50670FFF" w:rsidR="005917B5" w:rsidRPr="001C42C5" w:rsidRDefault="004C49AC">
            <w:pPr>
              <w:jc w:val="right"/>
              <w:rPr>
                <w:rFonts w:ascii="Arial" w:hAnsi="Arial" w:cs="Arial"/>
                <w:sz w:val="18"/>
                <w:szCs w:val="18"/>
              </w:rPr>
            </w:pPr>
            <w:r w:rsidRPr="001C42C5">
              <w:rPr>
                <w:rFonts w:ascii="Arial" w:hAnsi="Arial" w:cs="Arial"/>
                <w:sz w:val="18"/>
                <w:szCs w:val="18"/>
              </w:rPr>
              <w:t>REZULTAT</w:t>
            </w:r>
          </w:p>
        </w:tc>
        <w:tc>
          <w:tcPr>
            <w:tcW w:w="1476" w:type="dxa"/>
            <w:tcBorders>
              <w:top w:val="nil"/>
              <w:left w:val="nil"/>
              <w:bottom w:val="single" w:sz="4" w:space="0" w:color="auto"/>
              <w:right w:val="single" w:sz="4" w:space="0" w:color="auto"/>
            </w:tcBorders>
            <w:vAlign w:val="center"/>
            <w:hideMark/>
          </w:tcPr>
          <w:p w14:paraId="59366C76" w14:textId="77777777" w:rsidR="005917B5" w:rsidRPr="001C42C5" w:rsidRDefault="005917B5">
            <w:pPr>
              <w:jc w:val="right"/>
              <w:rPr>
                <w:rFonts w:ascii="Arial" w:hAnsi="Arial" w:cs="Arial"/>
                <w:sz w:val="20"/>
                <w:szCs w:val="20"/>
              </w:rPr>
            </w:pPr>
            <w:r w:rsidRPr="001C42C5">
              <w:rPr>
                <w:rFonts w:ascii="Arial" w:hAnsi="Arial" w:cs="Arial"/>
                <w:sz w:val="20"/>
                <w:szCs w:val="20"/>
              </w:rPr>
              <w:t>-974.106,30</w:t>
            </w:r>
          </w:p>
        </w:tc>
        <w:tc>
          <w:tcPr>
            <w:tcW w:w="1476" w:type="dxa"/>
            <w:tcBorders>
              <w:top w:val="nil"/>
              <w:left w:val="nil"/>
              <w:bottom w:val="single" w:sz="4" w:space="0" w:color="auto"/>
              <w:right w:val="single" w:sz="4" w:space="0" w:color="auto"/>
            </w:tcBorders>
            <w:vAlign w:val="center"/>
            <w:hideMark/>
          </w:tcPr>
          <w:p w14:paraId="17EBD57E" w14:textId="77777777" w:rsidR="005917B5" w:rsidRPr="001C42C5" w:rsidRDefault="005917B5">
            <w:pPr>
              <w:jc w:val="right"/>
              <w:rPr>
                <w:rFonts w:ascii="Arial" w:hAnsi="Arial" w:cs="Arial"/>
                <w:sz w:val="20"/>
                <w:szCs w:val="20"/>
              </w:rPr>
            </w:pPr>
            <w:r w:rsidRPr="001C42C5">
              <w:rPr>
                <w:rFonts w:ascii="Arial" w:hAnsi="Arial" w:cs="Arial"/>
                <w:sz w:val="20"/>
                <w:szCs w:val="20"/>
              </w:rPr>
              <w:t>0,00</w:t>
            </w:r>
          </w:p>
        </w:tc>
        <w:tc>
          <w:tcPr>
            <w:tcW w:w="1476" w:type="dxa"/>
            <w:tcBorders>
              <w:top w:val="nil"/>
              <w:left w:val="nil"/>
              <w:bottom w:val="single" w:sz="4" w:space="0" w:color="auto"/>
              <w:right w:val="single" w:sz="4" w:space="0" w:color="auto"/>
            </w:tcBorders>
            <w:vAlign w:val="center"/>
            <w:hideMark/>
          </w:tcPr>
          <w:p w14:paraId="4D6A0875" w14:textId="77777777" w:rsidR="005917B5" w:rsidRPr="001C42C5" w:rsidRDefault="005917B5">
            <w:pPr>
              <w:jc w:val="right"/>
              <w:rPr>
                <w:rFonts w:ascii="Arial" w:hAnsi="Arial" w:cs="Arial"/>
                <w:sz w:val="20"/>
                <w:szCs w:val="20"/>
              </w:rPr>
            </w:pPr>
            <w:r w:rsidRPr="001C42C5">
              <w:rPr>
                <w:rFonts w:ascii="Arial" w:hAnsi="Arial" w:cs="Arial"/>
                <w:sz w:val="20"/>
                <w:szCs w:val="20"/>
              </w:rPr>
              <w:t>-76.413,95</w:t>
            </w:r>
          </w:p>
        </w:tc>
        <w:tc>
          <w:tcPr>
            <w:tcW w:w="889" w:type="dxa"/>
            <w:tcBorders>
              <w:top w:val="nil"/>
              <w:left w:val="nil"/>
              <w:bottom w:val="single" w:sz="4" w:space="0" w:color="auto"/>
              <w:right w:val="single" w:sz="4" w:space="0" w:color="auto"/>
            </w:tcBorders>
            <w:vAlign w:val="center"/>
            <w:hideMark/>
          </w:tcPr>
          <w:p w14:paraId="77D3477E" w14:textId="77777777" w:rsidR="005917B5" w:rsidRPr="001C42C5" w:rsidRDefault="005917B5">
            <w:pPr>
              <w:rPr>
                <w:rFonts w:ascii="Arial" w:hAnsi="Arial" w:cs="Arial"/>
                <w:sz w:val="20"/>
                <w:szCs w:val="20"/>
              </w:rPr>
            </w:pPr>
            <w:r w:rsidRPr="001C42C5">
              <w:rPr>
                <w:rFonts w:ascii="Arial" w:hAnsi="Arial" w:cs="Arial"/>
                <w:sz w:val="20"/>
                <w:szCs w:val="20"/>
              </w:rPr>
              <w:t> </w:t>
            </w:r>
          </w:p>
        </w:tc>
        <w:tc>
          <w:tcPr>
            <w:tcW w:w="889" w:type="dxa"/>
            <w:tcBorders>
              <w:top w:val="nil"/>
              <w:left w:val="nil"/>
              <w:bottom w:val="single" w:sz="4" w:space="0" w:color="auto"/>
              <w:right w:val="single" w:sz="4" w:space="0" w:color="auto"/>
            </w:tcBorders>
            <w:noWrap/>
            <w:vAlign w:val="bottom"/>
            <w:hideMark/>
          </w:tcPr>
          <w:p w14:paraId="7F6AA88D" w14:textId="77777777" w:rsidR="005917B5" w:rsidRPr="001C42C5" w:rsidRDefault="005917B5">
            <w:pPr>
              <w:rPr>
                <w:rFonts w:ascii="Calibri" w:hAnsi="Calibri" w:cs="Calibri"/>
                <w:sz w:val="22"/>
                <w:szCs w:val="22"/>
              </w:rPr>
            </w:pPr>
            <w:r w:rsidRPr="001C42C5">
              <w:rPr>
                <w:rFonts w:ascii="Calibri" w:hAnsi="Calibri" w:cs="Calibri"/>
                <w:sz w:val="22"/>
                <w:szCs w:val="22"/>
              </w:rPr>
              <w:t> </w:t>
            </w:r>
          </w:p>
        </w:tc>
        <w:tc>
          <w:tcPr>
            <w:tcW w:w="219" w:type="dxa"/>
            <w:vAlign w:val="center"/>
            <w:hideMark/>
          </w:tcPr>
          <w:p w14:paraId="39D12C20" w14:textId="77777777" w:rsidR="005917B5" w:rsidRPr="001C42C5" w:rsidRDefault="005917B5">
            <w:pPr>
              <w:rPr>
                <w:sz w:val="20"/>
                <w:szCs w:val="20"/>
              </w:rPr>
            </w:pPr>
          </w:p>
        </w:tc>
      </w:tr>
      <w:tr w:rsidR="001C42C5" w:rsidRPr="001C42C5" w14:paraId="4057DF88" w14:textId="77777777" w:rsidTr="00033347">
        <w:trPr>
          <w:trHeight w:val="269"/>
          <w:jc w:val="center"/>
        </w:trPr>
        <w:tc>
          <w:tcPr>
            <w:tcW w:w="821" w:type="dxa"/>
            <w:tcBorders>
              <w:top w:val="nil"/>
              <w:left w:val="single" w:sz="4" w:space="0" w:color="auto"/>
              <w:bottom w:val="single" w:sz="4" w:space="0" w:color="auto"/>
              <w:right w:val="single" w:sz="4" w:space="0" w:color="auto"/>
            </w:tcBorders>
            <w:noWrap/>
            <w:vAlign w:val="bottom"/>
            <w:hideMark/>
          </w:tcPr>
          <w:p w14:paraId="31E05064" w14:textId="77777777" w:rsidR="00033347" w:rsidRPr="001C42C5" w:rsidRDefault="00033347">
            <w:pPr>
              <w:jc w:val="center"/>
              <w:rPr>
                <w:rFonts w:ascii="Arial" w:hAnsi="Arial" w:cs="Arial"/>
                <w:b/>
                <w:bCs/>
                <w:sz w:val="20"/>
                <w:szCs w:val="20"/>
              </w:rPr>
            </w:pPr>
            <w:r w:rsidRPr="001C42C5">
              <w:rPr>
                <w:rFonts w:ascii="Arial" w:hAnsi="Arial" w:cs="Arial"/>
                <w:b/>
                <w:bCs/>
                <w:sz w:val="20"/>
                <w:szCs w:val="20"/>
              </w:rPr>
              <w:t>48</w:t>
            </w:r>
          </w:p>
        </w:tc>
        <w:tc>
          <w:tcPr>
            <w:tcW w:w="3305" w:type="dxa"/>
            <w:gridSpan w:val="2"/>
            <w:tcBorders>
              <w:top w:val="nil"/>
              <w:left w:val="nil"/>
              <w:bottom w:val="single" w:sz="4" w:space="0" w:color="auto"/>
              <w:right w:val="single" w:sz="4" w:space="0" w:color="auto"/>
            </w:tcBorders>
            <w:noWrap/>
            <w:vAlign w:val="bottom"/>
            <w:hideMark/>
          </w:tcPr>
          <w:p w14:paraId="09CC952D" w14:textId="617E67A2" w:rsidR="00033347" w:rsidRPr="001C42C5" w:rsidRDefault="00033347" w:rsidP="00033347">
            <w:pPr>
              <w:rPr>
                <w:rFonts w:ascii="Arial" w:hAnsi="Arial" w:cs="Arial"/>
                <w:b/>
                <w:bCs/>
                <w:sz w:val="18"/>
                <w:szCs w:val="18"/>
              </w:rPr>
            </w:pPr>
            <w:r w:rsidRPr="001C42C5">
              <w:rPr>
                <w:rFonts w:ascii="Arial" w:hAnsi="Arial" w:cs="Arial"/>
                <w:b/>
                <w:bCs/>
                <w:sz w:val="20"/>
                <w:szCs w:val="20"/>
              </w:rPr>
              <w:t>Decentralizirana sredstva</w:t>
            </w:r>
            <w:r w:rsidRPr="001C42C5">
              <w:rPr>
                <w:rFonts w:ascii="Arial" w:hAnsi="Arial" w:cs="Arial"/>
                <w:sz w:val="18"/>
                <w:szCs w:val="18"/>
              </w:rPr>
              <w:t> </w:t>
            </w:r>
          </w:p>
        </w:tc>
        <w:tc>
          <w:tcPr>
            <w:tcW w:w="1476" w:type="dxa"/>
            <w:tcBorders>
              <w:top w:val="nil"/>
              <w:left w:val="nil"/>
              <w:bottom w:val="single" w:sz="4" w:space="0" w:color="auto"/>
              <w:right w:val="single" w:sz="4" w:space="0" w:color="auto"/>
            </w:tcBorders>
            <w:vAlign w:val="center"/>
            <w:hideMark/>
          </w:tcPr>
          <w:p w14:paraId="08839AEB" w14:textId="77777777" w:rsidR="00033347" w:rsidRPr="001C42C5" w:rsidRDefault="00033347">
            <w:pPr>
              <w:rPr>
                <w:rFonts w:ascii="Arial" w:hAnsi="Arial" w:cs="Arial"/>
                <w:sz w:val="20"/>
                <w:szCs w:val="20"/>
              </w:rPr>
            </w:pPr>
            <w:r w:rsidRPr="001C42C5">
              <w:rPr>
                <w:rFonts w:ascii="Arial" w:hAnsi="Arial" w:cs="Arial"/>
                <w:sz w:val="20"/>
                <w:szCs w:val="20"/>
              </w:rPr>
              <w:t> </w:t>
            </w:r>
          </w:p>
        </w:tc>
        <w:tc>
          <w:tcPr>
            <w:tcW w:w="1476" w:type="dxa"/>
            <w:tcBorders>
              <w:top w:val="nil"/>
              <w:left w:val="nil"/>
              <w:bottom w:val="single" w:sz="4" w:space="0" w:color="auto"/>
              <w:right w:val="single" w:sz="4" w:space="0" w:color="auto"/>
            </w:tcBorders>
            <w:vAlign w:val="center"/>
            <w:hideMark/>
          </w:tcPr>
          <w:p w14:paraId="3BDAEC5C" w14:textId="77777777" w:rsidR="00033347" w:rsidRPr="001C42C5" w:rsidRDefault="00033347">
            <w:pPr>
              <w:rPr>
                <w:rFonts w:ascii="Arial" w:hAnsi="Arial" w:cs="Arial"/>
                <w:sz w:val="20"/>
                <w:szCs w:val="20"/>
              </w:rPr>
            </w:pPr>
            <w:r w:rsidRPr="001C42C5">
              <w:rPr>
                <w:rFonts w:ascii="Arial" w:hAnsi="Arial" w:cs="Arial"/>
                <w:sz w:val="20"/>
                <w:szCs w:val="20"/>
              </w:rPr>
              <w:t> </w:t>
            </w:r>
          </w:p>
        </w:tc>
        <w:tc>
          <w:tcPr>
            <w:tcW w:w="1476" w:type="dxa"/>
            <w:tcBorders>
              <w:top w:val="nil"/>
              <w:left w:val="nil"/>
              <w:bottom w:val="single" w:sz="4" w:space="0" w:color="auto"/>
              <w:right w:val="single" w:sz="4" w:space="0" w:color="auto"/>
            </w:tcBorders>
            <w:vAlign w:val="center"/>
            <w:hideMark/>
          </w:tcPr>
          <w:p w14:paraId="58AA47BB" w14:textId="77777777" w:rsidR="00033347" w:rsidRPr="001C42C5" w:rsidRDefault="00033347">
            <w:pPr>
              <w:rPr>
                <w:rFonts w:ascii="Arial" w:hAnsi="Arial" w:cs="Arial"/>
                <w:sz w:val="20"/>
                <w:szCs w:val="20"/>
              </w:rPr>
            </w:pPr>
            <w:r w:rsidRPr="001C42C5">
              <w:rPr>
                <w:rFonts w:ascii="Arial" w:hAnsi="Arial" w:cs="Arial"/>
                <w:sz w:val="20"/>
                <w:szCs w:val="20"/>
              </w:rPr>
              <w:t> </w:t>
            </w:r>
          </w:p>
        </w:tc>
        <w:tc>
          <w:tcPr>
            <w:tcW w:w="889" w:type="dxa"/>
            <w:tcBorders>
              <w:top w:val="nil"/>
              <w:left w:val="nil"/>
              <w:bottom w:val="single" w:sz="4" w:space="0" w:color="auto"/>
              <w:right w:val="single" w:sz="4" w:space="0" w:color="auto"/>
            </w:tcBorders>
            <w:vAlign w:val="center"/>
            <w:hideMark/>
          </w:tcPr>
          <w:p w14:paraId="178EC79F" w14:textId="77777777" w:rsidR="00033347" w:rsidRPr="001C42C5" w:rsidRDefault="00033347">
            <w:pPr>
              <w:rPr>
                <w:rFonts w:ascii="Arial" w:hAnsi="Arial" w:cs="Arial"/>
                <w:sz w:val="20"/>
                <w:szCs w:val="20"/>
              </w:rPr>
            </w:pPr>
            <w:r w:rsidRPr="001C42C5">
              <w:rPr>
                <w:rFonts w:ascii="Arial" w:hAnsi="Arial" w:cs="Arial"/>
                <w:sz w:val="20"/>
                <w:szCs w:val="20"/>
              </w:rPr>
              <w:t> </w:t>
            </w:r>
          </w:p>
        </w:tc>
        <w:tc>
          <w:tcPr>
            <w:tcW w:w="889" w:type="dxa"/>
            <w:tcBorders>
              <w:top w:val="nil"/>
              <w:left w:val="nil"/>
              <w:bottom w:val="single" w:sz="4" w:space="0" w:color="auto"/>
              <w:right w:val="single" w:sz="4" w:space="0" w:color="auto"/>
            </w:tcBorders>
            <w:noWrap/>
            <w:vAlign w:val="bottom"/>
            <w:hideMark/>
          </w:tcPr>
          <w:p w14:paraId="5B8CEDCF" w14:textId="77777777" w:rsidR="00033347" w:rsidRPr="001C42C5" w:rsidRDefault="00033347">
            <w:pPr>
              <w:rPr>
                <w:rFonts w:ascii="Calibri" w:hAnsi="Calibri" w:cs="Calibri"/>
                <w:sz w:val="22"/>
                <w:szCs w:val="22"/>
              </w:rPr>
            </w:pPr>
            <w:r w:rsidRPr="001C42C5">
              <w:rPr>
                <w:rFonts w:ascii="Calibri" w:hAnsi="Calibri" w:cs="Calibri"/>
                <w:sz w:val="22"/>
                <w:szCs w:val="22"/>
              </w:rPr>
              <w:t> </w:t>
            </w:r>
          </w:p>
        </w:tc>
        <w:tc>
          <w:tcPr>
            <w:tcW w:w="219" w:type="dxa"/>
            <w:vAlign w:val="center"/>
            <w:hideMark/>
          </w:tcPr>
          <w:p w14:paraId="488C103D" w14:textId="77777777" w:rsidR="00033347" w:rsidRPr="001C42C5" w:rsidRDefault="00033347">
            <w:pPr>
              <w:rPr>
                <w:sz w:val="20"/>
                <w:szCs w:val="20"/>
              </w:rPr>
            </w:pPr>
          </w:p>
        </w:tc>
      </w:tr>
      <w:tr w:rsidR="001C42C5" w:rsidRPr="001C42C5" w14:paraId="0686672F" w14:textId="77777777" w:rsidTr="00033347">
        <w:trPr>
          <w:trHeight w:val="245"/>
          <w:jc w:val="center"/>
        </w:trPr>
        <w:tc>
          <w:tcPr>
            <w:tcW w:w="821" w:type="dxa"/>
            <w:tcBorders>
              <w:top w:val="nil"/>
              <w:left w:val="single" w:sz="4" w:space="0" w:color="auto"/>
              <w:bottom w:val="single" w:sz="4" w:space="0" w:color="auto"/>
              <w:right w:val="single" w:sz="4" w:space="0" w:color="auto"/>
            </w:tcBorders>
            <w:noWrap/>
            <w:vAlign w:val="bottom"/>
            <w:hideMark/>
          </w:tcPr>
          <w:p w14:paraId="0627496A" w14:textId="77777777" w:rsidR="005917B5" w:rsidRPr="001C42C5" w:rsidRDefault="005917B5">
            <w:pPr>
              <w:jc w:val="center"/>
              <w:rPr>
                <w:rFonts w:ascii="Arial" w:hAnsi="Arial" w:cs="Arial"/>
                <w:sz w:val="20"/>
                <w:szCs w:val="20"/>
              </w:rPr>
            </w:pPr>
            <w:r w:rsidRPr="001C42C5">
              <w:rPr>
                <w:rFonts w:ascii="Arial" w:hAnsi="Arial" w:cs="Arial"/>
                <w:sz w:val="20"/>
                <w:szCs w:val="20"/>
              </w:rPr>
              <w:t> </w:t>
            </w:r>
          </w:p>
        </w:tc>
        <w:tc>
          <w:tcPr>
            <w:tcW w:w="2252" w:type="dxa"/>
            <w:tcBorders>
              <w:top w:val="nil"/>
              <w:left w:val="nil"/>
              <w:bottom w:val="single" w:sz="4" w:space="0" w:color="auto"/>
              <w:right w:val="nil"/>
            </w:tcBorders>
            <w:noWrap/>
            <w:vAlign w:val="bottom"/>
            <w:hideMark/>
          </w:tcPr>
          <w:p w14:paraId="2C38154A" w14:textId="77777777" w:rsidR="005917B5" w:rsidRPr="001C42C5" w:rsidRDefault="005917B5">
            <w:pPr>
              <w:rPr>
                <w:rFonts w:ascii="Arial" w:hAnsi="Arial" w:cs="Arial"/>
                <w:sz w:val="18"/>
                <w:szCs w:val="18"/>
              </w:rPr>
            </w:pPr>
            <w:r w:rsidRPr="001C42C5">
              <w:rPr>
                <w:rFonts w:ascii="Arial" w:hAnsi="Arial" w:cs="Arial"/>
                <w:sz w:val="18"/>
                <w:szCs w:val="18"/>
              </w:rPr>
              <w:t>PRIHODI</w:t>
            </w:r>
          </w:p>
        </w:tc>
        <w:tc>
          <w:tcPr>
            <w:tcW w:w="1053" w:type="dxa"/>
            <w:tcBorders>
              <w:top w:val="nil"/>
              <w:left w:val="nil"/>
              <w:bottom w:val="single" w:sz="4" w:space="0" w:color="auto"/>
              <w:right w:val="single" w:sz="4" w:space="0" w:color="auto"/>
            </w:tcBorders>
            <w:noWrap/>
            <w:vAlign w:val="bottom"/>
            <w:hideMark/>
          </w:tcPr>
          <w:p w14:paraId="7E95910B" w14:textId="77777777" w:rsidR="005917B5" w:rsidRPr="001C42C5" w:rsidRDefault="005917B5">
            <w:pPr>
              <w:rPr>
                <w:rFonts w:ascii="Arial" w:hAnsi="Arial" w:cs="Arial"/>
                <w:sz w:val="20"/>
                <w:szCs w:val="20"/>
              </w:rPr>
            </w:pPr>
            <w:r w:rsidRPr="001C42C5">
              <w:rPr>
                <w:rFonts w:ascii="Arial" w:hAnsi="Arial" w:cs="Arial"/>
                <w:sz w:val="20"/>
                <w:szCs w:val="20"/>
              </w:rPr>
              <w:t> </w:t>
            </w:r>
          </w:p>
        </w:tc>
        <w:tc>
          <w:tcPr>
            <w:tcW w:w="1476" w:type="dxa"/>
            <w:tcBorders>
              <w:top w:val="nil"/>
              <w:left w:val="nil"/>
              <w:bottom w:val="single" w:sz="4" w:space="0" w:color="auto"/>
              <w:right w:val="single" w:sz="4" w:space="0" w:color="auto"/>
            </w:tcBorders>
            <w:vAlign w:val="center"/>
            <w:hideMark/>
          </w:tcPr>
          <w:p w14:paraId="4AEA590B" w14:textId="77777777" w:rsidR="005917B5" w:rsidRPr="001C42C5" w:rsidRDefault="005917B5">
            <w:pPr>
              <w:jc w:val="right"/>
              <w:rPr>
                <w:rFonts w:ascii="Arial" w:hAnsi="Arial" w:cs="Arial"/>
                <w:sz w:val="20"/>
                <w:szCs w:val="20"/>
              </w:rPr>
            </w:pPr>
            <w:r w:rsidRPr="001C42C5">
              <w:rPr>
                <w:rFonts w:ascii="Arial" w:hAnsi="Arial" w:cs="Arial"/>
                <w:sz w:val="20"/>
                <w:szCs w:val="20"/>
              </w:rPr>
              <w:t>693.550,00</w:t>
            </w:r>
          </w:p>
        </w:tc>
        <w:tc>
          <w:tcPr>
            <w:tcW w:w="1476" w:type="dxa"/>
            <w:tcBorders>
              <w:top w:val="nil"/>
              <w:left w:val="nil"/>
              <w:bottom w:val="single" w:sz="4" w:space="0" w:color="auto"/>
              <w:right w:val="single" w:sz="4" w:space="0" w:color="auto"/>
            </w:tcBorders>
            <w:vAlign w:val="center"/>
            <w:hideMark/>
          </w:tcPr>
          <w:p w14:paraId="1B66D330" w14:textId="77777777" w:rsidR="005917B5" w:rsidRPr="001C42C5" w:rsidRDefault="005917B5">
            <w:pPr>
              <w:jc w:val="right"/>
              <w:rPr>
                <w:rFonts w:ascii="Arial" w:hAnsi="Arial" w:cs="Arial"/>
                <w:sz w:val="20"/>
                <w:szCs w:val="20"/>
              </w:rPr>
            </w:pPr>
            <w:r w:rsidRPr="001C42C5">
              <w:rPr>
                <w:rFonts w:ascii="Arial" w:hAnsi="Arial" w:cs="Arial"/>
                <w:sz w:val="20"/>
                <w:szCs w:val="20"/>
              </w:rPr>
              <w:t>728.228,00</w:t>
            </w:r>
          </w:p>
        </w:tc>
        <w:tc>
          <w:tcPr>
            <w:tcW w:w="1476" w:type="dxa"/>
            <w:tcBorders>
              <w:top w:val="nil"/>
              <w:left w:val="nil"/>
              <w:bottom w:val="single" w:sz="4" w:space="0" w:color="auto"/>
              <w:right w:val="single" w:sz="4" w:space="0" w:color="auto"/>
            </w:tcBorders>
            <w:vAlign w:val="center"/>
            <w:hideMark/>
          </w:tcPr>
          <w:p w14:paraId="52C0AA42" w14:textId="77777777" w:rsidR="005917B5" w:rsidRPr="001C42C5" w:rsidRDefault="005917B5">
            <w:pPr>
              <w:jc w:val="right"/>
              <w:rPr>
                <w:rFonts w:ascii="Arial" w:hAnsi="Arial" w:cs="Arial"/>
                <w:sz w:val="20"/>
                <w:szCs w:val="20"/>
              </w:rPr>
            </w:pPr>
            <w:r w:rsidRPr="001C42C5">
              <w:rPr>
                <w:rFonts w:ascii="Arial" w:hAnsi="Arial" w:cs="Arial"/>
                <w:sz w:val="20"/>
                <w:szCs w:val="20"/>
              </w:rPr>
              <w:t>728.228,00</w:t>
            </w:r>
          </w:p>
        </w:tc>
        <w:tc>
          <w:tcPr>
            <w:tcW w:w="889" w:type="dxa"/>
            <w:tcBorders>
              <w:top w:val="nil"/>
              <w:left w:val="nil"/>
              <w:bottom w:val="single" w:sz="4" w:space="0" w:color="auto"/>
              <w:right w:val="single" w:sz="4" w:space="0" w:color="auto"/>
            </w:tcBorders>
            <w:vAlign w:val="center"/>
            <w:hideMark/>
          </w:tcPr>
          <w:p w14:paraId="44508D4E" w14:textId="77777777" w:rsidR="005917B5" w:rsidRPr="001C42C5" w:rsidRDefault="005917B5">
            <w:pPr>
              <w:jc w:val="right"/>
              <w:rPr>
                <w:rFonts w:ascii="Arial" w:hAnsi="Arial" w:cs="Arial"/>
                <w:sz w:val="20"/>
                <w:szCs w:val="20"/>
              </w:rPr>
            </w:pPr>
            <w:r w:rsidRPr="001C42C5">
              <w:rPr>
                <w:rFonts w:ascii="Arial" w:hAnsi="Arial" w:cs="Arial"/>
                <w:sz w:val="20"/>
                <w:szCs w:val="20"/>
              </w:rPr>
              <w:t>105%</w:t>
            </w:r>
          </w:p>
        </w:tc>
        <w:tc>
          <w:tcPr>
            <w:tcW w:w="889" w:type="dxa"/>
            <w:tcBorders>
              <w:top w:val="nil"/>
              <w:left w:val="nil"/>
              <w:bottom w:val="single" w:sz="4" w:space="0" w:color="auto"/>
              <w:right w:val="single" w:sz="4" w:space="0" w:color="auto"/>
            </w:tcBorders>
            <w:noWrap/>
            <w:vAlign w:val="bottom"/>
            <w:hideMark/>
          </w:tcPr>
          <w:p w14:paraId="6149AF51" w14:textId="77777777" w:rsidR="005917B5" w:rsidRPr="001C42C5" w:rsidRDefault="005917B5">
            <w:pPr>
              <w:jc w:val="right"/>
              <w:rPr>
                <w:rFonts w:ascii="Calibri" w:hAnsi="Calibri" w:cs="Calibri"/>
                <w:sz w:val="22"/>
                <w:szCs w:val="22"/>
              </w:rPr>
            </w:pPr>
            <w:r w:rsidRPr="001C42C5">
              <w:rPr>
                <w:rFonts w:ascii="Calibri" w:hAnsi="Calibri" w:cs="Calibri"/>
                <w:sz w:val="22"/>
                <w:szCs w:val="22"/>
              </w:rPr>
              <w:t>100%</w:t>
            </w:r>
          </w:p>
        </w:tc>
        <w:tc>
          <w:tcPr>
            <w:tcW w:w="219" w:type="dxa"/>
            <w:vAlign w:val="center"/>
            <w:hideMark/>
          </w:tcPr>
          <w:p w14:paraId="62D7A94A" w14:textId="77777777" w:rsidR="005917B5" w:rsidRPr="001C42C5" w:rsidRDefault="005917B5">
            <w:pPr>
              <w:rPr>
                <w:sz w:val="20"/>
                <w:szCs w:val="20"/>
              </w:rPr>
            </w:pPr>
          </w:p>
        </w:tc>
      </w:tr>
      <w:tr w:rsidR="001C42C5" w:rsidRPr="001C42C5" w14:paraId="7C6F425C" w14:textId="77777777" w:rsidTr="00033347">
        <w:trPr>
          <w:trHeight w:val="245"/>
          <w:jc w:val="center"/>
        </w:trPr>
        <w:tc>
          <w:tcPr>
            <w:tcW w:w="821" w:type="dxa"/>
            <w:tcBorders>
              <w:top w:val="nil"/>
              <w:left w:val="single" w:sz="4" w:space="0" w:color="auto"/>
              <w:bottom w:val="single" w:sz="4" w:space="0" w:color="auto"/>
              <w:right w:val="single" w:sz="4" w:space="0" w:color="auto"/>
            </w:tcBorders>
            <w:noWrap/>
            <w:vAlign w:val="bottom"/>
            <w:hideMark/>
          </w:tcPr>
          <w:p w14:paraId="6D312DBE" w14:textId="77777777" w:rsidR="005917B5" w:rsidRPr="001C42C5" w:rsidRDefault="005917B5">
            <w:pPr>
              <w:jc w:val="center"/>
              <w:rPr>
                <w:rFonts w:ascii="Arial" w:hAnsi="Arial" w:cs="Arial"/>
                <w:sz w:val="20"/>
                <w:szCs w:val="20"/>
              </w:rPr>
            </w:pPr>
            <w:r w:rsidRPr="001C42C5">
              <w:rPr>
                <w:rFonts w:ascii="Arial" w:hAnsi="Arial" w:cs="Arial"/>
                <w:sz w:val="20"/>
                <w:szCs w:val="20"/>
              </w:rPr>
              <w:t> </w:t>
            </w:r>
          </w:p>
        </w:tc>
        <w:tc>
          <w:tcPr>
            <w:tcW w:w="2252" w:type="dxa"/>
            <w:tcBorders>
              <w:top w:val="nil"/>
              <w:left w:val="nil"/>
              <w:bottom w:val="single" w:sz="4" w:space="0" w:color="auto"/>
              <w:right w:val="nil"/>
            </w:tcBorders>
            <w:noWrap/>
            <w:vAlign w:val="bottom"/>
            <w:hideMark/>
          </w:tcPr>
          <w:p w14:paraId="12B4D0A8" w14:textId="77777777" w:rsidR="005917B5" w:rsidRPr="001C42C5" w:rsidRDefault="005917B5">
            <w:pPr>
              <w:rPr>
                <w:rFonts w:ascii="Arial" w:hAnsi="Arial" w:cs="Arial"/>
                <w:sz w:val="18"/>
                <w:szCs w:val="18"/>
              </w:rPr>
            </w:pPr>
            <w:r w:rsidRPr="001C42C5">
              <w:rPr>
                <w:rFonts w:ascii="Arial" w:hAnsi="Arial" w:cs="Arial"/>
                <w:sz w:val="18"/>
                <w:szCs w:val="18"/>
              </w:rPr>
              <w:t>RASHODI</w:t>
            </w:r>
          </w:p>
        </w:tc>
        <w:tc>
          <w:tcPr>
            <w:tcW w:w="1053" w:type="dxa"/>
            <w:tcBorders>
              <w:top w:val="nil"/>
              <w:left w:val="nil"/>
              <w:bottom w:val="single" w:sz="4" w:space="0" w:color="auto"/>
              <w:right w:val="single" w:sz="4" w:space="0" w:color="auto"/>
            </w:tcBorders>
            <w:noWrap/>
            <w:vAlign w:val="bottom"/>
            <w:hideMark/>
          </w:tcPr>
          <w:p w14:paraId="3DB56F9C" w14:textId="77777777" w:rsidR="005917B5" w:rsidRPr="001C42C5" w:rsidRDefault="005917B5">
            <w:pPr>
              <w:rPr>
                <w:rFonts w:ascii="Arial" w:hAnsi="Arial" w:cs="Arial"/>
                <w:sz w:val="20"/>
                <w:szCs w:val="20"/>
              </w:rPr>
            </w:pPr>
            <w:r w:rsidRPr="001C42C5">
              <w:rPr>
                <w:rFonts w:ascii="Arial" w:hAnsi="Arial" w:cs="Arial"/>
                <w:sz w:val="20"/>
                <w:szCs w:val="20"/>
              </w:rPr>
              <w:t> </w:t>
            </w:r>
          </w:p>
        </w:tc>
        <w:tc>
          <w:tcPr>
            <w:tcW w:w="1476" w:type="dxa"/>
            <w:tcBorders>
              <w:top w:val="nil"/>
              <w:left w:val="nil"/>
              <w:bottom w:val="single" w:sz="4" w:space="0" w:color="auto"/>
              <w:right w:val="single" w:sz="4" w:space="0" w:color="auto"/>
            </w:tcBorders>
            <w:vAlign w:val="center"/>
            <w:hideMark/>
          </w:tcPr>
          <w:p w14:paraId="74877E73" w14:textId="77777777" w:rsidR="005917B5" w:rsidRPr="001C42C5" w:rsidRDefault="005917B5">
            <w:pPr>
              <w:jc w:val="right"/>
              <w:rPr>
                <w:rFonts w:ascii="Arial" w:hAnsi="Arial" w:cs="Arial"/>
                <w:sz w:val="20"/>
                <w:szCs w:val="20"/>
              </w:rPr>
            </w:pPr>
            <w:r w:rsidRPr="001C42C5">
              <w:rPr>
                <w:rFonts w:ascii="Arial" w:hAnsi="Arial" w:cs="Arial"/>
                <w:sz w:val="20"/>
                <w:szCs w:val="20"/>
              </w:rPr>
              <w:t>693.550,00</w:t>
            </w:r>
          </w:p>
        </w:tc>
        <w:tc>
          <w:tcPr>
            <w:tcW w:w="1476" w:type="dxa"/>
            <w:tcBorders>
              <w:top w:val="nil"/>
              <w:left w:val="nil"/>
              <w:bottom w:val="single" w:sz="4" w:space="0" w:color="auto"/>
              <w:right w:val="single" w:sz="4" w:space="0" w:color="auto"/>
            </w:tcBorders>
            <w:vAlign w:val="center"/>
            <w:hideMark/>
          </w:tcPr>
          <w:p w14:paraId="0D0AE642" w14:textId="77777777" w:rsidR="005917B5" w:rsidRPr="001C42C5" w:rsidRDefault="005917B5">
            <w:pPr>
              <w:jc w:val="right"/>
              <w:rPr>
                <w:rFonts w:ascii="Arial" w:hAnsi="Arial" w:cs="Arial"/>
                <w:sz w:val="20"/>
                <w:szCs w:val="20"/>
              </w:rPr>
            </w:pPr>
            <w:r w:rsidRPr="001C42C5">
              <w:rPr>
                <w:rFonts w:ascii="Arial" w:hAnsi="Arial" w:cs="Arial"/>
                <w:sz w:val="20"/>
                <w:szCs w:val="20"/>
              </w:rPr>
              <w:t>728.228,00</w:t>
            </w:r>
          </w:p>
        </w:tc>
        <w:tc>
          <w:tcPr>
            <w:tcW w:w="1476" w:type="dxa"/>
            <w:tcBorders>
              <w:top w:val="nil"/>
              <w:left w:val="nil"/>
              <w:bottom w:val="single" w:sz="4" w:space="0" w:color="auto"/>
              <w:right w:val="single" w:sz="4" w:space="0" w:color="auto"/>
            </w:tcBorders>
            <w:vAlign w:val="center"/>
            <w:hideMark/>
          </w:tcPr>
          <w:p w14:paraId="76303BC7" w14:textId="77777777" w:rsidR="005917B5" w:rsidRPr="001C42C5" w:rsidRDefault="005917B5">
            <w:pPr>
              <w:jc w:val="right"/>
              <w:rPr>
                <w:rFonts w:ascii="Arial" w:hAnsi="Arial" w:cs="Arial"/>
                <w:sz w:val="20"/>
                <w:szCs w:val="20"/>
              </w:rPr>
            </w:pPr>
            <w:r w:rsidRPr="001C42C5">
              <w:rPr>
                <w:rFonts w:ascii="Arial" w:hAnsi="Arial" w:cs="Arial"/>
                <w:sz w:val="20"/>
                <w:szCs w:val="20"/>
              </w:rPr>
              <w:t>728.228,00</w:t>
            </w:r>
          </w:p>
        </w:tc>
        <w:tc>
          <w:tcPr>
            <w:tcW w:w="889" w:type="dxa"/>
            <w:tcBorders>
              <w:top w:val="nil"/>
              <w:left w:val="nil"/>
              <w:bottom w:val="single" w:sz="4" w:space="0" w:color="auto"/>
              <w:right w:val="single" w:sz="4" w:space="0" w:color="auto"/>
            </w:tcBorders>
            <w:vAlign w:val="center"/>
            <w:hideMark/>
          </w:tcPr>
          <w:p w14:paraId="33723E46" w14:textId="77777777" w:rsidR="005917B5" w:rsidRPr="001C42C5" w:rsidRDefault="005917B5">
            <w:pPr>
              <w:jc w:val="right"/>
              <w:rPr>
                <w:rFonts w:ascii="Arial" w:hAnsi="Arial" w:cs="Arial"/>
                <w:sz w:val="20"/>
                <w:szCs w:val="20"/>
              </w:rPr>
            </w:pPr>
            <w:r w:rsidRPr="001C42C5">
              <w:rPr>
                <w:rFonts w:ascii="Arial" w:hAnsi="Arial" w:cs="Arial"/>
                <w:sz w:val="20"/>
                <w:szCs w:val="20"/>
              </w:rPr>
              <w:t>105%</w:t>
            </w:r>
          </w:p>
        </w:tc>
        <w:tc>
          <w:tcPr>
            <w:tcW w:w="889" w:type="dxa"/>
            <w:tcBorders>
              <w:top w:val="nil"/>
              <w:left w:val="nil"/>
              <w:bottom w:val="single" w:sz="4" w:space="0" w:color="auto"/>
              <w:right w:val="single" w:sz="4" w:space="0" w:color="auto"/>
            </w:tcBorders>
            <w:noWrap/>
            <w:vAlign w:val="bottom"/>
            <w:hideMark/>
          </w:tcPr>
          <w:p w14:paraId="40CBDC5F" w14:textId="77777777" w:rsidR="005917B5" w:rsidRPr="001C42C5" w:rsidRDefault="005917B5">
            <w:pPr>
              <w:jc w:val="right"/>
              <w:rPr>
                <w:rFonts w:ascii="Calibri" w:hAnsi="Calibri" w:cs="Calibri"/>
                <w:sz w:val="22"/>
                <w:szCs w:val="22"/>
              </w:rPr>
            </w:pPr>
            <w:r w:rsidRPr="001C42C5">
              <w:rPr>
                <w:rFonts w:ascii="Calibri" w:hAnsi="Calibri" w:cs="Calibri"/>
                <w:sz w:val="22"/>
                <w:szCs w:val="22"/>
              </w:rPr>
              <w:t>100%</w:t>
            </w:r>
          </w:p>
        </w:tc>
        <w:tc>
          <w:tcPr>
            <w:tcW w:w="219" w:type="dxa"/>
            <w:vAlign w:val="center"/>
            <w:hideMark/>
          </w:tcPr>
          <w:p w14:paraId="67D1F34A" w14:textId="77777777" w:rsidR="005917B5" w:rsidRPr="001C42C5" w:rsidRDefault="005917B5">
            <w:pPr>
              <w:rPr>
                <w:sz w:val="20"/>
                <w:szCs w:val="20"/>
              </w:rPr>
            </w:pPr>
          </w:p>
        </w:tc>
      </w:tr>
      <w:tr w:rsidR="001C42C5" w:rsidRPr="001C42C5" w14:paraId="47B9F2BD" w14:textId="77777777" w:rsidTr="00033347">
        <w:trPr>
          <w:trHeight w:val="245"/>
          <w:jc w:val="center"/>
        </w:trPr>
        <w:tc>
          <w:tcPr>
            <w:tcW w:w="821" w:type="dxa"/>
            <w:tcBorders>
              <w:top w:val="nil"/>
              <w:left w:val="single" w:sz="4" w:space="0" w:color="auto"/>
              <w:bottom w:val="single" w:sz="4" w:space="0" w:color="auto"/>
              <w:right w:val="single" w:sz="4" w:space="0" w:color="auto"/>
            </w:tcBorders>
            <w:noWrap/>
            <w:vAlign w:val="bottom"/>
            <w:hideMark/>
          </w:tcPr>
          <w:p w14:paraId="5351B384" w14:textId="77777777" w:rsidR="005917B5" w:rsidRPr="001C42C5" w:rsidRDefault="005917B5">
            <w:pPr>
              <w:jc w:val="center"/>
              <w:rPr>
                <w:rFonts w:ascii="Arial" w:hAnsi="Arial" w:cs="Arial"/>
                <w:sz w:val="20"/>
                <w:szCs w:val="20"/>
              </w:rPr>
            </w:pPr>
            <w:r w:rsidRPr="001C42C5">
              <w:rPr>
                <w:rFonts w:ascii="Arial" w:hAnsi="Arial" w:cs="Arial"/>
                <w:sz w:val="20"/>
                <w:szCs w:val="20"/>
              </w:rPr>
              <w:t> </w:t>
            </w:r>
          </w:p>
        </w:tc>
        <w:tc>
          <w:tcPr>
            <w:tcW w:w="2252" w:type="dxa"/>
            <w:tcBorders>
              <w:top w:val="nil"/>
              <w:left w:val="nil"/>
              <w:bottom w:val="single" w:sz="4" w:space="0" w:color="auto"/>
              <w:right w:val="nil"/>
            </w:tcBorders>
            <w:noWrap/>
            <w:vAlign w:val="bottom"/>
            <w:hideMark/>
          </w:tcPr>
          <w:p w14:paraId="00609E9B" w14:textId="77777777" w:rsidR="005917B5" w:rsidRPr="001C42C5" w:rsidRDefault="005917B5">
            <w:pPr>
              <w:rPr>
                <w:rFonts w:ascii="Arial" w:hAnsi="Arial" w:cs="Arial"/>
                <w:sz w:val="18"/>
                <w:szCs w:val="18"/>
              </w:rPr>
            </w:pPr>
            <w:r w:rsidRPr="001C42C5">
              <w:rPr>
                <w:rFonts w:ascii="Arial" w:hAnsi="Arial" w:cs="Arial"/>
                <w:sz w:val="18"/>
                <w:szCs w:val="18"/>
              </w:rPr>
              <w:t> </w:t>
            </w:r>
          </w:p>
        </w:tc>
        <w:tc>
          <w:tcPr>
            <w:tcW w:w="1053" w:type="dxa"/>
            <w:tcBorders>
              <w:top w:val="nil"/>
              <w:left w:val="nil"/>
              <w:bottom w:val="single" w:sz="4" w:space="0" w:color="auto"/>
              <w:right w:val="single" w:sz="4" w:space="0" w:color="auto"/>
            </w:tcBorders>
            <w:noWrap/>
            <w:vAlign w:val="bottom"/>
            <w:hideMark/>
          </w:tcPr>
          <w:p w14:paraId="15B15702" w14:textId="7726C6B7" w:rsidR="005917B5" w:rsidRPr="001C42C5" w:rsidRDefault="004C49AC">
            <w:pPr>
              <w:jc w:val="right"/>
              <w:rPr>
                <w:rFonts w:ascii="Arial" w:hAnsi="Arial" w:cs="Arial"/>
                <w:sz w:val="18"/>
                <w:szCs w:val="18"/>
              </w:rPr>
            </w:pPr>
            <w:r w:rsidRPr="001C42C5">
              <w:rPr>
                <w:rFonts w:ascii="Arial" w:hAnsi="Arial" w:cs="Arial"/>
                <w:sz w:val="18"/>
                <w:szCs w:val="18"/>
              </w:rPr>
              <w:t>REZULTAT</w:t>
            </w:r>
          </w:p>
        </w:tc>
        <w:tc>
          <w:tcPr>
            <w:tcW w:w="1476" w:type="dxa"/>
            <w:tcBorders>
              <w:top w:val="nil"/>
              <w:left w:val="nil"/>
              <w:bottom w:val="single" w:sz="4" w:space="0" w:color="auto"/>
              <w:right w:val="single" w:sz="4" w:space="0" w:color="auto"/>
            </w:tcBorders>
            <w:vAlign w:val="center"/>
            <w:hideMark/>
          </w:tcPr>
          <w:p w14:paraId="4F63B222" w14:textId="77777777" w:rsidR="005917B5" w:rsidRPr="001C42C5" w:rsidRDefault="005917B5">
            <w:pPr>
              <w:jc w:val="right"/>
              <w:rPr>
                <w:rFonts w:ascii="Arial" w:hAnsi="Arial" w:cs="Arial"/>
                <w:sz w:val="20"/>
                <w:szCs w:val="20"/>
              </w:rPr>
            </w:pPr>
            <w:r w:rsidRPr="001C42C5">
              <w:rPr>
                <w:rFonts w:ascii="Arial" w:hAnsi="Arial" w:cs="Arial"/>
                <w:sz w:val="20"/>
                <w:szCs w:val="20"/>
              </w:rPr>
              <w:t>0,00</w:t>
            </w:r>
          </w:p>
        </w:tc>
        <w:tc>
          <w:tcPr>
            <w:tcW w:w="1476" w:type="dxa"/>
            <w:tcBorders>
              <w:top w:val="nil"/>
              <w:left w:val="nil"/>
              <w:bottom w:val="single" w:sz="4" w:space="0" w:color="auto"/>
              <w:right w:val="single" w:sz="4" w:space="0" w:color="auto"/>
            </w:tcBorders>
            <w:vAlign w:val="center"/>
            <w:hideMark/>
          </w:tcPr>
          <w:p w14:paraId="3EB5925B" w14:textId="77777777" w:rsidR="005917B5" w:rsidRPr="001C42C5" w:rsidRDefault="005917B5">
            <w:pPr>
              <w:jc w:val="right"/>
              <w:rPr>
                <w:rFonts w:ascii="Arial" w:hAnsi="Arial" w:cs="Arial"/>
                <w:sz w:val="20"/>
                <w:szCs w:val="20"/>
              </w:rPr>
            </w:pPr>
            <w:r w:rsidRPr="001C42C5">
              <w:rPr>
                <w:rFonts w:ascii="Arial" w:hAnsi="Arial" w:cs="Arial"/>
                <w:sz w:val="20"/>
                <w:szCs w:val="20"/>
              </w:rPr>
              <w:t>0,00</w:t>
            </w:r>
          </w:p>
        </w:tc>
        <w:tc>
          <w:tcPr>
            <w:tcW w:w="1476" w:type="dxa"/>
            <w:tcBorders>
              <w:top w:val="nil"/>
              <w:left w:val="nil"/>
              <w:bottom w:val="single" w:sz="4" w:space="0" w:color="auto"/>
              <w:right w:val="single" w:sz="4" w:space="0" w:color="auto"/>
            </w:tcBorders>
            <w:vAlign w:val="center"/>
            <w:hideMark/>
          </w:tcPr>
          <w:p w14:paraId="56BC8E77" w14:textId="77777777" w:rsidR="005917B5" w:rsidRPr="001C42C5" w:rsidRDefault="005917B5">
            <w:pPr>
              <w:jc w:val="right"/>
              <w:rPr>
                <w:rFonts w:ascii="Arial" w:hAnsi="Arial" w:cs="Arial"/>
                <w:sz w:val="20"/>
                <w:szCs w:val="20"/>
              </w:rPr>
            </w:pPr>
            <w:r w:rsidRPr="001C42C5">
              <w:rPr>
                <w:rFonts w:ascii="Arial" w:hAnsi="Arial" w:cs="Arial"/>
                <w:sz w:val="20"/>
                <w:szCs w:val="20"/>
              </w:rPr>
              <w:t>0,00</w:t>
            </w:r>
          </w:p>
        </w:tc>
        <w:tc>
          <w:tcPr>
            <w:tcW w:w="889" w:type="dxa"/>
            <w:tcBorders>
              <w:top w:val="nil"/>
              <w:left w:val="nil"/>
              <w:bottom w:val="single" w:sz="4" w:space="0" w:color="auto"/>
              <w:right w:val="single" w:sz="4" w:space="0" w:color="auto"/>
            </w:tcBorders>
            <w:vAlign w:val="center"/>
            <w:hideMark/>
          </w:tcPr>
          <w:p w14:paraId="1AB24A2B" w14:textId="77777777" w:rsidR="005917B5" w:rsidRPr="001C42C5" w:rsidRDefault="005917B5">
            <w:pPr>
              <w:rPr>
                <w:rFonts w:ascii="Arial" w:hAnsi="Arial" w:cs="Arial"/>
                <w:sz w:val="20"/>
                <w:szCs w:val="20"/>
              </w:rPr>
            </w:pPr>
            <w:r w:rsidRPr="001C42C5">
              <w:rPr>
                <w:rFonts w:ascii="Arial" w:hAnsi="Arial" w:cs="Arial"/>
                <w:sz w:val="20"/>
                <w:szCs w:val="20"/>
              </w:rPr>
              <w:t> </w:t>
            </w:r>
          </w:p>
        </w:tc>
        <w:tc>
          <w:tcPr>
            <w:tcW w:w="889" w:type="dxa"/>
            <w:tcBorders>
              <w:top w:val="nil"/>
              <w:left w:val="nil"/>
              <w:bottom w:val="single" w:sz="4" w:space="0" w:color="auto"/>
              <w:right w:val="single" w:sz="4" w:space="0" w:color="auto"/>
            </w:tcBorders>
            <w:noWrap/>
            <w:vAlign w:val="bottom"/>
            <w:hideMark/>
          </w:tcPr>
          <w:p w14:paraId="44D40C6B" w14:textId="77777777" w:rsidR="005917B5" w:rsidRPr="001C42C5" w:rsidRDefault="005917B5">
            <w:pPr>
              <w:rPr>
                <w:rFonts w:ascii="Calibri" w:hAnsi="Calibri" w:cs="Calibri"/>
                <w:sz w:val="22"/>
                <w:szCs w:val="22"/>
              </w:rPr>
            </w:pPr>
            <w:r w:rsidRPr="001C42C5">
              <w:rPr>
                <w:rFonts w:ascii="Calibri" w:hAnsi="Calibri" w:cs="Calibri"/>
                <w:sz w:val="22"/>
                <w:szCs w:val="22"/>
              </w:rPr>
              <w:t> </w:t>
            </w:r>
          </w:p>
        </w:tc>
        <w:tc>
          <w:tcPr>
            <w:tcW w:w="219" w:type="dxa"/>
            <w:vAlign w:val="center"/>
            <w:hideMark/>
          </w:tcPr>
          <w:p w14:paraId="15ED3293" w14:textId="77777777" w:rsidR="005917B5" w:rsidRPr="001C42C5" w:rsidRDefault="005917B5">
            <w:pPr>
              <w:rPr>
                <w:sz w:val="20"/>
                <w:szCs w:val="20"/>
              </w:rPr>
            </w:pPr>
          </w:p>
        </w:tc>
      </w:tr>
      <w:tr w:rsidR="001C42C5" w:rsidRPr="001C42C5" w14:paraId="150A727E" w14:textId="77777777" w:rsidTr="00033347">
        <w:trPr>
          <w:trHeight w:val="245"/>
          <w:jc w:val="center"/>
        </w:trPr>
        <w:tc>
          <w:tcPr>
            <w:tcW w:w="821" w:type="dxa"/>
            <w:tcBorders>
              <w:top w:val="nil"/>
              <w:left w:val="single" w:sz="4" w:space="0" w:color="auto"/>
              <w:bottom w:val="single" w:sz="4" w:space="0" w:color="auto"/>
              <w:right w:val="single" w:sz="4" w:space="0" w:color="auto"/>
            </w:tcBorders>
            <w:noWrap/>
            <w:vAlign w:val="bottom"/>
            <w:hideMark/>
          </w:tcPr>
          <w:p w14:paraId="43A2257C" w14:textId="77777777" w:rsidR="005917B5" w:rsidRPr="001C42C5" w:rsidRDefault="005917B5">
            <w:pPr>
              <w:jc w:val="center"/>
              <w:rPr>
                <w:rFonts w:ascii="Arial" w:hAnsi="Arial" w:cs="Arial"/>
                <w:b/>
                <w:bCs/>
                <w:sz w:val="20"/>
                <w:szCs w:val="20"/>
              </w:rPr>
            </w:pPr>
            <w:r w:rsidRPr="001C42C5">
              <w:rPr>
                <w:rFonts w:ascii="Arial" w:hAnsi="Arial" w:cs="Arial"/>
                <w:b/>
                <w:bCs/>
                <w:sz w:val="20"/>
                <w:szCs w:val="20"/>
              </w:rPr>
              <w:t>51</w:t>
            </w:r>
          </w:p>
        </w:tc>
        <w:tc>
          <w:tcPr>
            <w:tcW w:w="3305" w:type="dxa"/>
            <w:gridSpan w:val="2"/>
            <w:tcBorders>
              <w:top w:val="single" w:sz="4" w:space="0" w:color="auto"/>
              <w:left w:val="nil"/>
              <w:bottom w:val="single" w:sz="4" w:space="0" w:color="auto"/>
              <w:right w:val="single" w:sz="4" w:space="0" w:color="000000"/>
            </w:tcBorders>
            <w:noWrap/>
            <w:vAlign w:val="bottom"/>
            <w:hideMark/>
          </w:tcPr>
          <w:p w14:paraId="3E84E44F" w14:textId="77777777" w:rsidR="005917B5" w:rsidRPr="001C42C5" w:rsidRDefault="005917B5">
            <w:pPr>
              <w:rPr>
                <w:rFonts w:ascii="Arial" w:hAnsi="Arial" w:cs="Arial"/>
                <w:b/>
                <w:bCs/>
                <w:sz w:val="20"/>
                <w:szCs w:val="20"/>
              </w:rPr>
            </w:pPr>
            <w:r w:rsidRPr="001C42C5">
              <w:rPr>
                <w:rFonts w:ascii="Arial" w:hAnsi="Arial" w:cs="Arial"/>
                <w:b/>
                <w:bCs/>
                <w:sz w:val="20"/>
                <w:szCs w:val="20"/>
              </w:rPr>
              <w:t>EU fondovi</w:t>
            </w:r>
          </w:p>
        </w:tc>
        <w:tc>
          <w:tcPr>
            <w:tcW w:w="1476" w:type="dxa"/>
            <w:tcBorders>
              <w:top w:val="nil"/>
              <w:left w:val="nil"/>
              <w:bottom w:val="single" w:sz="4" w:space="0" w:color="auto"/>
              <w:right w:val="single" w:sz="4" w:space="0" w:color="auto"/>
            </w:tcBorders>
            <w:noWrap/>
            <w:vAlign w:val="bottom"/>
            <w:hideMark/>
          </w:tcPr>
          <w:p w14:paraId="0B377183" w14:textId="77777777" w:rsidR="005917B5" w:rsidRPr="001C42C5" w:rsidRDefault="005917B5">
            <w:pPr>
              <w:jc w:val="right"/>
              <w:rPr>
                <w:rFonts w:ascii="Arial" w:hAnsi="Arial" w:cs="Arial"/>
                <w:b/>
                <w:bCs/>
                <w:sz w:val="20"/>
                <w:szCs w:val="20"/>
              </w:rPr>
            </w:pPr>
            <w:r w:rsidRPr="001C42C5">
              <w:rPr>
                <w:rFonts w:ascii="Arial" w:hAnsi="Arial" w:cs="Arial"/>
                <w:b/>
                <w:bCs/>
                <w:sz w:val="20"/>
                <w:szCs w:val="20"/>
              </w:rPr>
              <w:t> </w:t>
            </w:r>
          </w:p>
        </w:tc>
        <w:tc>
          <w:tcPr>
            <w:tcW w:w="1476" w:type="dxa"/>
            <w:tcBorders>
              <w:top w:val="nil"/>
              <w:left w:val="nil"/>
              <w:bottom w:val="single" w:sz="4" w:space="0" w:color="auto"/>
              <w:right w:val="single" w:sz="4" w:space="0" w:color="auto"/>
            </w:tcBorders>
            <w:noWrap/>
            <w:vAlign w:val="bottom"/>
            <w:hideMark/>
          </w:tcPr>
          <w:p w14:paraId="690A54A7" w14:textId="77777777" w:rsidR="005917B5" w:rsidRPr="001C42C5" w:rsidRDefault="005917B5">
            <w:pPr>
              <w:rPr>
                <w:rFonts w:ascii="Arial" w:hAnsi="Arial" w:cs="Arial"/>
                <w:sz w:val="20"/>
                <w:szCs w:val="20"/>
              </w:rPr>
            </w:pPr>
            <w:r w:rsidRPr="001C42C5">
              <w:rPr>
                <w:rFonts w:ascii="Arial" w:hAnsi="Arial" w:cs="Arial"/>
                <w:sz w:val="20"/>
                <w:szCs w:val="20"/>
              </w:rPr>
              <w:t> </w:t>
            </w:r>
          </w:p>
        </w:tc>
        <w:tc>
          <w:tcPr>
            <w:tcW w:w="1476" w:type="dxa"/>
            <w:tcBorders>
              <w:top w:val="nil"/>
              <w:left w:val="nil"/>
              <w:bottom w:val="single" w:sz="4" w:space="0" w:color="auto"/>
              <w:right w:val="single" w:sz="4" w:space="0" w:color="auto"/>
            </w:tcBorders>
            <w:noWrap/>
            <w:vAlign w:val="bottom"/>
            <w:hideMark/>
          </w:tcPr>
          <w:p w14:paraId="4C5E6EFF" w14:textId="77777777" w:rsidR="005917B5" w:rsidRPr="001C42C5" w:rsidRDefault="005917B5">
            <w:pPr>
              <w:rPr>
                <w:rFonts w:ascii="Arial" w:hAnsi="Arial" w:cs="Arial"/>
                <w:sz w:val="20"/>
                <w:szCs w:val="20"/>
              </w:rPr>
            </w:pPr>
            <w:r w:rsidRPr="001C42C5">
              <w:rPr>
                <w:rFonts w:ascii="Arial" w:hAnsi="Arial" w:cs="Arial"/>
                <w:sz w:val="20"/>
                <w:szCs w:val="20"/>
              </w:rPr>
              <w:t> </w:t>
            </w:r>
          </w:p>
        </w:tc>
        <w:tc>
          <w:tcPr>
            <w:tcW w:w="889" w:type="dxa"/>
            <w:tcBorders>
              <w:top w:val="nil"/>
              <w:left w:val="nil"/>
              <w:bottom w:val="single" w:sz="4" w:space="0" w:color="auto"/>
              <w:right w:val="single" w:sz="4" w:space="0" w:color="auto"/>
            </w:tcBorders>
            <w:noWrap/>
            <w:vAlign w:val="bottom"/>
            <w:hideMark/>
          </w:tcPr>
          <w:p w14:paraId="5DD50ECB" w14:textId="77777777" w:rsidR="005917B5" w:rsidRPr="001C42C5" w:rsidRDefault="005917B5">
            <w:pPr>
              <w:rPr>
                <w:rFonts w:ascii="Arial" w:hAnsi="Arial" w:cs="Arial"/>
                <w:sz w:val="20"/>
                <w:szCs w:val="20"/>
              </w:rPr>
            </w:pPr>
            <w:r w:rsidRPr="001C42C5">
              <w:rPr>
                <w:rFonts w:ascii="Arial" w:hAnsi="Arial" w:cs="Arial"/>
                <w:sz w:val="20"/>
                <w:szCs w:val="20"/>
              </w:rPr>
              <w:t> </w:t>
            </w:r>
          </w:p>
        </w:tc>
        <w:tc>
          <w:tcPr>
            <w:tcW w:w="889" w:type="dxa"/>
            <w:tcBorders>
              <w:top w:val="nil"/>
              <w:left w:val="nil"/>
              <w:bottom w:val="single" w:sz="4" w:space="0" w:color="auto"/>
              <w:right w:val="single" w:sz="4" w:space="0" w:color="auto"/>
            </w:tcBorders>
            <w:noWrap/>
            <w:vAlign w:val="bottom"/>
            <w:hideMark/>
          </w:tcPr>
          <w:p w14:paraId="51A559A3" w14:textId="77777777" w:rsidR="005917B5" w:rsidRPr="001C42C5" w:rsidRDefault="005917B5">
            <w:pPr>
              <w:rPr>
                <w:rFonts w:ascii="Calibri" w:hAnsi="Calibri" w:cs="Calibri"/>
                <w:sz w:val="22"/>
                <w:szCs w:val="22"/>
              </w:rPr>
            </w:pPr>
            <w:r w:rsidRPr="001C42C5">
              <w:rPr>
                <w:rFonts w:ascii="Calibri" w:hAnsi="Calibri" w:cs="Calibri"/>
                <w:sz w:val="22"/>
                <w:szCs w:val="22"/>
              </w:rPr>
              <w:t> </w:t>
            </w:r>
          </w:p>
        </w:tc>
        <w:tc>
          <w:tcPr>
            <w:tcW w:w="219" w:type="dxa"/>
            <w:vAlign w:val="center"/>
            <w:hideMark/>
          </w:tcPr>
          <w:p w14:paraId="4F6C9E87" w14:textId="77777777" w:rsidR="005917B5" w:rsidRPr="001C42C5" w:rsidRDefault="005917B5">
            <w:pPr>
              <w:rPr>
                <w:sz w:val="20"/>
                <w:szCs w:val="20"/>
              </w:rPr>
            </w:pPr>
          </w:p>
        </w:tc>
      </w:tr>
      <w:tr w:rsidR="001C42C5" w:rsidRPr="001C42C5" w14:paraId="4E4D46FE" w14:textId="77777777" w:rsidTr="00033347">
        <w:trPr>
          <w:trHeight w:val="245"/>
          <w:jc w:val="center"/>
        </w:trPr>
        <w:tc>
          <w:tcPr>
            <w:tcW w:w="821" w:type="dxa"/>
            <w:tcBorders>
              <w:top w:val="nil"/>
              <w:left w:val="single" w:sz="4" w:space="0" w:color="auto"/>
              <w:bottom w:val="single" w:sz="4" w:space="0" w:color="auto"/>
              <w:right w:val="single" w:sz="4" w:space="0" w:color="auto"/>
            </w:tcBorders>
            <w:noWrap/>
            <w:vAlign w:val="bottom"/>
            <w:hideMark/>
          </w:tcPr>
          <w:p w14:paraId="4CD71042" w14:textId="77777777" w:rsidR="005917B5" w:rsidRPr="001C42C5" w:rsidRDefault="005917B5">
            <w:pPr>
              <w:jc w:val="center"/>
              <w:rPr>
                <w:rFonts w:ascii="Arial" w:hAnsi="Arial" w:cs="Arial"/>
                <w:sz w:val="20"/>
                <w:szCs w:val="20"/>
              </w:rPr>
            </w:pPr>
            <w:r w:rsidRPr="001C42C5">
              <w:rPr>
                <w:rFonts w:ascii="Arial" w:hAnsi="Arial" w:cs="Arial"/>
                <w:sz w:val="20"/>
                <w:szCs w:val="20"/>
              </w:rPr>
              <w:t> </w:t>
            </w:r>
          </w:p>
        </w:tc>
        <w:tc>
          <w:tcPr>
            <w:tcW w:w="2252" w:type="dxa"/>
            <w:tcBorders>
              <w:top w:val="nil"/>
              <w:left w:val="nil"/>
              <w:bottom w:val="single" w:sz="4" w:space="0" w:color="auto"/>
              <w:right w:val="nil"/>
            </w:tcBorders>
            <w:noWrap/>
            <w:vAlign w:val="bottom"/>
            <w:hideMark/>
          </w:tcPr>
          <w:p w14:paraId="71978E90" w14:textId="77777777" w:rsidR="005917B5" w:rsidRPr="001C42C5" w:rsidRDefault="005917B5">
            <w:pPr>
              <w:rPr>
                <w:rFonts w:ascii="Arial" w:hAnsi="Arial" w:cs="Arial"/>
                <w:sz w:val="18"/>
                <w:szCs w:val="18"/>
              </w:rPr>
            </w:pPr>
            <w:r w:rsidRPr="001C42C5">
              <w:rPr>
                <w:rFonts w:ascii="Arial" w:hAnsi="Arial" w:cs="Arial"/>
                <w:sz w:val="18"/>
                <w:szCs w:val="18"/>
              </w:rPr>
              <w:t>PRIHODI</w:t>
            </w:r>
          </w:p>
        </w:tc>
        <w:tc>
          <w:tcPr>
            <w:tcW w:w="1053" w:type="dxa"/>
            <w:tcBorders>
              <w:top w:val="nil"/>
              <w:left w:val="nil"/>
              <w:bottom w:val="single" w:sz="4" w:space="0" w:color="auto"/>
              <w:right w:val="single" w:sz="4" w:space="0" w:color="auto"/>
            </w:tcBorders>
            <w:noWrap/>
            <w:vAlign w:val="bottom"/>
            <w:hideMark/>
          </w:tcPr>
          <w:p w14:paraId="5E451B4E" w14:textId="77777777" w:rsidR="005917B5" w:rsidRPr="001C42C5" w:rsidRDefault="005917B5">
            <w:pPr>
              <w:rPr>
                <w:rFonts w:ascii="Arial" w:hAnsi="Arial" w:cs="Arial"/>
                <w:sz w:val="20"/>
                <w:szCs w:val="20"/>
              </w:rPr>
            </w:pPr>
            <w:r w:rsidRPr="001C42C5">
              <w:rPr>
                <w:rFonts w:ascii="Arial" w:hAnsi="Arial" w:cs="Arial"/>
                <w:sz w:val="20"/>
                <w:szCs w:val="20"/>
              </w:rPr>
              <w:t> </w:t>
            </w:r>
          </w:p>
        </w:tc>
        <w:tc>
          <w:tcPr>
            <w:tcW w:w="1476" w:type="dxa"/>
            <w:tcBorders>
              <w:top w:val="nil"/>
              <w:left w:val="nil"/>
              <w:bottom w:val="single" w:sz="4" w:space="0" w:color="auto"/>
              <w:right w:val="single" w:sz="4" w:space="0" w:color="auto"/>
            </w:tcBorders>
            <w:noWrap/>
            <w:vAlign w:val="bottom"/>
            <w:hideMark/>
          </w:tcPr>
          <w:p w14:paraId="1C3555E1" w14:textId="77777777" w:rsidR="005917B5" w:rsidRPr="001C42C5" w:rsidRDefault="005917B5">
            <w:pPr>
              <w:jc w:val="right"/>
              <w:rPr>
                <w:rFonts w:ascii="Arial" w:hAnsi="Arial" w:cs="Arial"/>
                <w:sz w:val="20"/>
                <w:szCs w:val="20"/>
              </w:rPr>
            </w:pPr>
            <w:r w:rsidRPr="001C42C5">
              <w:rPr>
                <w:rFonts w:ascii="Arial" w:hAnsi="Arial" w:cs="Arial"/>
                <w:sz w:val="20"/>
                <w:szCs w:val="20"/>
              </w:rPr>
              <w:t>1.160.460,93</w:t>
            </w:r>
          </w:p>
        </w:tc>
        <w:tc>
          <w:tcPr>
            <w:tcW w:w="1476" w:type="dxa"/>
            <w:tcBorders>
              <w:top w:val="nil"/>
              <w:left w:val="nil"/>
              <w:bottom w:val="single" w:sz="4" w:space="0" w:color="auto"/>
              <w:right w:val="single" w:sz="4" w:space="0" w:color="auto"/>
            </w:tcBorders>
            <w:noWrap/>
            <w:vAlign w:val="bottom"/>
            <w:hideMark/>
          </w:tcPr>
          <w:p w14:paraId="452C6AB6" w14:textId="77777777" w:rsidR="005917B5" w:rsidRPr="001C42C5" w:rsidRDefault="005917B5">
            <w:pPr>
              <w:jc w:val="right"/>
              <w:rPr>
                <w:rFonts w:ascii="Arial" w:hAnsi="Arial" w:cs="Arial"/>
                <w:sz w:val="20"/>
                <w:szCs w:val="20"/>
              </w:rPr>
            </w:pPr>
            <w:r w:rsidRPr="001C42C5">
              <w:rPr>
                <w:rFonts w:ascii="Arial" w:hAnsi="Arial" w:cs="Arial"/>
                <w:sz w:val="20"/>
                <w:szCs w:val="20"/>
              </w:rPr>
              <w:t>752.000,00</w:t>
            </w:r>
          </w:p>
        </w:tc>
        <w:tc>
          <w:tcPr>
            <w:tcW w:w="1476" w:type="dxa"/>
            <w:tcBorders>
              <w:top w:val="nil"/>
              <w:left w:val="nil"/>
              <w:bottom w:val="single" w:sz="4" w:space="0" w:color="auto"/>
              <w:right w:val="single" w:sz="4" w:space="0" w:color="auto"/>
            </w:tcBorders>
            <w:noWrap/>
            <w:vAlign w:val="bottom"/>
            <w:hideMark/>
          </w:tcPr>
          <w:p w14:paraId="54069704" w14:textId="77777777" w:rsidR="005917B5" w:rsidRPr="001C42C5" w:rsidRDefault="005917B5">
            <w:pPr>
              <w:jc w:val="right"/>
              <w:rPr>
                <w:rFonts w:ascii="Arial" w:hAnsi="Arial" w:cs="Arial"/>
                <w:sz w:val="20"/>
                <w:szCs w:val="20"/>
              </w:rPr>
            </w:pPr>
            <w:r w:rsidRPr="001C42C5">
              <w:rPr>
                <w:rFonts w:ascii="Arial" w:hAnsi="Arial" w:cs="Arial"/>
                <w:sz w:val="20"/>
                <w:szCs w:val="20"/>
              </w:rPr>
              <w:t>752.103,24</w:t>
            </w:r>
          </w:p>
        </w:tc>
        <w:tc>
          <w:tcPr>
            <w:tcW w:w="889" w:type="dxa"/>
            <w:tcBorders>
              <w:top w:val="nil"/>
              <w:left w:val="nil"/>
              <w:bottom w:val="single" w:sz="4" w:space="0" w:color="auto"/>
              <w:right w:val="single" w:sz="4" w:space="0" w:color="auto"/>
            </w:tcBorders>
            <w:noWrap/>
            <w:vAlign w:val="bottom"/>
            <w:hideMark/>
          </w:tcPr>
          <w:p w14:paraId="1BDC588F" w14:textId="77777777" w:rsidR="005917B5" w:rsidRPr="001C42C5" w:rsidRDefault="005917B5">
            <w:pPr>
              <w:jc w:val="right"/>
              <w:rPr>
                <w:rFonts w:ascii="Arial" w:hAnsi="Arial" w:cs="Arial"/>
                <w:sz w:val="20"/>
                <w:szCs w:val="20"/>
              </w:rPr>
            </w:pPr>
            <w:r w:rsidRPr="001C42C5">
              <w:rPr>
                <w:rFonts w:ascii="Arial" w:hAnsi="Arial" w:cs="Arial"/>
                <w:sz w:val="20"/>
                <w:szCs w:val="20"/>
              </w:rPr>
              <w:t>65%</w:t>
            </w:r>
          </w:p>
        </w:tc>
        <w:tc>
          <w:tcPr>
            <w:tcW w:w="889" w:type="dxa"/>
            <w:tcBorders>
              <w:top w:val="nil"/>
              <w:left w:val="nil"/>
              <w:bottom w:val="single" w:sz="4" w:space="0" w:color="auto"/>
              <w:right w:val="single" w:sz="4" w:space="0" w:color="auto"/>
            </w:tcBorders>
            <w:noWrap/>
            <w:vAlign w:val="bottom"/>
            <w:hideMark/>
          </w:tcPr>
          <w:p w14:paraId="6F3E3333" w14:textId="77777777" w:rsidR="005917B5" w:rsidRPr="001C42C5" w:rsidRDefault="005917B5">
            <w:pPr>
              <w:jc w:val="right"/>
              <w:rPr>
                <w:rFonts w:ascii="Calibri" w:hAnsi="Calibri" w:cs="Calibri"/>
                <w:sz w:val="22"/>
                <w:szCs w:val="22"/>
              </w:rPr>
            </w:pPr>
            <w:r w:rsidRPr="001C42C5">
              <w:rPr>
                <w:rFonts w:ascii="Calibri" w:hAnsi="Calibri" w:cs="Calibri"/>
                <w:sz w:val="22"/>
                <w:szCs w:val="22"/>
              </w:rPr>
              <w:t>100%</w:t>
            </w:r>
          </w:p>
        </w:tc>
        <w:tc>
          <w:tcPr>
            <w:tcW w:w="219" w:type="dxa"/>
            <w:vAlign w:val="center"/>
            <w:hideMark/>
          </w:tcPr>
          <w:p w14:paraId="403F0FC8" w14:textId="77777777" w:rsidR="005917B5" w:rsidRPr="001C42C5" w:rsidRDefault="005917B5">
            <w:pPr>
              <w:rPr>
                <w:sz w:val="20"/>
                <w:szCs w:val="20"/>
              </w:rPr>
            </w:pPr>
          </w:p>
        </w:tc>
      </w:tr>
      <w:tr w:rsidR="001C42C5" w:rsidRPr="001C42C5" w14:paraId="68F373FA" w14:textId="77777777" w:rsidTr="00033347">
        <w:trPr>
          <w:trHeight w:val="245"/>
          <w:jc w:val="center"/>
        </w:trPr>
        <w:tc>
          <w:tcPr>
            <w:tcW w:w="821" w:type="dxa"/>
            <w:tcBorders>
              <w:top w:val="nil"/>
              <w:left w:val="single" w:sz="4" w:space="0" w:color="auto"/>
              <w:bottom w:val="single" w:sz="4" w:space="0" w:color="auto"/>
              <w:right w:val="single" w:sz="4" w:space="0" w:color="auto"/>
            </w:tcBorders>
            <w:noWrap/>
            <w:vAlign w:val="bottom"/>
            <w:hideMark/>
          </w:tcPr>
          <w:p w14:paraId="05A9683A" w14:textId="77777777" w:rsidR="005917B5" w:rsidRPr="001C42C5" w:rsidRDefault="005917B5">
            <w:pPr>
              <w:jc w:val="center"/>
              <w:rPr>
                <w:rFonts w:ascii="Arial" w:hAnsi="Arial" w:cs="Arial"/>
                <w:sz w:val="20"/>
                <w:szCs w:val="20"/>
              </w:rPr>
            </w:pPr>
            <w:r w:rsidRPr="001C42C5">
              <w:rPr>
                <w:rFonts w:ascii="Arial" w:hAnsi="Arial" w:cs="Arial"/>
                <w:sz w:val="20"/>
                <w:szCs w:val="20"/>
              </w:rPr>
              <w:t> </w:t>
            </w:r>
          </w:p>
        </w:tc>
        <w:tc>
          <w:tcPr>
            <w:tcW w:w="2252" w:type="dxa"/>
            <w:tcBorders>
              <w:top w:val="nil"/>
              <w:left w:val="nil"/>
              <w:bottom w:val="single" w:sz="4" w:space="0" w:color="auto"/>
              <w:right w:val="nil"/>
            </w:tcBorders>
            <w:noWrap/>
            <w:vAlign w:val="bottom"/>
            <w:hideMark/>
          </w:tcPr>
          <w:p w14:paraId="4F102667" w14:textId="77777777" w:rsidR="005917B5" w:rsidRPr="001C42C5" w:rsidRDefault="005917B5">
            <w:pPr>
              <w:rPr>
                <w:rFonts w:ascii="Arial" w:hAnsi="Arial" w:cs="Arial"/>
                <w:sz w:val="18"/>
                <w:szCs w:val="18"/>
              </w:rPr>
            </w:pPr>
            <w:r w:rsidRPr="001C42C5">
              <w:rPr>
                <w:rFonts w:ascii="Arial" w:hAnsi="Arial" w:cs="Arial"/>
                <w:sz w:val="18"/>
                <w:szCs w:val="18"/>
              </w:rPr>
              <w:t>RASHODI</w:t>
            </w:r>
          </w:p>
        </w:tc>
        <w:tc>
          <w:tcPr>
            <w:tcW w:w="1053" w:type="dxa"/>
            <w:tcBorders>
              <w:top w:val="nil"/>
              <w:left w:val="nil"/>
              <w:bottom w:val="single" w:sz="4" w:space="0" w:color="auto"/>
              <w:right w:val="single" w:sz="4" w:space="0" w:color="auto"/>
            </w:tcBorders>
            <w:noWrap/>
            <w:vAlign w:val="bottom"/>
            <w:hideMark/>
          </w:tcPr>
          <w:p w14:paraId="399E1323" w14:textId="77777777" w:rsidR="005917B5" w:rsidRPr="001C42C5" w:rsidRDefault="005917B5">
            <w:pPr>
              <w:rPr>
                <w:rFonts w:ascii="Arial" w:hAnsi="Arial" w:cs="Arial"/>
                <w:sz w:val="20"/>
                <w:szCs w:val="20"/>
              </w:rPr>
            </w:pPr>
            <w:r w:rsidRPr="001C42C5">
              <w:rPr>
                <w:rFonts w:ascii="Arial" w:hAnsi="Arial" w:cs="Arial"/>
                <w:sz w:val="20"/>
                <w:szCs w:val="20"/>
              </w:rPr>
              <w:t> </w:t>
            </w:r>
          </w:p>
        </w:tc>
        <w:tc>
          <w:tcPr>
            <w:tcW w:w="1476" w:type="dxa"/>
            <w:tcBorders>
              <w:top w:val="nil"/>
              <w:left w:val="nil"/>
              <w:bottom w:val="single" w:sz="4" w:space="0" w:color="auto"/>
              <w:right w:val="single" w:sz="4" w:space="0" w:color="auto"/>
            </w:tcBorders>
            <w:noWrap/>
            <w:vAlign w:val="bottom"/>
            <w:hideMark/>
          </w:tcPr>
          <w:p w14:paraId="0050F7C4" w14:textId="77777777" w:rsidR="005917B5" w:rsidRPr="001C42C5" w:rsidRDefault="005917B5">
            <w:pPr>
              <w:jc w:val="right"/>
              <w:rPr>
                <w:rFonts w:ascii="Arial" w:hAnsi="Arial" w:cs="Arial"/>
                <w:sz w:val="20"/>
                <w:szCs w:val="20"/>
              </w:rPr>
            </w:pPr>
            <w:r w:rsidRPr="001C42C5">
              <w:rPr>
                <w:rFonts w:ascii="Arial" w:hAnsi="Arial" w:cs="Arial"/>
                <w:sz w:val="20"/>
                <w:szCs w:val="20"/>
              </w:rPr>
              <w:t>776.413,77</w:t>
            </w:r>
          </w:p>
        </w:tc>
        <w:tc>
          <w:tcPr>
            <w:tcW w:w="1476" w:type="dxa"/>
            <w:tcBorders>
              <w:top w:val="nil"/>
              <w:left w:val="nil"/>
              <w:bottom w:val="single" w:sz="4" w:space="0" w:color="auto"/>
              <w:right w:val="single" w:sz="4" w:space="0" w:color="auto"/>
            </w:tcBorders>
            <w:noWrap/>
            <w:vAlign w:val="bottom"/>
            <w:hideMark/>
          </w:tcPr>
          <w:p w14:paraId="3D3DC9B5" w14:textId="77777777" w:rsidR="005917B5" w:rsidRPr="001C42C5" w:rsidRDefault="005917B5">
            <w:pPr>
              <w:jc w:val="right"/>
              <w:rPr>
                <w:rFonts w:ascii="Arial" w:hAnsi="Arial" w:cs="Arial"/>
                <w:sz w:val="20"/>
                <w:szCs w:val="20"/>
              </w:rPr>
            </w:pPr>
            <w:r w:rsidRPr="001C42C5">
              <w:rPr>
                <w:rFonts w:ascii="Arial" w:hAnsi="Arial" w:cs="Arial"/>
                <w:sz w:val="20"/>
                <w:szCs w:val="20"/>
              </w:rPr>
              <w:t>752.000,00</w:t>
            </w:r>
          </w:p>
        </w:tc>
        <w:tc>
          <w:tcPr>
            <w:tcW w:w="1476" w:type="dxa"/>
            <w:tcBorders>
              <w:top w:val="nil"/>
              <w:left w:val="nil"/>
              <w:bottom w:val="single" w:sz="4" w:space="0" w:color="auto"/>
              <w:right w:val="single" w:sz="4" w:space="0" w:color="auto"/>
            </w:tcBorders>
            <w:noWrap/>
            <w:vAlign w:val="bottom"/>
            <w:hideMark/>
          </w:tcPr>
          <w:p w14:paraId="067004BE" w14:textId="77777777" w:rsidR="005917B5" w:rsidRPr="001C42C5" w:rsidRDefault="005917B5">
            <w:pPr>
              <w:jc w:val="right"/>
              <w:rPr>
                <w:rFonts w:ascii="Arial" w:hAnsi="Arial" w:cs="Arial"/>
                <w:sz w:val="20"/>
                <w:szCs w:val="20"/>
              </w:rPr>
            </w:pPr>
            <w:r w:rsidRPr="001C42C5">
              <w:rPr>
                <w:rFonts w:ascii="Arial" w:hAnsi="Arial" w:cs="Arial"/>
                <w:sz w:val="20"/>
                <w:szCs w:val="20"/>
              </w:rPr>
              <w:t>825.201,90</w:t>
            </w:r>
          </w:p>
        </w:tc>
        <w:tc>
          <w:tcPr>
            <w:tcW w:w="889" w:type="dxa"/>
            <w:tcBorders>
              <w:top w:val="nil"/>
              <w:left w:val="nil"/>
              <w:bottom w:val="single" w:sz="4" w:space="0" w:color="auto"/>
              <w:right w:val="single" w:sz="4" w:space="0" w:color="auto"/>
            </w:tcBorders>
            <w:noWrap/>
            <w:vAlign w:val="bottom"/>
            <w:hideMark/>
          </w:tcPr>
          <w:p w14:paraId="1272A2AD" w14:textId="77777777" w:rsidR="005917B5" w:rsidRPr="001C42C5" w:rsidRDefault="005917B5">
            <w:pPr>
              <w:jc w:val="right"/>
              <w:rPr>
                <w:rFonts w:ascii="Arial" w:hAnsi="Arial" w:cs="Arial"/>
                <w:sz w:val="20"/>
                <w:szCs w:val="20"/>
              </w:rPr>
            </w:pPr>
            <w:r w:rsidRPr="001C42C5">
              <w:rPr>
                <w:rFonts w:ascii="Arial" w:hAnsi="Arial" w:cs="Arial"/>
                <w:sz w:val="20"/>
                <w:szCs w:val="20"/>
              </w:rPr>
              <w:t>106%</w:t>
            </w:r>
          </w:p>
        </w:tc>
        <w:tc>
          <w:tcPr>
            <w:tcW w:w="889" w:type="dxa"/>
            <w:tcBorders>
              <w:top w:val="nil"/>
              <w:left w:val="nil"/>
              <w:bottom w:val="single" w:sz="4" w:space="0" w:color="auto"/>
              <w:right w:val="single" w:sz="4" w:space="0" w:color="auto"/>
            </w:tcBorders>
            <w:noWrap/>
            <w:vAlign w:val="bottom"/>
            <w:hideMark/>
          </w:tcPr>
          <w:p w14:paraId="52D77C6C" w14:textId="77777777" w:rsidR="005917B5" w:rsidRPr="001C42C5" w:rsidRDefault="005917B5">
            <w:pPr>
              <w:jc w:val="right"/>
              <w:rPr>
                <w:rFonts w:ascii="Calibri" w:hAnsi="Calibri" w:cs="Calibri"/>
                <w:sz w:val="22"/>
                <w:szCs w:val="22"/>
              </w:rPr>
            </w:pPr>
            <w:r w:rsidRPr="001C42C5">
              <w:rPr>
                <w:rFonts w:ascii="Calibri" w:hAnsi="Calibri" w:cs="Calibri"/>
                <w:sz w:val="22"/>
                <w:szCs w:val="22"/>
              </w:rPr>
              <w:t>110%</w:t>
            </w:r>
          </w:p>
        </w:tc>
        <w:tc>
          <w:tcPr>
            <w:tcW w:w="219" w:type="dxa"/>
            <w:vAlign w:val="center"/>
            <w:hideMark/>
          </w:tcPr>
          <w:p w14:paraId="2FCD1034" w14:textId="77777777" w:rsidR="005917B5" w:rsidRPr="001C42C5" w:rsidRDefault="005917B5">
            <w:pPr>
              <w:rPr>
                <w:sz w:val="20"/>
                <w:szCs w:val="20"/>
              </w:rPr>
            </w:pPr>
          </w:p>
        </w:tc>
      </w:tr>
      <w:tr w:rsidR="001C42C5" w:rsidRPr="001C42C5" w14:paraId="43594CC0" w14:textId="77777777" w:rsidTr="00033347">
        <w:trPr>
          <w:trHeight w:val="245"/>
          <w:jc w:val="center"/>
        </w:trPr>
        <w:tc>
          <w:tcPr>
            <w:tcW w:w="821" w:type="dxa"/>
            <w:tcBorders>
              <w:top w:val="nil"/>
              <w:left w:val="single" w:sz="4" w:space="0" w:color="auto"/>
              <w:bottom w:val="single" w:sz="4" w:space="0" w:color="auto"/>
              <w:right w:val="single" w:sz="4" w:space="0" w:color="auto"/>
            </w:tcBorders>
            <w:noWrap/>
            <w:vAlign w:val="bottom"/>
            <w:hideMark/>
          </w:tcPr>
          <w:p w14:paraId="5EB53CE6" w14:textId="77777777" w:rsidR="005917B5" w:rsidRPr="001C42C5" w:rsidRDefault="005917B5">
            <w:pPr>
              <w:jc w:val="center"/>
              <w:rPr>
                <w:rFonts w:ascii="Arial" w:hAnsi="Arial" w:cs="Arial"/>
                <w:sz w:val="20"/>
                <w:szCs w:val="20"/>
              </w:rPr>
            </w:pPr>
            <w:r w:rsidRPr="001C42C5">
              <w:rPr>
                <w:rFonts w:ascii="Arial" w:hAnsi="Arial" w:cs="Arial"/>
                <w:sz w:val="20"/>
                <w:szCs w:val="20"/>
              </w:rPr>
              <w:t> </w:t>
            </w:r>
          </w:p>
        </w:tc>
        <w:tc>
          <w:tcPr>
            <w:tcW w:w="2252" w:type="dxa"/>
            <w:tcBorders>
              <w:top w:val="nil"/>
              <w:left w:val="nil"/>
              <w:bottom w:val="single" w:sz="4" w:space="0" w:color="auto"/>
              <w:right w:val="nil"/>
            </w:tcBorders>
            <w:noWrap/>
            <w:vAlign w:val="bottom"/>
            <w:hideMark/>
          </w:tcPr>
          <w:p w14:paraId="69EE1FCA" w14:textId="77777777" w:rsidR="005917B5" w:rsidRPr="001C42C5" w:rsidRDefault="005917B5">
            <w:pPr>
              <w:rPr>
                <w:rFonts w:ascii="Arial" w:hAnsi="Arial" w:cs="Arial"/>
                <w:sz w:val="18"/>
                <w:szCs w:val="18"/>
              </w:rPr>
            </w:pPr>
            <w:r w:rsidRPr="001C42C5">
              <w:rPr>
                <w:rFonts w:ascii="Arial" w:hAnsi="Arial" w:cs="Arial"/>
                <w:sz w:val="18"/>
                <w:szCs w:val="18"/>
              </w:rPr>
              <w:t> </w:t>
            </w:r>
          </w:p>
        </w:tc>
        <w:tc>
          <w:tcPr>
            <w:tcW w:w="1053" w:type="dxa"/>
            <w:tcBorders>
              <w:top w:val="nil"/>
              <w:left w:val="nil"/>
              <w:bottom w:val="single" w:sz="4" w:space="0" w:color="auto"/>
              <w:right w:val="single" w:sz="4" w:space="0" w:color="auto"/>
            </w:tcBorders>
            <w:noWrap/>
            <w:vAlign w:val="bottom"/>
            <w:hideMark/>
          </w:tcPr>
          <w:p w14:paraId="6F467939" w14:textId="60B17AFE" w:rsidR="005917B5" w:rsidRPr="001C42C5" w:rsidRDefault="004C49AC">
            <w:pPr>
              <w:jc w:val="right"/>
              <w:rPr>
                <w:rFonts w:ascii="Arial" w:hAnsi="Arial" w:cs="Arial"/>
                <w:sz w:val="18"/>
                <w:szCs w:val="18"/>
              </w:rPr>
            </w:pPr>
            <w:r w:rsidRPr="001C42C5">
              <w:rPr>
                <w:rFonts w:ascii="Arial" w:hAnsi="Arial" w:cs="Arial"/>
                <w:sz w:val="18"/>
                <w:szCs w:val="18"/>
              </w:rPr>
              <w:t>REZULTAT</w:t>
            </w:r>
          </w:p>
        </w:tc>
        <w:tc>
          <w:tcPr>
            <w:tcW w:w="1476" w:type="dxa"/>
            <w:tcBorders>
              <w:top w:val="nil"/>
              <w:left w:val="nil"/>
              <w:bottom w:val="single" w:sz="4" w:space="0" w:color="auto"/>
              <w:right w:val="single" w:sz="4" w:space="0" w:color="auto"/>
            </w:tcBorders>
            <w:vAlign w:val="center"/>
            <w:hideMark/>
          </w:tcPr>
          <w:p w14:paraId="7DA56EAC" w14:textId="77777777" w:rsidR="005917B5" w:rsidRPr="001C42C5" w:rsidRDefault="005917B5">
            <w:pPr>
              <w:jc w:val="right"/>
              <w:rPr>
                <w:rFonts w:ascii="Arial" w:hAnsi="Arial" w:cs="Arial"/>
                <w:sz w:val="20"/>
                <w:szCs w:val="20"/>
              </w:rPr>
            </w:pPr>
            <w:r w:rsidRPr="001C42C5">
              <w:rPr>
                <w:rFonts w:ascii="Arial" w:hAnsi="Arial" w:cs="Arial"/>
                <w:sz w:val="20"/>
                <w:szCs w:val="20"/>
              </w:rPr>
              <w:t>384.047,16</w:t>
            </w:r>
          </w:p>
        </w:tc>
        <w:tc>
          <w:tcPr>
            <w:tcW w:w="1476" w:type="dxa"/>
            <w:tcBorders>
              <w:top w:val="nil"/>
              <w:left w:val="nil"/>
              <w:bottom w:val="single" w:sz="4" w:space="0" w:color="auto"/>
              <w:right w:val="single" w:sz="4" w:space="0" w:color="auto"/>
            </w:tcBorders>
            <w:vAlign w:val="center"/>
            <w:hideMark/>
          </w:tcPr>
          <w:p w14:paraId="4E93BD23" w14:textId="77777777" w:rsidR="005917B5" w:rsidRPr="001C42C5" w:rsidRDefault="005917B5">
            <w:pPr>
              <w:jc w:val="right"/>
              <w:rPr>
                <w:rFonts w:ascii="Arial" w:hAnsi="Arial" w:cs="Arial"/>
                <w:sz w:val="20"/>
                <w:szCs w:val="20"/>
              </w:rPr>
            </w:pPr>
            <w:r w:rsidRPr="001C42C5">
              <w:rPr>
                <w:rFonts w:ascii="Arial" w:hAnsi="Arial" w:cs="Arial"/>
                <w:sz w:val="20"/>
                <w:szCs w:val="20"/>
              </w:rPr>
              <w:t>0,00</w:t>
            </w:r>
          </w:p>
        </w:tc>
        <w:tc>
          <w:tcPr>
            <w:tcW w:w="1476" w:type="dxa"/>
            <w:tcBorders>
              <w:top w:val="nil"/>
              <w:left w:val="nil"/>
              <w:bottom w:val="single" w:sz="4" w:space="0" w:color="auto"/>
              <w:right w:val="single" w:sz="4" w:space="0" w:color="auto"/>
            </w:tcBorders>
            <w:vAlign w:val="center"/>
            <w:hideMark/>
          </w:tcPr>
          <w:p w14:paraId="14CBBCE9" w14:textId="77777777" w:rsidR="005917B5" w:rsidRPr="001C42C5" w:rsidRDefault="005917B5">
            <w:pPr>
              <w:jc w:val="right"/>
              <w:rPr>
                <w:rFonts w:ascii="Arial" w:hAnsi="Arial" w:cs="Arial"/>
                <w:sz w:val="20"/>
                <w:szCs w:val="20"/>
              </w:rPr>
            </w:pPr>
            <w:r w:rsidRPr="001C42C5">
              <w:rPr>
                <w:rFonts w:ascii="Arial" w:hAnsi="Arial" w:cs="Arial"/>
                <w:sz w:val="20"/>
                <w:szCs w:val="20"/>
              </w:rPr>
              <w:t>-73.098,66</w:t>
            </w:r>
          </w:p>
        </w:tc>
        <w:tc>
          <w:tcPr>
            <w:tcW w:w="889" w:type="dxa"/>
            <w:tcBorders>
              <w:top w:val="nil"/>
              <w:left w:val="nil"/>
              <w:bottom w:val="single" w:sz="4" w:space="0" w:color="auto"/>
              <w:right w:val="single" w:sz="4" w:space="0" w:color="auto"/>
            </w:tcBorders>
            <w:vAlign w:val="center"/>
            <w:hideMark/>
          </w:tcPr>
          <w:p w14:paraId="671AFE46" w14:textId="77777777" w:rsidR="005917B5" w:rsidRPr="001C42C5" w:rsidRDefault="005917B5">
            <w:pPr>
              <w:rPr>
                <w:rFonts w:ascii="Arial" w:hAnsi="Arial" w:cs="Arial"/>
                <w:sz w:val="20"/>
                <w:szCs w:val="20"/>
              </w:rPr>
            </w:pPr>
            <w:r w:rsidRPr="001C42C5">
              <w:rPr>
                <w:rFonts w:ascii="Arial" w:hAnsi="Arial" w:cs="Arial"/>
                <w:sz w:val="20"/>
                <w:szCs w:val="20"/>
              </w:rPr>
              <w:t> </w:t>
            </w:r>
          </w:p>
        </w:tc>
        <w:tc>
          <w:tcPr>
            <w:tcW w:w="889" w:type="dxa"/>
            <w:tcBorders>
              <w:top w:val="nil"/>
              <w:left w:val="nil"/>
              <w:bottom w:val="single" w:sz="4" w:space="0" w:color="auto"/>
              <w:right w:val="single" w:sz="4" w:space="0" w:color="auto"/>
            </w:tcBorders>
            <w:noWrap/>
            <w:vAlign w:val="bottom"/>
            <w:hideMark/>
          </w:tcPr>
          <w:p w14:paraId="1199B626" w14:textId="77777777" w:rsidR="005917B5" w:rsidRPr="001C42C5" w:rsidRDefault="005917B5">
            <w:pPr>
              <w:rPr>
                <w:rFonts w:ascii="Calibri" w:hAnsi="Calibri" w:cs="Calibri"/>
                <w:sz w:val="22"/>
                <w:szCs w:val="22"/>
              </w:rPr>
            </w:pPr>
            <w:r w:rsidRPr="001C42C5">
              <w:rPr>
                <w:rFonts w:ascii="Calibri" w:hAnsi="Calibri" w:cs="Calibri"/>
                <w:sz w:val="22"/>
                <w:szCs w:val="22"/>
              </w:rPr>
              <w:t> </w:t>
            </w:r>
          </w:p>
        </w:tc>
        <w:tc>
          <w:tcPr>
            <w:tcW w:w="219" w:type="dxa"/>
            <w:vAlign w:val="center"/>
            <w:hideMark/>
          </w:tcPr>
          <w:p w14:paraId="50ED86CD" w14:textId="77777777" w:rsidR="005917B5" w:rsidRPr="001C42C5" w:rsidRDefault="005917B5">
            <w:pPr>
              <w:rPr>
                <w:sz w:val="20"/>
                <w:szCs w:val="20"/>
              </w:rPr>
            </w:pPr>
          </w:p>
        </w:tc>
      </w:tr>
      <w:tr w:rsidR="001C42C5" w:rsidRPr="001C42C5" w14:paraId="1ED8D2A9" w14:textId="77777777" w:rsidTr="00033347">
        <w:trPr>
          <w:trHeight w:val="245"/>
          <w:jc w:val="center"/>
        </w:trPr>
        <w:tc>
          <w:tcPr>
            <w:tcW w:w="821" w:type="dxa"/>
            <w:tcBorders>
              <w:top w:val="nil"/>
              <w:left w:val="single" w:sz="4" w:space="0" w:color="auto"/>
              <w:bottom w:val="single" w:sz="4" w:space="0" w:color="auto"/>
              <w:right w:val="single" w:sz="4" w:space="0" w:color="auto"/>
            </w:tcBorders>
            <w:noWrap/>
            <w:vAlign w:val="bottom"/>
            <w:hideMark/>
          </w:tcPr>
          <w:p w14:paraId="53E23944" w14:textId="77777777" w:rsidR="005917B5" w:rsidRPr="001C42C5" w:rsidRDefault="005917B5">
            <w:pPr>
              <w:jc w:val="center"/>
              <w:rPr>
                <w:rFonts w:ascii="Arial" w:hAnsi="Arial" w:cs="Arial"/>
                <w:b/>
                <w:bCs/>
                <w:sz w:val="20"/>
                <w:szCs w:val="20"/>
              </w:rPr>
            </w:pPr>
            <w:r w:rsidRPr="001C42C5">
              <w:rPr>
                <w:rFonts w:ascii="Arial" w:hAnsi="Arial" w:cs="Arial"/>
                <w:b/>
                <w:bCs/>
                <w:sz w:val="20"/>
                <w:szCs w:val="20"/>
              </w:rPr>
              <w:t>53</w:t>
            </w:r>
          </w:p>
        </w:tc>
        <w:tc>
          <w:tcPr>
            <w:tcW w:w="3305" w:type="dxa"/>
            <w:gridSpan w:val="2"/>
            <w:tcBorders>
              <w:top w:val="single" w:sz="4" w:space="0" w:color="auto"/>
              <w:left w:val="nil"/>
              <w:bottom w:val="single" w:sz="4" w:space="0" w:color="auto"/>
              <w:right w:val="single" w:sz="4" w:space="0" w:color="000000"/>
            </w:tcBorders>
            <w:noWrap/>
            <w:vAlign w:val="bottom"/>
            <w:hideMark/>
          </w:tcPr>
          <w:p w14:paraId="28BBC58A" w14:textId="77777777" w:rsidR="005917B5" w:rsidRPr="001C42C5" w:rsidRDefault="005917B5">
            <w:pPr>
              <w:rPr>
                <w:rFonts w:ascii="Arial" w:hAnsi="Arial" w:cs="Arial"/>
                <w:b/>
                <w:bCs/>
                <w:sz w:val="20"/>
                <w:szCs w:val="20"/>
              </w:rPr>
            </w:pPr>
            <w:r w:rsidRPr="001C42C5">
              <w:rPr>
                <w:rFonts w:ascii="Arial" w:hAnsi="Arial" w:cs="Arial"/>
                <w:b/>
                <w:bCs/>
                <w:sz w:val="20"/>
                <w:szCs w:val="20"/>
              </w:rPr>
              <w:t>Ministarstva i državne uprave</w:t>
            </w:r>
          </w:p>
        </w:tc>
        <w:tc>
          <w:tcPr>
            <w:tcW w:w="1476" w:type="dxa"/>
            <w:tcBorders>
              <w:top w:val="nil"/>
              <w:left w:val="nil"/>
              <w:bottom w:val="single" w:sz="4" w:space="0" w:color="auto"/>
              <w:right w:val="single" w:sz="4" w:space="0" w:color="auto"/>
            </w:tcBorders>
            <w:noWrap/>
            <w:vAlign w:val="bottom"/>
            <w:hideMark/>
          </w:tcPr>
          <w:p w14:paraId="4695FED2" w14:textId="77777777" w:rsidR="005917B5" w:rsidRPr="001C42C5" w:rsidRDefault="005917B5">
            <w:pPr>
              <w:jc w:val="right"/>
              <w:rPr>
                <w:rFonts w:ascii="Arial" w:hAnsi="Arial" w:cs="Arial"/>
                <w:b/>
                <w:bCs/>
                <w:sz w:val="20"/>
                <w:szCs w:val="20"/>
              </w:rPr>
            </w:pPr>
            <w:r w:rsidRPr="001C42C5">
              <w:rPr>
                <w:rFonts w:ascii="Arial" w:hAnsi="Arial" w:cs="Arial"/>
                <w:b/>
                <w:bCs/>
                <w:sz w:val="20"/>
                <w:szCs w:val="20"/>
              </w:rPr>
              <w:t> </w:t>
            </w:r>
          </w:p>
        </w:tc>
        <w:tc>
          <w:tcPr>
            <w:tcW w:w="1476" w:type="dxa"/>
            <w:tcBorders>
              <w:top w:val="nil"/>
              <w:left w:val="nil"/>
              <w:bottom w:val="single" w:sz="4" w:space="0" w:color="auto"/>
              <w:right w:val="single" w:sz="4" w:space="0" w:color="auto"/>
            </w:tcBorders>
            <w:vAlign w:val="center"/>
            <w:hideMark/>
          </w:tcPr>
          <w:p w14:paraId="035DA745" w14:textId="77777777" w:rsidR="005917B5" w:rsidRPr="001C42C5" w:rsidRDefault="005917B5">
            <w:pPr>
              <w:rPr>
                <w:rFonts w:ascii="Arial" w:hAnsi="Arial" w:cs="Arial"/>
                <w:sz w:val="20"/>
                <w:szCs w:val="20"/>
              </w:rPr>
            </w:pPr>
            <w:r w:rsidRPr="001C42C5">
              <w:rPr>
                <w:rFonts w:ascii="Arial" w:hAnsi="Arial" w:cs="Arial"/>
                <w:sz w:val="20"/>
                <w:szCs w:val="20"/>
              </w:rPr>
              <w:t> </w:t>
            </w:r>
          </w:p>
        </w:tc>
        <w:tc>
          <w:tcPr>
            <w:tcW w:w="1476" w:type="dxa"/>
            <w:tcBorders>
              <w:top w:val="nil"/>
              <w:left w:val="nil"/>
              <w:bottom w:val="single" w:sz="4" w:space="0" w:color="auto"/>
              <w:right w:val="single" w:sz="4" w:space="0" w:color="auto"/>
            </w:tcBorders>
            <w:vAlign w:val="center"/>
            <w:hideMark/>
          </w:tcPr>
          <w:p w14:paraId="3AE6A189" w14:textId="77777777" w:rsidR="005917B5" w:rsidRPr="001C42C5" w:rsidRDefault="005917B5">
            <w:pPr>
              <w:rPr>
                <w:rFonts w:ascii="Arial" w:hAnsi="Arial" w:cs="Arial"/>
                <w:sz w:val="20"/>
                <w:szCs w:val="20"/>
              </w:rPr>
            </w:pPr>
            <w:r w:rsidRPr="001C42C5">
              <w:rPr>
                <w:rFonts w:ascii="Arial" w:hAnsi="Arial" w:cs="Arial"/>
                <w:sz w:val="20"/>
                <w:szCs w:val="20"/>
              </w:rPr>
              <w:t> </w:t>
            </w:r>
          </w:p>
        </w:tc>
        <w:tc>
          <w:tcPr>
            <w:tcW w:w="889" w:type="dxa"/>
            <w:tcBorders>
              <w:top w:val="nil"/>
              <w:left w:val="nil"/>
              <w:bottom w:val="single" w:sz="4" w:space="0" w:color="auto"/>
              <w:right w:val="single" w:sz="4" w:space="0" w:color="auto"/>
            </w:tcBorders>
            <w:vAlign w:val="center"/>
            <w:hideMark/>
          </w:tcPr>
          <w:p w14:paraId="3CCFE9B3" w14:textId="77777777" w:rsidR="005917B5" w:rsidRPr="001C42C5" w:rsidRDefault="005917B5">
            <w:pPr>
              <w:rPr>
                <w:rFonts w:ascii="Arial" w:hAnsi="Arial" w:cs="Arial"/>
                <w:sz w:val="20"/>
                <w:szCs w:val="20"/>
              </w:rPr>
            </w:pPr>
            <w:r w:rsidRPr="001C42C5">
              <w:rPr>
                <w:rFonts w:ascii="Arial" w:hAnsi="Arial" w:cs="Arial"/>
                <w:sz w:val="20"/>
                <w:szCs w:val="20"/>
              </w:rPr>
              <w:t> </w:t>
            </w:r>
          </w:p>
        </w:tc>
        <w:tc>
          <w:tcPr>
            <w:tcW w:w="889" w:type="dxa"/>
            <w:tcBorders>
              <w:top w:val="nil"/>
              <w:left w:val="nil"/>
              <w:bottom w:val="single" w:sz="4" w:space="0" w:color="auto"/>
              <w:right w:val="single" w:sz="4" w:space="0" w:color="auto"/>
            </w:tcBorders>
            <w:noWrap/>
            <w:vAlign w:val="bottom"/>
            <w:hideMark/>
          </w:tcPr>
          <w:p w14:paraId="0F454535" w14:textId="77777777" w:rsidR="005917B5" w:rsidRPr="001C42C5" w:rsidRDefault="005917B5">
            <w:pPr>
              <w:rPr>
                <w:rFonts w:ascii="Calibri" w:hAnsi="Calibri" w:cs="Calibri"/>
                <w:sz w:val="22"/>
                <w:szCs w:val="22"/>
              </w:rPr>
            </w:pPr>
            <w:r w:rsidRPr="001C42C5">
              <w:rPr>
                <w:rFonts w:ascii="Calibri" w:hAnsi="Calibri" w:cs="Calibri"/>
                <w:sz w:val="22"/>
                <w:szCs w:val="22"/>
              </w:rPr>
              <w:t> </w:t>
            </w:r>
          </w:p>
        </w:tc>
        <w:tc>
          <w:tcPr>
            <w:tcW w:w="219" w:type="dxa"/>
            <w:vAlign w:val="center"/>
            <w:hideMark/>
          </w:tcPr>
          <w:p w14:paraId="6F7CB92C" w14:textId="77777777" w:rsidR="005917B5" w:rsidRPr="001C42C5" w:rsidRDefault="005917B5">
            <w:pPr>
              <w:rPr>
                <w:sz w:val="20"/>
                <w:szCs w:val="20"/>
              </w:rPr>
            </w:pPr>
          </w:p>
        </w:tc>
      </w:tr>
      <w:tr w:rsidR="001C42C5" w:rsidRPr="001C42C5" w14:paraId="3697BED2" w14:textId="77777777" w:rsidTr="00033347">
        <w:trPr>
          <w:trHeight w:val="245"/>
          <w:jc w:val="center"/>
        </w:trPr>
        <w:tc>
          <w:tcPr>
            <w:tcW w:w="821" w:type="dxa"/>
            <w:tcBorders>
              <w:top w:val="nil"/>
              <w:left w:val="single" w:sz="4" w:space="0" w:color="auto"/>
              <w:bottom w:val="single" w:sz="4" w:space="0" w:color="auto"/>
              <w:right w:val="single" w:sz="4" w:space="0" w:color="auto"/>
            </w:tcBorders>
            <w:noWrap/>
            <w:vAlign w:val="bottom"/>
            <w:hideMark/>
          </w:tcPr>
          <w:p w14:paraId="7F1652AA" w14:textId="77777777" w:rsidR="005917B5" w:rsidRPr="001C42C5" w:rsidRDefault="005917B5">
            <w:pPr>
              <w:jc w:val="center"/>
              <w:rPr>
                <w:rFonts w:ascii="Arial" w:hAnsi="Arial" w:cs="Arial"/>
                <w:sz w:val="20"/>
                <w:szCs w:val="20"/>
              </w:rPr>
            </w:pPr>
            <w:r w:rsidRPr="001C42C5">
              <w:rPr>
                <w:rFonts w:ascii="Arial" w:hAnsi="Arial" w:cs="Arial"/>
                <w:sz w:val="20"/>
                <w:szCs w:val="20"/>
              </w:rPr>
              <w:t> </w:t>
            </w:r>
          </w:p>
        </w:tc>
        <w:tc>
          <w:tcPr>
            <w:tcW w:w="2252" w:type="dxa"/>
            <w:tcBorders>
              <w:top w:val="nil"/>
              <w:left w:val="nil"/>
              <w:bottom w:val="single" w:sz="4" w:space="0" w:color="auto"/>
              <w:right w:val="nil"/>
            </w:tcBorders>
            <w:noWrap/>
            <w:vAlign w:val="bottom"/>
            <w:hideMark/>
          </w:tcPr>
          <w:p w14:paraId="166E4995" w14:textId="77777777" w:rsidR="005917B5" w:rsidRPr="001C42C5" w:rsidRDefault="005917B5">
            <w:pPr>
              <w:rPr>
                <w:rFonts w:ascii="Arial" w:hAnsi="Arial" w:cs="Arial"/>
                <w:sz w:val="18"/>
                <w:szCs w:val="18"/>
              </w:rPr>
            </w:pPr>
            <w:r w:rsidRPr="001C42C5">
              <w:rPr>
                <w:rFonts w:ascii="Arial" w:hAnsi="Arial" w:cs="Arial"/>
                <w:sz w:val="18"/>
                <w:szCs w:val="18"/>
              </w:rPr>
              <w:t>PRIHODI</w:t>
            </w:r>
          </w:p>
        </w:tc>
        <w:tc>
          <w:tcPr>
            <w:tcW w:w="1053" w:type="dxa"/>
            <w:tcBorders>
              <w:top w:val="nil"/>
              <w:left w:val="nil"/>
              <w:bottom w:val="single" w:sz="4" w:space="0" w:color="auto"/>
              <w:right w:val="single" w:sz="4" w:space="0" w:color="auto"/>
            </w:tcBorders>
            <w:noWrap/>
            <w:vAlign w:val="bottom"/>
            <w:hideMark/>
          </w:tcPr>
          <w:p w14:paraId="20099C7E" w14:textId="77777777" w:rsidR="005917B5" w:rsidRPr="001C42C5" w:rsidRDefault="005917B5">
            <w:pPr>
              <w:rPr>
                <w:rFonts w:ascii="Arial" w:hAnsi="Arial" w:cs="Arial"/>
                <w:sz w:val="20"/>
                <w:szCs w:val="20"/>
              </w:rPr>
            </w:pPr>
            <w:r w:rsidRPr="001C42C5">
              <w:rPr>
                <w:rFonts w:ascii="Arial" w:hAnsi="Arial" w:cs="Arial"/>
                <w:sz w:val="20"/>
                <w:szCs w:val="20"/>
              </w:rPr>
              <w:t> </w:t>
            </w:r>
          </w:p>
        </w:tc>
        <w:tc>
          <w:tcPr>
            <w:tcW w:w="1476" w:type="dxa"/>
            <w:tcBorders>
              <w:top w:val="nil"/>
              <w:left w:val="nil"/>
              <w:bottom w:val="single" w:sz="4" w:space="0" w:color="auto"/>
              <w:right w:val="single" w:sz="4" w:space="0" w:color="auto"/>
            </w:tcBorders>
            <w:noWrap/>
            <w:vAlign w:val="bottom"/>
            <w:hideMark/>
          </w:tcPr>
          <w:p w14:paraId="2BC54C91" w14:textId="77777777" w:rsidR="005917B5" w:rsidRPr="001C42C5" w:rsidRDefault="005917B5">
            <w:pPr>
              <w:jc w:val="right"/>
              <w:rPr>
                <w:rFonts w:ascii="Arial" w:hAnsi="Arial" w:cs="Arial"/>
                <w:sz w:val="20"/>
                <w:szCs w:val="20"/>
              </w:rPr>
            </w:pPr>
            <w:r w:rsidRPr="001C42C5">
              <w:rPr>
                <w:rFonts w:ascii="Arial" w:hAnsi="Arial" w:cs="Arial"/>
                <w:sz w:val="20"/>
                <w:szCs w:val="20"/>
              </w:rPr>
              <w:t>85.797,10</w:t>
            </w:r>
          </w:p>
        </w:tc>
        <w:tc>
          <w:tcPr>
            <w:tcW w:w="1476" w:type="dxa"/>
            <w:tcBorders>
              <w:top w:val="nil"/>
              <w:left w:val="nil"/>
              <w:bottom w:val="single" w:sz="4" w:space="0" w:color="auto"/>
              <w:right w:val="single" w:sz="4" w:space="0" w:color="auto"/>
            </w:tcBorders>
            <w:vAlign w:val="center"/>
            <w:hideMark/>
          </w:tcPr>
          <w:p w14:paraId="4B171265" w14:textId="77777777" w:rsidR="005917B5" w:rsidRPr="001C42C5" w:rsidRDefault="005917B5">
            <w:pPr>
              <w:jc w:val="right"/>
              <w:rPr>
                <w:rFonts w:ascii="Arial" w:hAnsi="Arial" w:cs="Arial"/>
                <w:sz w:val="20"/>
                <w:szCs w:val="20"/>
              </w:rPr>
            </w:pPr>
            <w:r w:rsidRPr="001C42C5">
              <w:rPr>
                <w:rFonts w:ascii="Arial" w:hAnsi="Arial" w:cs="Arial"/>
                <w:sz w:val="20"/>
                <w:szCs w:val="20"/>
              </w:rPr>
              <w:t>74.674,00</w:t>
            </w:r>
          </w:p>
        </w:tc>
        <w:tc>
          <w:tcPr>
            <w:tcW w:w="1476" w:type="dxa"/>
            <w:tcBorders>
              <w:top w:val="nil"/>
              <w:left w:val="nil"/>
              <w:bottom w:val="single" w:sz="4" w:space="0" w:color="auto"/>
              <w:right w:val="single" w:sz="4" w:space="0" w:color="auto"/>
            </w:tcBorders>
            <w:vAlign w:val="center"/>
            <w:hideMark/>
          </w:tcPr>
          <w:p w14:paraId="4F297D9D" w14:textId="77777777" w:rsidR="005917B5" w:rsidRPr="001C42C5" w:rsidRDefault="005917B5">
            <w:pPr>
              <w:jc w:val="right"/>
              <w:rPr>
                <w:rFonts w:ascii="Arial" w:hAnsi="Arial" w:cs="Arial"/>
                <w:sz w:val="20"/>
                <w:szCs w:val="20"/>
              </w:rPr>
            </w:pPr>
            <w:r w:rsidRPr="001C42C5">
              <w:rPr>
                <w:rFonts w:ascii="Arial" w:hAnsi="Arial" w:cs="Arial"/>
                <w:sz w:val="20"/>
                <w:szCs w:val="20"/>
              </w:rPr>
              <w:t>73.025,19</w:t>
            </w:r>
          </w:p>
        </w:tc>
        <w:tc>
          <w:tcPr>
            <w:tcW w:w="889" w:type="dxa"/>
            <w:tcBorders>
              <w:top w:val="nil"/>
              <w:left w:val="nil"/>
              <w:bottom w:val="single" w:sz="4" w:space="0" w:color="auto"/>
              <w:right w:val="single" w:sz="4" w:space="0" w:color="auto"/>
            </w:tcBorders>
            <w:vAlign w:val="center"/>
            <w:hideMark/>
          </w:tcPr>
          <w:p w14:paraId="05C4D079" w14:textId="77777777" w:rsidR="005917B5" w:rsidRPr="001C42C5" w:rsidRDefault="005917B5">
            <w:pPr>
              <w:jc w:val="right"/>
              <w:rPr>
                <w:rFonts w:ascii="Arial" w:hAnsi="Arial" w:cs="Arial"/>
                <w:sz w:val="20"/>
                <w:szCs w:val="20"/>
              </w:rPr>
            </w:pPr>
            <w:r w:rsidRPr="001C42C5">
              <w:rPr>
                <w:rFonts w:ascii="Arial" w:hAnsi="Arial" w:cs="Arial"/>
                <w:sz w:val="20"/>
                <w:szCs w:val="20"/>
              </w:rPr>
              <w:t>85%</w:t>
            </w:r>
          </w:p>
        </w:tc>
        <w:tc>
          <w:tcPr>
            <w:tcW w:w="889" w:type="dxa"/>
            <w:tcBorders>
              <w:top w:val="nil"/>
              <w:left w:val="nil"/>
              <w:bottom w:val="single" w:sz="4" w:space="0" w:color="auto"/>
              <w:right w:val="single" w:sz="4" w:space="0" w:color="auto"/>
            </w:tcBorders>
            <w:noWrap/>
            <w:vAlign w:val="bottom"/>
            <w:hideMark/>
          </w:tcPr>
          <w:p w14:paraId="6A7E5CAA" w14:textId="77777777" w:rsidR="005917B5" w:rsidRPr="001C42C5" w:rsidRDefault="005917B5">
            <w:pPr>
              <w:jc w:val="right"/>
              <w:rPr>
                <w:rFonts w:ascii="Calibri" w:hAnsi="Calibri" w:cs="Calibri"/>
                <w:sz w:val="22"/>
                <w:szCs w:val="22"/>
              </w:rPr>
            </w:pPr>
            <w:r w:rsidRPr="001C42C5">
              <w:rPr>
                <w:rFonts w:ascii="Calibri" w:hAnsi="Calibri" w:cs="Calibri"/>
                <w:sz w:val="22"/>
                <w:szCs w:val="22"/>
              </w:rPr>
              <w:t>98%</w:t>
            </w:r>
          </w:p>
        </w:tc>
        <w:tc>
          <w:tcPr>
            <w:tcW w:w="219" w:type="dxa"/>
            <w:vAlign w:val="center"/>
            <w:hideMark/>
          </w:tcPr>
          <w:p w14:paraId="0CB5D421" w14:textId="77777777" w:rsidR="005917B5" w:rsidRPr="001C42C5" w:rsidRDefault="005917B5">
            <w:pPr>
              <w:rPr>
                <w:sz w:val="20"/>
                <w:szCs w:val="20"/>
              </w:rPr>
            </w:pPr>
          </w:p>
        </w:tc>
      </w:tr>
      <w:tr w:rsidR="001C42C5" w:rsidRPr="001C42C5" w14:paraId="20A5323E" w14:textId="77777777" w:rsidTr="00033347">
        <w:trPr>
          <w:trHeight w:val="245"/>
          <w:jc w:val="center"/>
        </w:trPr>
        <w:tc>
          <w:tcPr>
            <w:tcW w:w="821" w:type="dxa"/>
            <w:tcBorders>
              <w:top w:val="nil"/>
              <w:left w:val="single" w:sz="4" w:space="0" w:color="auto"/>
              <w:bottom w:val="single" w:sz="4" w:space="0" w:color="auto"/>
              <w:right w:val="single" w:sz="4" w:space="0" w:color="auto"/>
            </w:tcBorders>
            <w:noWrap/>
            <w:vAlign w:val="bottom"/>
            <w:hideMark/>
          </w:tcPr>
          <w:p w14:paraId="7680470B" w14:textId="77777777" w:rsidR="005917B5" w:rsidRPr="001C42C5" w:rsidRDefault="005917B5">
            <w:pPr>
              <w:jc w:val="center"/>
              <w:rPr>
                <w:rFonts w:ascii="Arial" w:hAnsi="Arial" w:cs="Arial"/>
                <w:sz w:val="20"/>
                <w:szCs w:val="20"/>
              </w:rPr>
            </w:pPr>
            <w:r w:rsidRPr="001C42C5">
              <w:rPr>
                <w:rFonts w:ascii="Arial" w:hAnsi="Arial" w:cs="Arial"/>
                <w:sz w:val="20"/>
                <w:szCs w:val="20"/>
              </w:rPr>
              <w:t> </w:t>
            </w:r>
          </w:p>
        </w:tc>
        <w:tc>
          <w:tcPr>
            <w:tcW w:w="2252" w:type="dxa"/>
            <w:tcBorders>
              <w:top w:val="nil"/>
              <w:left w:val="nil"/>
              <w:bottom w:val="single" w:sz="4" w:space="0" w:color="auto"/>
              <w:right w:val="nil"/>
            </w:tcBorders>
            <w:noWrap/>
            <w:vAlign w:val="bottom"/>
            <w:hideMark/>
          </w:tcPr>
          <w:p w14:paraId="32325926" w14:textId="77777777" w:rsidR="005917B5" w:rsidRPr="001C42C5" w:rsidRDefault="005917B5">
            <w:pPr>
              <w:rPr>
                <w:rFonts w:ascii="Arial" w:hAnsi="Arial" w:cs="Arial"/>
                <w:sz w:val="18"/>
                <w:szCs w:val="18"/>
              </w:rPr>
            </w:pPr>
            <w:r w:rsidRPr="001C42C5">
              <w:rPr>
                <w:rFonts w:ascii="Arial" w:hAnsi="Arial" w:cs="Arial"/>
                <w:sz w:val="18"/>
                <w:szCs w:val="18"/>
              </w:rPr>
              <w:t>RASHODI</w:t>
            </w:r>
          </w:p>
        </w:tc>
        <w:tc>
          <w:tcPr>
            <w:tcW w:w="1053" w:type="dxa"/>
            <w:tcBorders>
              <w:top w:val="nil"/>
              <w:left w:val="nil"/>
              <w:bottom w:val="single" w:sz="4" w:space="0" w:color="auto"/>
              <w:right w:val="single" w:sz="4" w:space="0" w:color="auto"/>
            </w:tcBorders>
            <w:noWrap/>
            <w:vAlign w:val="bottom"/>
            <w:hideMark/>
          </w:tcPr>
          <w:p w14:paraId="5092CCDD" w14:textId="77777777" w:rsidR="005917B5" w:rsidRPr="001C42C5" w:rsidRDefault="005917B5">
            <w:pPr>
              <w:rPr>
                <w:rFonts w:ascii="Arial" w:hAnsi="Arial" w:cs="Arial"/>
                <w:sz w:val="20"/>
                <w:szCs w:val="20"/>
              </w:rPr>
            </w:pPr>
            <w:r w:rsidRPr="001C42C5">
              <w:rPr>
                <w:rFonts w:ascii="Arial" w:hAnsi="Arial" w:cs="Arial"/>
                <w:sz w:val="20"/>
                <w:szCs w:val="20"/>
              </w:rPr>
              <w:t> </w:t>
            </w:r>
          </w:p>
        </w:tc>
        <w:tc>
          <w:tcPr>
            <w:tcW w:w="1476" w:type="dxa"/>
            <w:tcBorders>
              <w:top w:val="nil"/>
              <w:left w:val="nil"/>
              <w:bottom w:val="single" w:sz="4" w:space="0" w:color="auto"/>
              <w:right w:val="single" w:sz="4" w:space="0" w:color="auto"/>
            </w:tcBorders>
            <w:noWrap/>
            <w:vAlign w:val="bottom"/>
            <w:hideMark/>
          </w:tcPr>
          <w:p w14:paraId="2ACA0DC2" w14:textId="77777777" w:rsidR="005917B5" w:rsidRPr="001C42C5" w:rsidRDefault="005917B5">
            <w:pPr>
              <w:jc w:val="right"/>
              <w:rPr>
                <w:rFonts w:ascii="Arial" w:hAnsi="Arial" w:cs="Arial"/>
                <w:sz w:val="20"/>
                <w:szCs w:val="20"/>
              </w:rPr>
            </w:pPr>
            <w:r w:rsidRPr="001C42C5">
              <w:rPr>
                <w:rFonts w:ascii="Arial" w:hAnsi="Arial" w:cs="Arial"/>
                <w:sz w:val="20"/>
                <w:szCs w:val="20"/>
              </w:rPr>
              <w:t>85.797,10</w:t>
            </w:r>
          </w:p>
        </w:tc>
        <w:tc>
          <w:tcPr>
            <w:tcW w:w="1476" w:type="dxa"/>
            <w:tcBorders>
              <w:top w:val="nil"/>
              <w:left w:val="nil"/>
              <w:bottom w:val="single" w:sz="4" w:space="0" w:color="auto"/>
              <w:right w:val="single" w:sz="4" w:space="0" w:color="auto"/>
            </w:tcBorders>
            <w:vAlign w:val="center"/>
            <w:hideMark/>
          </w:tcPr>
          <w:p w14:paraId="247E8C4B" w14:textId="77777777" w:rsidR="005917B5" w:rsidRPr="001C42C5" w:rsidRDefault="005917B5">
            <w:pPr>
              <w:jc w:val="right"/>
              <w:rPr>
                <w:rFonts w:ascii="Arial" w:hAnsi="Arial" w:cs="Arial"/>
                <w:sz w:val="20"/>
                <w:szCs w:val="20"/>
              </w:rPr>
            </w:pPr>
            <w:r w:rsidRPr="001C42C5">
              <w:rPr>
                <w:rFonts w:ascii="Arial" w:hAnsi="Arial" w:cs="Arial"/>
                <w:sz w:val="20"/>
                <w:szCs w:val="20"/>
              </w:rPr>
              <w:t>74.674,00</w:t>
            </w:r>
          </w:p>
        </w:tc>
        <w:tc>
          <w:tcPr>
            <w:tcW w:w="1476" w:type="dxa"/>
            <w:tcBorders>
              <w:top w:val="nil"/>
              <w:left w:val="nil"/>
              <w:bottom w:val="single" w:sz="4" w:space="0" w:color="auto"/>
              <w:right w:val="single" w:sz="4" w:space="0" w:color="auto"/>
            </w:tcBorders>
            <w:vAlign w:val="center"/>
            <w:hideMark/>
          </w:tcPr>
          <w:p w14:paraId="25D8D14B" w14:textId="77777777" w:rsidR="005917B5" w:rsidRPr="001C42C5" w:rsidRDefault="005917B5">
            <w:pPr>
              <w:jc w:val="right"/>
              <w:rPr>
                <w:rFonts w:ascii="Arial" w:hAnsi="Arial" w:cs="Arial"/>
                <w:sz w:val="20"/>
                <w:szCs w:val="20"/>
              </w:rPr>
            </w:pPr>
            <w:r w:rsidRPr="001C42C5">
              <w:rPr>
                <w:rFonts w:ascii="Arial" w:hAnsi="Arial" w:cs="Arial"/>
                <w:sz w:val="20"/>
                <w:szCs w:val="20"/>
              </w:rPr>
              <w:t>73.025,19</w:t>
            </w:r>
          </w:p>
        </w:tc>
        <w:tc>
          <w:tcPr>
            <w:tcW w:w="889" w:type="dxa"/>
            <w:tcBorders>
              <w:top w:val="nil"/>
              <w:left w:val="nil"/>
              <w:bottom w:val="single" w:sz="4" w:space="0" w:color="auto"/>
              <w:right w:val="single" w:sz="4" w:space="0" w:color="auto"/>
            </w:tcBorders>
            <w:vAlign w:val="center"/>
            <w:hideMark/>
          </w:tcPr>
          <w:p w14:paraId="09E1FEFE" w14:textId="77777777" w:rsidR="005917B5" w:rsidRPr="001C42C5" w:rsidRDefault="005917B5">
            <w:pPr>
              <w:jc w:val="right"/>
              <w:rPr>
                <w:rFonts w:ascii="Arial" w:hAnsi="Arial" w:cs="Arial"/>
                <w:sz w:val="20"/>
                <w:szCs w:val="20"/>
              </w:rPr>
            </w:pPr>
            <w:r w:rsidRPr="001C42C5">
              <w:rPr>
                <w:rFonts w:ascii="Arial" w:hAnsi="Arial" w:cs="Arial"/>
                <w:sz w:val="20"/>
                <w:szCs w:val="20"/>
              </w:rPr>
              <w:t>85%</w:t>
            </w:r>
          </w:p>
        </w:tc>
        <w:tc>
          <w:tcPr>
            <w:tcW w:w="889" w:type="dxa"/>
            <w:tcBorders>
              <w:top w:val="nil"/>
              <w:left w:val="nil"/>
              <w:bottom w:val="single" w:sz="4" w:space="0" w:color="auto"/>
              <w:right w:val="single" w:sz="4" w:space="0" w:color="auto"/>
            </w:tcBorders>
            <w:noWrap/>
            <w:vAlign w:val="bottom"/>
            <w:hideMark/>
          </w:tcPr>
          <w:p w14:paraId="3E001A75" w14:textId="77777777" w:rsidR="005917B5" w:rsidRPr="001C42C5" w:rsidRDefault="005917B5">
            <w:pPr>
              <w:jc w:val="right"/>
              <w:rPr>
                <w:rFonts w:ascii="Calibri" w:hAnsi="Calibri" w:cs="Calibri"/>
                <w:sz w:val="22"/>
                <w:szCs w:val="22"/>
              </w:rPr>
            </w:pPr>
            <w:r w:rsidRPr="001C42C5">
              <w:rPr>
                <w:rFonts w:ascii="Calibri" w:hAnsi="Calibri" w:cs="Calibri"/>
                <w:sz w:val="22"/>
                <w:szCs w:val="22"/>
              </w:rPr>
              <w:t>98%</w:t>
            </w:r>
          </w:p>
        </w:tc>
        <w:tc>
          <w:tcPr>
            <w:tcW w:w="219" w:type="dxa"/>
            <w:vAlign w:val="center"/>
            <w:hideMark/>
          </w:tcPr>
          <w:p w14:paraId="2503DF96" w14:textId="77777777" w:rsidR="005917B5" w:rsidRPr="001C42C5" w:rsidRDefault="005917B5">
            <w:pPr>
              <w:rPr>
                <w:sz w:val="20"/>
                <w:szCs w:val="20"/>
              </w:rPr>
            </w:pPr>
          </w:p>
        </w:tc>
      </w:tr>
      <w:tr w:rsidR="001C42C5" w:rsidRPr="001C42C5" w14:paraId="19A80B82" w14:textId="77777777" w:rsidTr="00033347">
        <w:trPr>
          <w:trHeight w:val="245"/>
          <w:jc w:val="center"/>
        </w:trPr>
        <w:tc>
          <w:tcPr>
            <w:tcW w:w="821" w:type="dxa"/>
            <w:tcBorders>
              <w:top w:val="nil"/>
              <w:left w:val="single" w:sz="4" w:space="0" w:color="auto"/>
              <w:bottom w:val="single" w:sz="4" w:space="0" w:color="auto"/>
              <w:right w:val="single" w:sz="4" w:space="0" w:color="auto"/>
            </w:tcBorders>
            <w:noWrap/>
            <w:vAlign w:val="bottom"/>
            <w:hideMark/>
          </w:tcPr>
          <w:p w14:paraId="7C854990" w14:textId="77777777" w:rsidR="005917B5" w:rsidRPr="001C42C5" w:rsidRDefault="005917B5">
            <w:pPr>
              <w:jc w:val="center"/>
              <w:rPr>
                <w:rFonts w:ascii="Arial" w:hAnsi="Arial" w:cs="Arial"/>
                <w:sz w:val="20"/>
                <w:szCs w:val="20"/>
              </w:rPr>
            </w:pPr>
            <w:r w:rsidRPr="001C42C5">
              <w:rPr>
                <w:rFonts w:ascii="Arial" w:hAnsi="Arial" w:cs="Arial"/>
                <w:sz w:val="20"/>
                <w:szCs w:val="20"/>
              </w:rPr>
              <w:t> </w:t>
            </w:r>
          </w:p>
        </w:tc>
        <w:tc>
          <w:tcPr>
            <w:tcW w:w="2252" w:type="dxa"/>
            <w:tcBorders>
              <w:top w:val="nil"/>
              <w:left w:val="nil"/>
              <w:bottom w:val="single" w:sz="4" w:space="0" w:color="auto"/>
              <w:right w:val="nil"/>
            </w:tcBorders>
            <w:noWrap/>
            <w:vAlign w:val="bottom"/>
            <w:hideMark/>
          </w:tcPr>
          <w:p w14:paraId="20641FBC" w14:textId="77777777" w:rsidR="005917B5" w:rsidRPr="001C42C5" w:rsidRDefault="005917B5">
            <w:pPr>
              <w:rPr>
                <w:rFonts w:ascii="Arial" w:hAnsi="Arial" w:cs="Arial"/>
                <w:sz w:val="18"/>
                <w:szCs w:val="18"/>
              </w:rPr>
            </w:pPr>
            <w:r w:rsidRPr="001C42C5">
              <w:rPr>
                <w:rFonts w:ascii="Arial" w:hAnsi="Arial" w:cs="Arial"/>
                <w:sz w:val="18"/>
                <w:szCs w:val="18"/>
              </w:rPr>
              <w:t> </w:t>
            </w:r>
          </w:p>
        </w:tc>
        <w:tc>
          <w:tcPr>
            <w:tcW w:w="1053" w:type="dxa"/>
            <w:tcBorders>
              <w:top w:val="nil"/>
              <w:left w:val="nil"/>
              <w:bottom w:val="single" w:sz="4" w:space="0" w:color="auto"/>
              <w:right w:val="single" w:sz="4" w:space="0" w:color="auto"/>
            </w:tcBorders>
            <w:noWrap/>
            <w:vAlign w:val="bottom"/>
            <w:hideMark/>
          </w:tcPr>
          <w:p w14:paraId="3C22440B" w14:textId="0512C690" w:rsidR="005917B5" w:rsidRPr="001C42C5" w:rsidRDefault="004C49AC">
            <w:pPr>
              <w:jc w:val="right"/>
              <w:rPr>
                <w:rFonts w:ascii="Arial" w:hAnsi="Arial" w:cs="Arial"/>
                <w:sz w:val="18"/>
                <w:szCs w:val="18"/>
              </w:rPr>
            </w:pPr>
            <w:r w:rsidRPr="001C42C5">
              <w:rPr>
                <w:rFonts w:ascii="Arial" w:hAnsi="Arial" w:cs="Arial"/>
                <w:sz w:val="18"/>
                <w:szCs w:val="18"/>
              </w:rPr>
              <w:t>REZULTAT</w:t>
            </w:r>
          </w:p>
        </w:tc>
        <w:tc>
          <w:tcPr>
            <w:tcW w:w="1476" w:type="dxa"/>
            <w:tcBorders>
              <w:top w:val="nil"/>
              <w:left w:val="nil"/>
              <w:bottom w:val="single" w:sz="4" w:space="0" w:color="auto"/>
              <w:right w:val="single" w:sz="4" w:space="0" w:color="auto"/>
            </w:tcBorders>
            <w:vAlign w:val="center"/>
            <w:hideMark/>
          </w:tcPr>
          <w:p w14:paraId="09991E2F" w14:textId="77777777" w:rsidR="005917B5" w:rsidRPr="001C42C5" w:rsidRDefault="005917B5">
            <w:pPr>
              <w:jc w:val="right"/>
              <w:rPr>
                <w:rFonts w:ascii="Arial" w:hAnsi="Arial" w:cs="Arial"/>
                <w:sz w:val="20"/>
                <w:szCs w:val="20"/>
              </w:rPr>
            </w:pPr>
            <w:r w:rsidRPr="001C42C5">
              <w:rPr>
                <w:rFonts w:ascii="Arial" w:hAnsi="Arial" w:cs="Arial"/>
                <w:sz w:val="20"/>
                <w:szCs w:val="20"/>
              </w:rPr>
              <w:t>0,00</w:t>
            </w:r>
          </w:p>
        </w:tc>
        <w:tc>
          <w:tcPr>
            <w:tcW w:w="1476" w:type="dxa"/>
            <w:tcBorders>
              <w:top w:val="nil"/>
              <w:left w:val="nil"/>
              <w:bottom w:val="single" w:sz="4" w:space="0" w:color="auto"/>
              <w:right w:val="single" w:sz="4" w:space="0" w:color="auto"/>
            </w:tcBorders>
            <w:vAlign w:val="center"/>
            <w:hideMark/>
          </w:tcPr>
          <w:p w14:paraId="5227AFCA" w14:textId="77777777" w:rsidR="005917B5" w:rsidRPr="001C42C5" w:rsidRDefault="005917B5">
            <w:pPr>
              <w:jc w:val="right"/>
              <w:rPr>
                <w:rFonts w:ascii="Arial" w:hAnsi="Arial" w:cs="Arial"/>
                <w:sz w:val="20"/>
                <w:szCs w:val="20"/>
              </w:rPr>
            </w:pPr>
            <w:r w:rsidRPr="001C42C5">
              <w:rPr>
                <w:rFonts w:ascii="Arial" w:hAnsi="Arial" w:cs="Arial"/>
                <w:sz w:val="20"/>
                <w:szCs w:val="20"/>
              </w:rPr>
              <w:t>0,00</w:t>
            </w:r>
          </w:p>
        </w:tc>
        <w:tc>
          <w:tcPr>
            <w:tcW w:w="1476" w:type="dxa"/>
            <w:tcBorders>
              <w:top w:val="nil"/>
              <w:left w:val="nil"/>
              <w:bottom w:val="single" w:sz="4" w:space="0" w:color="auto"/>
              <w:right w:val="single" w:sz="4" w:space="0" w:color="auto"/>
            </w:tcBorders>
            <w:vAlign w:val="center"/>
            <w:hideMark/>
          </w:tcPr>
          <w:p w14:paraId="578FB37F" w14:textId="77777777" w:rsidR="005917B5" w:rsidRPr="001C42C5" w:rsidRDefault="005917B5">
            <w:pPr>
              <w:jc w:val="right"/>
              <w:rPr>
                <w:rFonts w:ascii="Arial" w:hAnsi="Arial" w:cs="Arial"/>
                <w:sz w:val="20"/>
                <w:szCs w:val="20"/>
              </w:rPr>
            </w:pPr>
            <w:r w:rsidRPr="001C42C5">
              <w:rPr>
                <w:rFonts w:ascii="Arial" w:hAnsi="Arial" w:cs="Arial"/>
                <w:sz w:val="20"/>
                <w:szCs w:val="20"/>
              </w:rPr>
              <w:t>0,00</w:t>
            </w:r>
          </w:p>
        </w:tc>
        <w:tc>
          <w:tcPr>
            <w:tcW w:w="889" w:type="dxa"/>
            <w:tcBorders>
              <w:top w:val="nil"/>
              <w:left w:val="nil"/>
              <w:bottom w:val="single" w:sz="4" w:space="0" w:color="auto"/>
              <w:right w:val="single" w:sz="4" w:space="0" w:color="auto"/>
            </w:tcBorders>
            <w:vAlign w:val="center"/>
            <w:hideMark/>
          </w:tcPr>
          <w:p w14:paraId="3EE5E42E" w14:textId="77777777" w:rsidR="005917B5" w:rsidRPr="001C42C5" w:rsidRDefault="005917B5">
            <w:pPr>
              <w:rPr>
                <w:rFonts w:ascii="Arial" w:hAnsi="Arial" w:cs="Arial"/>
                <w:sz w:val="20"/>
                <w:szCs w:val="20"/>
              </w:rPr>
            </w:pPr>
            <w:r w:rsidRPr="001C42C5">
              <w:rPr>
                <w:rFonts w:ascii="Arial" w:hAnsi="Arial" w:cs="Arial"/>
                <w:sz w:val="20"/>
                <w:szCs w:val="20"/>
              </w:rPr>
              <w:t> </w:t>
            </w:r>
          </w:p>
        </w:tc>
        <w:tc>
          <w:tcPr>
            <w:tcW w:w="889" w:type="dxa"/>
            <w:tcBorders>
              <w:top w:val="nil"/>
              <w:left w:val="nil"/>
              <w:bottom w:val="single" w:sz="4" w:space="0" w:color="auto"/>
              <w:right w:val="single" w:sz="4" w:space="0" w:color="auto"/>
            </w:tcBorders>
            <w:noWrap/>
            <w:vAlign w:val="bottom"/>
            <w:hideMark/>
          </w:tcPr>
          <w:p w14:paraId="146F98C6" w14:textId="77777777" w:rsidR="005917B5" w:rsidRPr="001C42C5" w:rsidRDefault="005917B5">
            <w:pPr>
              <w:rPr>
                <w:rFonts w:ascii="Calibri" w:hAnsi="Calibri" w:cs="Calibri"/>
                <w:sz w:val="22"/>
                <w:szCs w:val="22"/>
              </w:rPr>
            </w:pPr>
            <w:r w:rsidRPr="001C42C5">
              <w:rPr>
                <w:rFonts w:ascii="Calibri" w:hAnsi="Calibri" w:cs="Calibri"/>
                <w:sz w:val="22"/>
                <w:szCs w:val="22"/>
              </w:rPr>
              <w:t> </w:t>
            </w:r>
          </w:p>
        </w:tc>
        <w:tc>
          <w:tcPr>
            <w:tcW w:w="219" w:type="dxa"/>
            <w:vAlign w:val="center"/>
            <w:hideMark/>
          </w:tcPr>
          <w:p w14:paraId="1844922A" w14:textId="77777777" w:rsidR="005917B5" w:rsidRPr="001C42C5" w:rsidRDefault="005917B5">
            <w:pPr>
              <w:rPr>
                <w:sz w:val="20"/>
                <w:szCs w:val="20"/>
              </w:rPr>
            </w:pPr>
          </w:p>
        </w:tc>
      </w:tr>
      <w:tr w:rsidR="001C42C5" w:rsidRPr="001C42C5" w14:paraId="7232C60F" w14:textId="77777777" w:rsidTr="00033347">
        <w:trPr>
          <w:trHeight w:val="245"/>
          <w:jc w:val="center"/>
        </w:trPr>
        <w:tc>
          <w:tcPr>
            <w:tcW w:w="821" w:type="dxa"/>
            <w:tcBorders>
              <w:top w:val="nil"/>
              <w:left w:val="single" w:sz="4" w:space="0" w:color="auto"/>
              <w:bottom w:val="single" w:sz="4" w:space="0" w:color="auto"/>
              <w:right w:val="single" w:sz="4" w:space="0" w:color="auto"/>
            </w:tcBorders>
            <w:noWrap/>
            <w:vAlign w:val="bottom"/>
            <w:hideMark/>
          </w:tcPr>
          <w:p w14:paraId="5ECE412F" w14:textId="77777777" w:rsidR="005917B5" w:rsidRPr="001C42C5" w:rsidRDefault="005917B5">
            <w:pPr>
              <w:jc w:val="center"/>
              <w:rPr>
                <w:rFonts w:ascii="Arial" w:hAnsi="Arial" w:cs="Arial"/>
                <w:b/>
                <w:bCs/>
                <w:sz w:val="20"/>
                <w:szCs w:val="20"/>
              </w:rPr>
            </w:pPr>
            <w:r w:rsidRPr="001C42C5">
              <w:rPr>
                <w:rFonts w:ascii="Arial" w:hAnsi="Arial" w:cs="Arial"/>
                <w:b/>
                <w:bCs/>
                <w:sz w:val="20"/>
                <w:szCs w:val="20"/>
              </w:rPr>
              <w:t>55</w:t>
            </w:r>
          </w:p>
        </w:tc>
        <w:tc>
          <w:tcPr>
            <w:tcW w:w="3305" w:type="dxa"/>
            <w:gridSpan w:val="2"/>
            <w:tcBorders>
              <w:top w:val="single" w:sz="4" w:space="0" w:color="auto"/>
              <w:left w:val="nil"/>
              <w:bottom w:val="single" w:sz="4" w:space="0" w:color="auto"/>
              <w:right w:val="single" w:sz="4" w:space="0" w:color="000000"/>
            </w:tcBorders>
            <w:noWrap/>
            <w:vAlign w:val="bottom"/>
            <w:hideMark/>
          </w:tcPr>
          <w:p w14:paraId="29A78270" w14:textId="77777777" w:rsidR="005917B5" w:rsidRPr="001C42C5" w:rsidRDefault="005917B5">
            <w:pPr>
              <w:rPr>
                <w:rFonts w:ascii="Arial" w:hAnsi="Arial" w:cs="Arial"/>
                <w:b/>
                <w:bCs/>
                <w:sz w:val="20"/>
                <w:szCs w:val="20"/>
              </w:rPr>
            </w:pPr>
            <w:r w:rsidRPr="001C42C5">
              <w:rPr>
                <w:rFonts w:ascii="Arial" w:hAnsi="Arial" w:cs="Arial"/>
                <w:b/>
                <w:bCs/>
                <w:sz w:val="20"/>
                <w:szCs w:val="20"/>
              </w:rPr>
              <w:t>Jedinice lokalne samouprave</w:t>
            </w:r>
          </w:p>
        </w:tc>
        <w:tc>
          <w:tcPr>
            <w:tcW w:w="1476" w:type="dxa"/>
            <w:tcBorders>
              <w:top w:val="nil"/>
              <w:left w:val="nil"/>
              <w:bottom w:val="single" w:sz="4" w:space="0" w:color="auto"/>
              <w:right w:val="single" w:sz="4" w:space="0" w:color="auto"/>
            </w:tcBorders>
            <w:noWrap/>
            <w:vAlign w:val="bottom"/>
            <w:hideMark/>
          </w:tcPr>
          <w:p w14:paraId="1A43DEC7" w14:textId="77777777" w:rsidR="005917B5" w:rsidRPr="001C42C5" w:rsidRDefault="005917B5">
            <w:pPr>
              <w:jc w:val="right"/>
              <w:rPr>
                <w:rFonts w:ascii="Arial" w:hAnsi="Arial" w:cs="Arial"/>
                <w:b/>
                <w:bCs/>
                <w:sz w:val="20"/>
                <w:szCs w:val="20"/>
              </w:rPr>
            </w:pPr>
            <w:r w:rsidRPr="001C42C5">
              <w:rPr>
                <w:rFonts w:ascii="Arial" w:hAnsi="Arial" w:cs="Arial"/>
                <w:b/>
                <w:bCs/>
                <w:sz w:val="20"/>
                <w:szCs w:val="20"/>
              </w:rPr>
              <w:t> </w:t>
            </w:r>
          </w:p>
        </w:tc>
        <w:tc>
          <w:tcPr>
            <w:tcW w:w="1476" w:type="dxa"/>
            <w:tcBorders>
              <w:top w:val="nil"/>
              <w:left w:val="nil"/>
              <w:bottom w:val="single" w:sz="4" w:space="0" w:color="auto"/>
              <w:right w:val="single" w:sz="4" w:space="0" w:color="auto"/>
            </w:tcBorders>
            <w:noWrap/>
            <w:vAlign w:val="bottom"/>
            <w:hideMark/>
          </w:tcPr>
          <w:p w14:paraId="38C634D6" w14:textId="77777777" w:rsidR="005917B5" w:rsidRPr="001C42C5" w:rsidRDefault="005917B5">
            <w:pPr>
              <w:rPr>
                <w:rFonts w:ascii="Arial" w:hAnsi="Arial" w:cs="Arial"/>
                <w:sz w:val="20"/>
                <w:szCs w:val="20"/>
              </w:rPr>
            </w:pPr>
            <w:r w:rsidRPr="001C42C5">
              <w:rPr>
                <w:rFonts w:ascii="Arial" w:hAnsi="Arial" w:cs="Arial"/>
                <w:sz w:val="20"/>
                <w:szCs w:val="20"/>
              </w:rPr>
              <w:t> </w:t>
            </w:r>
          </w:p>
        </w:tc>
        <w:tc>
          <w:tcPr>
            <w:tcW w:w="1476" w:type="dxa"/>
            <w:tcBorders>
              <w:top w:val="nil"/>
              <w:left w:val="nil"/>
              <w:bottom w:val="single" w:sz="4" w:space="0" w:color="auto"/>
              <w:right w:val="single" w:sz="4" w:space="0" w:color="auto"/>
            </w:tcBorders>
            <w:noWrap/>
            <w:vAlign w:val="bottom"/>
            <w:hideMark/>
          </w:tcPr>
          <w:p w14:paraId="26E5C697" w14:textId="77777777" w:rsidR="005917B5" w:rsidRPr="001C42C5" w:rsidRDefault="005917B5">
            <w:pPr>
              <w:rPr>
                <w:rFonts w:ascii="Arial" w:hAnsi="Arial" w:cs="Arial"/>
                <w:sz w:val="20"/>
                <w:szCs w:val="20"/>
              </w:rPr>
            </w:pPr>
            <w:r w:rsidRPr="001C42C5">
              <w:rPr>
                <w:rFonts w:ascii="Arial" w:hAnsi="Arial" w:cs="Arial"/>
                <w:sz w:val="20"/>
                <w:szCs w:val="20"/>
              </w:rPr>
              <w:t> </w:t>
            </w:r>
          </w:p>
        </w:tc>
        <w:tc>
          <w:tcPr>
            <w:tcW w:w="889" w:type="dxa"/>
            <w:tcBorders>
              <w:top w:val="nil"/>
              <w:left w:val="nil"/>
              <w:bottom w:val="single" w:sz="4" w:space="0" w:color="auto"/>
              <w:right w:val="single" w:sz="4" w:space="0" w:color="auto"/>
            </w:tcBorders>
            <w:noWrap/>
            <w:vAlign w:val="bottom"/>
            <w:hideMark/>
          </w:tcPr>
          <w:p w14:paraId="58006852" w14:textId="77777777" w:rsidR="005917B5" w:rsidRPr="001C42C5" w:rsidRDefault="005917B5">
            <w:pPr>
              <w:rPr>
                <w:rFonts w:ascii="Arial" w:hAnsi="Arial" w:cs="Arial"/>
                <w:sz w:val="20"/>
                <w:szCs w:val="20"/>
              </w:rPr>
            </w:pPr>
            <w:r w:rsidRPr="001C42C5">
              <w:rPr>
                <w:rFonts w:ascii="Arial" w:hAnsi="Arial" w:cs="Arial"/>
                <w:sz w:val="20"/>
                <w:szCs w:val="20"/>
              </w:rPr>
              <w:t> </w:t>
            </w:r>
          </w:p>
        </w:tc>
        <w:tc>
          <w:tcPr>
            <w:tcW w:w="889" w:type="dxa"/>
            <w:tcBorders>
              <w:top w:val="nil"/>
              <w:left w:val="nil"/>
              <w:bottom w:val="single" w:sz="4" w:space="0" w:color="auto"/>
              <w:right w:val="single" w:sz="4" w:space="0" w:color="auto"/>
            </w:tcBorders>
            <w:noWrap/>
            <w:vAlign w:val="bottom"/>
            <w:hideMark/>
          </w:tcPr>
          <w:p w14:paraId="22AEE6FC" w14:textId="77777777" w:rsidR="005917B5" w:rsidRPr="001C42C5" w:rsidRDefault="005917B5">
            <w:pPr>
              <w:rPr>
                <w:rFonts w:ascii="Calibri" w:hAnsi="Calibri" w:cs="Calibri"/>
                <w:sz w:val="22"/>
                <w:szCs w:val="22"/>
              </w:rPr>
            </w:pPr>
            <w:r w:rsidRPr="001C42C5">
              <w:rPr>
                <w:rFonts w:ascii="Calibri" w:hAnsi="Calibri" w:cs="Calibri"/>
                <w:sz w:val="22"/>
                <w:szCs w:val="22"/>
              </w:rPr>
              <w:t> </w:t>
            </w:r>
          </w:p>
        </w:tc>
        <w:tc>
          <w:tcPr>
            <w:tcW w:w="219" w:type="dxa"/>
            <w:vAlign w:val="center"/>
            <w:hideMark/>
          </w:tcPr>
          <w:p w14:paraId="2AE0192E" w14:textId="77777777" w:rsidR="005917B5" w:rsidRPr="001C42C5" w:rsidRDefault="005917B5">
            <w:pPr>
              <w:rPr>
                <w:sz w:val="20"/>
                <w:szCs w:val="20"/>
              </w:rPr>
            </w:pPr>
          </w:p>
        </w:tc>
      </w:tr>
      <w:tr w:rsidR="001C42C5" w:rsidRPr="001C42C5" w14:paraId="48AC174E" w14:textId="77777777" w:rsidTr="00033347">
        <w:trPr>
          <w:trHeight w:val="245"/>
          <w:jc w:val="center"/>
        </w:trPr>
        <w:tc>
          <w:tcPr>
            <w:tcW w:w="821" w:type="dxa"/>
            <w:tcBorders>
              <w:top w:val="nil"/>
              <w:left w:val="single" w:sz="4" w:space="0" w:color="auto"/>
              <w:bottom w:val="single" w:sz="4" w:space="0" w:color="auto"/>
              <w:right w:val="single" w:sz="4" w:space="0" w:color="auto"/>
            </w:tcBorders>
            <w:noWrap/>
            <w:vAlign w:val="bottom"/>
            <w:hideMark/>
          </w:tcPr>
          <w:p w14:paraId="20E5312D" w14:textId="77777777" w:rsidR="005917B5" w:rsidRPr="001C42C5" w:rsidRDefault="005917B5">
            <w:pPr>
              <w:jc w:val="center"/>
              <w:rPr>
                <w:rFonts w:ascii="Arial" w:hAnsi="Arial" w:cs="Arial"/>
                <w:sz w:val="20"/>
                <w:szCs w:val="20"/>
              </w:rPr>
            </w:pPr>
            <w:r w:rsidRPr="001C42C5">
              <w:rPr>
                <w:rFonts w:ascii="Arial" w:hAnsi="Arial" w:cs="Arial"/>
                <w:sz w:val="20"/>
                <w:szCs w:val="20"/>
              </w:rPr>
              <w:t> </w:t>
            </w:r>
          </w:p>
        </w:tc>
        <w:tc>
          <w:tcPr>
            <w:tcW w:w="2252" w:type="dxa"/>
            <w:tcBorders>
              <w:top w:val="nil"/>
              <w:left w:val="nil"/>
              <w:bottom w:val="single" w:sz="4" w:space="0" w:color="auto"/>
              <w:right w:val="nil"/>
            </w:tcBorders>
            <w:noWrap/>
            <w:vAlign w:val="bottom"/>
            <w:hideMark/>
          </w:tcPr>
          <w:p w14:paraId="139C4B6A" w14:textId="77777777" w:rsidR="005917B5" w:rsidRPr="001C42C5" w:rsidRDefault="005917B5">
            <w:pPr>
              <w:rPr>
                <w:rFonts w:ascii="Arial" w:hAnsi="Arial" w:cs="Arial"/>
                <w:sz w:val="18"/>
                <w:szCs w:val="18"/>
              </w:rPr>
            </w:pPr>
            <w:r w:rsidRPr="001C42C5">
              <w:rPr>
                <w:rFonts w:ascii="Arial" w:hAnsi="Arial" w:cs="Arial"/>
                <w:sz w:val="18"/>
                <w:szCs w:val="18"/>
              </w:rPr>
              <w:t>PRIHODI</w:t>
            </w:r>
          </w:p>
        </w:tc>
        <w:tc>
          <w:tcPr>
            <w:tcW w:w="1053" w:type="dxa"/>
            <w:tcBorders>
              <w:top w:val="nil"/>
              <w:left w:val="nil"/>
              <w:bottom w:val="single" w:sz="4" w:space="0" w:color="auto"/>
              <w:right w:val="single" w:sz="4" w:space="0" w:color="auto"/>
            </w:tcBorders>
            <w:noWrap/>
            <w:vAlign w:val="bottom"/>
            <w:hideMark/>
          </w:tcPr>
          <w:p w14:paraId="6E05E098" w14:textId="77777777" w:rsidR="005917B5" w:rsidRPr="001C42C5" w:rsidRDefault="005917B5">
            <w:pPr>
              <w:rPr>
                <w:rFonts w:ascii="Arial" w:hAnsi="Arial" w:cs="Arial"/>
                <w:sz w:val="20"/>
                <w:szCs w:val="20"/>
              </w:rPr>
            </w:pPr>
            <w:r w:rsidRPr="001C42C5">
              <w:rPr>
                <w:rFonts w:ascii="Arial" w:hAnsi="Arial" w:cs="Arial"/>
                <w:sz w:val="20"/>
                <w:szCs w:val="20"/>
              </w:rPr>
              <w:t> </w:t>
            </w:r>
          </w:p>
        </w:tc>
        <w:tc>
          <w:tcPr>
            <w:tcW w:w="1476" w:type="dxa"/>
            <w:tcBorders>
              <w:top w:val="nil"/>
              <w:left w:val="nil"/>
              <w:bottom w:val="single" w:sz="4" w:space="0" w:color="auto"/>
              <w:right w:val="single" w:sz="4" w:space="0" w:color="auto"/>
            </w:tcBorders>
            <w:noWrap/>
            <w:vAlign w:val="bottom"/>
            <w:hideMark/>
          </w:tcPr>
          <w:p w14:paraId="7286252C" w14:textId="77777777" w:rsidR="005917B5" w:rsidRPr="001C42C5" w:rsidRDefault="005917B5">
            <w:pPr>
              <w:jc w:val="right"/>
              <w:rPr>
                <w:rFonts w:ascii="Arial" w:hAnsi="Arial" w:cs="Arial"/>
                <w:sz w:val="20"/>
                <w:szCs w:val="20"/>
              </w:rPr>
            </w:pPr>
            <w:r w:rsidRPr="001C42C5">
              <w:rPr>
                <w:rFonts w:ascii="Arial" w:hAnsi="Arial" w:cs="Arial"/>
                <w:sz w:val="20"/>
                <w:szCs w:val="20"/>
              </w:rPr>
              <w:t>205.322,80</w:t>
            </w:r>
          </w:p>
        </w:tc>
        <w:tc>
          <w:tcPr>
            <w:tcW w:w="1476" w:type="dxa"/>
            <w:tcBorders>
              <w:top w:val="nil"/>
              <w:left w:val="nil"/>
              <w:bottom w:val="single" w:sz="4" w:space="0" w:color="auto"/>
              <w:right w:val="single" w:sz="4" w:space="0" w:color="auto"/>
            </w:tcBorders>
            <w:noWrap/>
            <w:vAlign w:val="bottom"/>
            <w:hideMark/>
          </w:tcPr>
          <w:p w14:paraId="1F4CEFDD" w14:textId="77777777" w:rsidR="005917B5" w:rsidRPr="001C42C5" w:rsidRDefault="005917B5">
            <w:pPr>
              <w:jc w:val="right"/>
              <w:rPr>
                <w:rFonts w:ascii="Arial" w:hAnsi="Arial" w:cs="Arial"/>
                <w:sz w:val="20"/>
                <w:szCs w:val="20"/>
              </w:rPr>
            </w:pPr>
            <w:r w:rsidRPr="001C42C5">
              <w:rPr>
                <w:rFonts w:ascii="Arial" w:hAnsi="Arial" w:cs="Arial"/>
                <w:sz w:val="20"/>
                <w:szCs w:val="20"/>
              </w:rPr>
              <w:t>225.905,00</w:t>
            </w:r>
          </w:p>
        </w:tc>
        <w:tc>
          <w:tcPr>
            <w:tcW w:w="1476" w:type="dxa"/>
            <w:tcBorders>
              <w:top w:val="nil"/>
              <w:left w:val="nil"/>
              <w:bottom w:val="single" w:sz="4" w:space="0" w:color="auto"/>
              <w:right w:val="single" w:sz="4" w:space="0" w:color="auto"/>
            </w:tcBorders>
            <w:noWrap/>
            <w:vAlign w:val="bottom"/>
            <w:hideMark/>
          </w:tcPr>
          <w:p w14:paraId="659AB3E5" w14:textId="77777777" w:rsidR="005917B5" w:rsidRPr="001C42C5" w:rsidRDefault="005917B5">
            <w:pPr>
              <w:jc w:val="right"/>
              <w:rPr>
                <w:rFonts w:ascii="Arial" w:hAnsi="Arial" w:cs="Arial"/>
                <w:sz w:val="20"/>
                <w:szCs w:val="20"/>
              </w:rPr>
            </w:pPr>
            <w:r w:rsidRPr="001C42C5">
              <w:rPr>
                <w:rFonts w:ascii="Arial" w:hAnsi="Arial" w:cs="Arial"/>
                <w:sz w:val="20"/>
                <w:szCs w:val="20"/>
              </w:rPr>
              <w:t>223.098,86</w:t>
            </w:r>
          </w:p>
        </w:tc>
        <w:tc>
          <w:tcPr>
            <w:tcW w:w="889" w:type="dxa"/>
            <w:tcBorders>
              <w:top w:val="nil"/>
              <w:left w:val="nil"/>
              <w:bottom w:val="single" w:sz="4" w:space="0" w:color="auto"/>
              <w:right w:val="single" w:sz="4" w:space="0" w:color="auto"/>
            </w:tcBorders>
            <w:noWrap/>
            <w:vAlign w:val="bottom"/>
            <w:hideMark/>
          </w:tcPr>
          <w:p w14:paraId="7AF44462" w14:textId="77777777" w:rsidR="005917B5" w:rsidRPr="001C42C5" w:rsidRDefault="005917B5">
            <w:pPr>
              <w:jc w:val="right"/>
              <w:rPr>
                <w:rFonts w:ascii="Arial" w:hAnsi="Arial" w:cs="Arial"/>
                <w:sz w:val="20"/>
                <w:szCs w:val="20"/>
              </w:rPr>
            </w:pPr>
            <w:r w:rsidRPr="001C42C5">
              <w:rPr>
                <w:rFonts w:ascii="Arial" w:hAnsi="Arial" w:cs="Arial"/>
                <w:sz w:val="20"/>
                <w:szCs w:val="20"/>
              </w:rPr>
              <w:t>109%</w:t>
            </w:r>
          </w:p>
        </w:tc>
        <w:tc>
          <w:tcPr>
            <w:tcW w:w="889" w:type="dxa"/>
            <w:tcBorders>
              <w:top w:val="nil"/>
              <w:left w:val="nil"/>
              <w:bottom w:val="single" w:sz="4" w:space="0" w:color="auto"/>
              <w:right w:val="single" w:sz="4" w:space="0" w:color="auto"/>
            </w:tcBorders>
            <w:noWrap/>
            <w:vAlign w:val="bottom"/>
            <w:hideMark/>
          </w:tcPr>
          <w:p w14:paraId="07F06EE6" w14:textId="77777777" w:rsidR="005917B5" w:rsidRPr="001C42C5" w:rsidRDefault="005917B5">
            <w:pPr>
              <w:jc w:val="right"/>
              <w:rPr>
                <w:rFonts w:ascii="Calibri" w:hAnsi="Calibri" w:cs="Calibri"/>
                <w:sz w:val="22"/>
                <w:szCs w:val="22"/>
              </w:rPr>
            </w:pPr>
            <w:r w:rsidRPr="001C42C5">
              <w:rPr>
                <w:rFonts w:ascii="Calibri" w:hAnsi="Calibri" w:cs="Calibri"/>
                <w:sz w:val="22"/>
                <w:szCs w:val="22"/>
              </w:rPr>
              <w:t>99%</w:t>
            </w:r>
          </w:p>
        </w:tc>
        <w:tc>
          <w:tcPr>
            <w:tcW w:w="219" w:type="dxa"/>
            <w:vAlign w:val="center"/>
            <w:hideMark/>
          </w:tcPr>
          <w:p w14:paraId="2DDB1472" w14:textId="77777777" w:rsidR="005917B5" w:rsidRPr="001C42C5" w:rsidRDefault="005917B5">
            <w:pPr>
              <w:rPr>
                <w:sz w:val="20"/>
                <w:szCs w:val="20"/>
              </w:rPr>
            </w:pPr>
          </w:p>
        </w:tc>
      </w:tr>
      <w:tr w:rsidR="001C42C5" w:rsidRPr="001C42C5" w14:paraId="67B25434" w14:textId="77777777" w:rsidTr="00033347">
        <w:trPr>
          <w:trHeight w:val="245"/>
          <w:jc w:val="center"/>
        </w:trPr>
        <w:tc>
          <w:tcPr>
            <w:tcW w:w="821" w:type="dxa"/>
            <w:tcBorders>
              <w:top w:val="nil"/>
              <w:left w:val="single" w:sz="4" w:space="0" w:color="auto"/>
              <w:bottom w:val="single" w:sz="4" w:space="0" w:color="auto"/>
              <w:right w:val="single" w:sz="4" w:space="0" w:color="auto"/>
            </w:tcBorders>
            <w:noWrap/>
            <w:vAlign w:val="bottom"/>
            <w:hideMark/>
          </w:tcPr>
          <w:p w14:paraId="0D06E687" w14:textId="77777777" w:rsidR="005917B5" w:rsidRPr="001C42C5" w:rsidRDefault="005917B5">
            <w:pPr>
              <w:jc w:val="center"/>
              <w:rPr>
                <w:rFonts w:ascii="Arial" w:hAnsi="Arial" w:cs="Arial"/>
                <w:sz w:val="20"/>
                <w:szCs w:val="20"/>
              </w:rPr>
            </w:pPr>
            <w:r w:rsidRPr="001C42C5">
              <w:rPr>
                <w:rFonts w:ascii="Arial" w:hAnsi="Arial" w:cs="Arial"/>
                <w:sz w:val="20"/>
                <w:szCs w:val="20"/>
              </w:rPr>
              <w:t> </w:t>
            </w:r>
          </w:p>
        </w:tc>
        <w:tc>
          <w:tcPr>
            <w:tcW w:w="2252" w:type="dxa"/>
            <w:tcBorders>
              <w:top w:val="nil"/>
              <w:left w:val="nil"/>
              <w:bottom w:val="single" w:sz="4" w:space="0" w:color="auto"/>
              <w:right w:val="nil"/>
            </w:tcBorders>
            <w:noWrap/>
            <w:vAlign w:val="bottom"/>
            <w:hideMark/>
          </w:tcPr>
          <w:p w14:paraId="5CC67EB1" w14:textId="77777777" w:rsidR="005917B5" w:rsidRPr="001C42C5" w:rsidRDefault="005917B5">
            <w:pPr>
              <w:rPr>
                <w:rFonts w:ascii="Arial" w:hAnsi="Arial" w:cs="Arial"/>
                <w:sz w:val="18"/>
                <w:szCs w:val="18"/>
              </w:rPr>
            </w:pPr>
            <w:r w:rsidRPr="001C42C5">
              <w:rPr>
                <w:rFonts w:ascii="Arial" w:hAnsi="Arial" w:cs="Arial"/>
                <w:sz w:val="18"/>
                <w:szCs w:val="18"/>
              </w:rPr>
              <w:t>RASHODI</w:t>
            </w:r>
          </w:p>
        </w:tc>
        <w:tc>
          <w:tcPr>
            <w:tcW w:w="1053" w:type="dxa"/>
            <w:tcBorders>
              <w:top w:val="nil"/>
              <w:left w:val="nil"/>
              <w:bottom w:val="single" w:sz="4" w:space="0" w:color="auto"/>
              <w:right w:val="single" w:sz="4" w:space="0" w:color="auto"/>
            </w:tcBorders>
            <w:noWrap/>
            <w:vAlign w:val="bottom"/>
            <w:hideMark/>
          </w:tcPr>
          <w:p w14:paraId="45F7283D" w14:textId="77777777" w:rsidR="005917B5" w:rsidRPr="001C42C5" w:rsidRDefault="005917B5">
            <w:pPr>
              <w:rPr>
                <w:rFonts w:ascii="Arial" w:hAnsi="Arial" w:cs="Arial"/>
                <w:sz w:val="20"/>
                <w:szCs w:val="20"/>
              </w:rPr>
            </w:pPr>
            <w:r w:rsidRPr="001C42C5">
              <w:rPr>
                <w:rFonts w:ascii="Arial" w:hAnsi="Arial" w:cs="Arial"/>
                <w:sz w:val="20"/>
                <w:szCs w:val="20"/>
              </w:rPr>
              <w:t> </w:t>
            </w:r>
          </w:p>
        </w:tc>
        <w:tc>
          <w:tcPr>
            <w:tcW w:w="1476" w:type="dxa"/>
            <w:tcBorders>
              <w:top w:val="nil"/>
              <w:left w:val="nil"/>
              <w:bottom w:val="single" w:sz="4" w:space="0" w:color="auto"/>
              <w:right w:val="single" w:sz="4" w:space="0" w:color="auto"/>
            </w:tcBorders>
            <w:noWrap/>
            <w:vAlign w:val="bottom"/>
            <w:hideMark/>
          </w:tcPr>
          <w:p w14:paraId="35CF8121" w14:textId="77777777" w:rsidR="005917B5" w:rsidRPr="001C42C5" w:rsidRDefault="005917B5">
            <w:pPr>
              <w:jc w:val="right"/>
              <w:rPr>
                <w:rFonts w:ascii="Arial" w:hAnsi="Arial" w:cs="Arial"/>
                <w:sz w:val="20"/>
                <w:szCs w:val="20"/>
              </w:rPr>
            </w:pPr>
            <w:r w:rsidRPr="001C42C5">
              <w:rPr>
                <w:rFonts w:ascii="Arial" w:hAnsi="Arial" w:cs="Arial"/>
                <w:sz w:val="20"/>
                <w:szCs w:val="20"/>
              </w:rPr>
              <w:t>239.250,30</w:t>
            </w:r>
          </w:p>
        </w:tc>
        <w:tc>
          <w:tcPr>
            <w:tcW w:w="1476" w:type="dxa"/>
            <w:tcBorders>
              <w:top w:val="nil"/>
              <w:left w:val="nil"/>
              <w:bottom w:val="single" w:sz="4" w:space="0" w:color="auto"/>
              <w:right w:val="single" w:sz="4" w:space="0" w:color="auto"/>
            </w:tcBorders>
            <w:noWrap/>
            <w:vAlign w:val="bottom"/>
            <w:hideMark/>
          </w:tcPr>
          <w:p w14:paraId="7499A813" w14:textId="77777777" w:rsidR="005917B5" w:rsidRPr="001C42C5" w:rsidRDefault="005917B5">
            <w:pPr>
              <w:jc w:val="right"/>
              <w:rPr>
                <w:rFonts w:ascii="Arial" w:hAnsi="Arial" w:cs="Arial"/>
                <w:sz w:val="20"/>
                <w:szCs w:val="20"/>
              </w:rPr>
            </w:pPr>
            <w:r w:rsidRPr="001C42C5">
              <w:rPr>
                <w:rFonts w:ascii="Arial" w:hAnsi="Arial" w:cs="Arial"/>
                <w:sz w:val="20"/>
                <w:szCs w:val="20"/>
              </w:rPr>
              <w:t>225.905,00</w:t>
            </w:r>
          </w:p>
        </w:tc>
        <w:tc>
          <w:tcPr>
            <w:tcW w:w="1476" w:type="dxa"/>
            <w:tcBorders>
              <w:top w:val="nil"/>
              <w:left w:val="nil"/>
              <w:bottom w:val="single" w:sz="4" w:space="0" w:color="auto"/>
              <w:right w:val="single" w:sz="4" w:space="0" w:color="auto"/>
            </w:tcBorders>
            <w:noWrap/>
            <w:vAlign w:val="bottom"/>
            <w:hideMark/>
          </w:tcPr>
          <w:p w14:paraId="45D1DFFB" w14:textId="77777777" w:rsidR="005917B5" w:rsidRPr="001C42C5" w:rsidRDefault="005917B5">
            <w:pPr>
              <w:jc w:val="right"/>
              <w:rPr>
                <w:rFonts w:ascii="Arial" w:hAnsi="Arial" w:cs="Arial"/>
                <w:sz w:val="20"/>
                <w:szCs w:val="20"/>
              </w:rPr>
            </w:pPr>
            <w:r w:rsidRPr="001C42C5">
              <w:rPr>
                <w:rFonts w:ascii="Arial" w:hAnsi="Arial" w:cs="Arial"/>
                <w:sz w:val="20"/>
                <w:szCs w:val="20"/>
              </w:rPr>
              <w:t>215.752,86</w:t>
            </w:r>
          </w:p>
        </w:tc>
        <w:tc>
          <w:tcPr>
            <w:tcW w:w="889" w:type="dxa"/>
            <w:tcBorders>
              <w:top w:val="nil"/>
              <w:left w:val="nil"/>
              <w:bottom w:val="single" w:sz="4" w:space="0" w:color="auto"/>
              <w:right w:val="single" w:sz="4" w:space="0" w:color="auto"/>
            </w:tcBorders>
            <w:noWrap/>
            <w:vAlign w:val="bottom"/>
            <w:hideMark/>
          </w:tcPr>
          <w:p w14:paraId="1F8A7C6C" w14:textId="77777777" w:rsidR="005917B5" w:rsidRPr="001C42C5" w:rsidRDefault="005917B5">
            <w:pPr>
              <w:jc w:val="right"/>
              <w:rPr>
                <w:rFonts w:ascii="Arial" w:hAnsi="Arial" w:cs="Arial"/>
                <w:sz w:val="20"/>
                <w:szCs w:val="20"/>
              </w:rPr>
            </w:pPr>
            <w:r w:rsidRPr="001C42C5">
              <w:rPr>
                <w:rFonts w:ascii="Arial" w:hAnsi="Arial" w:cs="Arial"/>
                <w:sz w:val="20"/>
                <w:szCs w:val="20"/>
              </w:rPr>
              <w:t>90%</w:t>
            </w:r>
          </w:p>
        </w:tc>
        <w:tc>
          <w:tcPr>
            <w:tcW w:w="889" w:type="dxa"/>
            <w:tcBorders>
              <w:top w:val="nil"/>
              <w:left w:val="nil"/>
              <w:bottom w:val="single" w:sz="4" w:space="0" w:color="auto"/>
              <w:right w:val="single" w:sz="4" w:space="0" w:color="auto"/>
            </w:tcBorders>
            <w:noWrap/>
            <w:vAlign w:val="bottom"/>
            <w:hideMark/>
          </w:tcPr>
          <w:p w14:paraId="1ED405B7" w14:textId="77777777" w:rsidR="005917B5" w:rsidRPr="001C42C5" w:rsidRDefault="005917B5">
            <w:pPr>
              <w:jc w:val="right"/>
              <w:rPr>
                <w:rFonts w:ascii="Calibri" w:hAnsi="Calibri" w:cs="Calibri"/>
                <w:sz w:val="22"/>
                <w:szCs w:val="22"/>
              </w:rPr>
            </w:pPr>
            <w:r w:rsidRPr="001C42C5">
              <w:rPr>
                <w:rFonts w:ascii="Calibri" w:hAnsi="Calibri" w:cs="Calibri"/>
                <w:sz w:val="22"/>
                <w:szCs w:val="22"/>
              </w:rPr>
              <w:t>96%</w:t>
            </w:r>
          </w:p>
        </w:tc>
        <w:tc>
          <w:tcPr>
            <w:tcW w:w="219" w:type="dxa"/>
            <w:vAlign w:val="center"/>
            <w:hideMark/>
          </w:tcPr>
          <w:p w14:paraId="46EC0616" w14:textId="77777777" w:rsidR="005917B5" w:rsidRPr="001C42C5" w:rsidRDefault="005917B5">
            <w:pPr>
              <w:rPr>
                <w:sz w:val="20"/>
                <w:szCs w:val="20"/>
              </w:rPr>
            </w:pPr>
          </w:p>
        </w:tc>
      </w:tr>
      <w:tr w:rsidR="001C42C5" w:rsidRPr="001C42C5" w14:paraId="77D3993A" w14:textId="77777777" w:rsidTr="00033347">
        <w:trPr>
          <w:trHeight w:val="245"/>
          <w:jc w:val="center"/>
        </w:trPr>
        <w:tc>
          <w:tcPr>
            <w:tcW w:w="821" w:type="dxa"/>
            <w:tcBorders>
              <w:top w:val="nil"/>
              <w:left w:val="single" w:sz="4" w:space="0" w:color="auto"/>
              <w:bottom w:val="single" w:sz="4" w:space="0" w:color="auto"/>
              <w:right w:val="single" w:sz="4" w:space="0" w:color="auto"/>
            </w:tcBorders>
            <w:noWrap/>
            <w:vAlign w:val="bottom"/>
            <w:hideMark/>
          </w:tcPr>
          <w:p w14:paraId="3F554368" w14:textId="77777777" w:rsidR="005917B5" w:rsidRPr="001C42C5" w:rsidRDefault="005917B5">
            <w:pPr>
              <w:jc w:val="center"/>
              <w:rPr>
                <w:rFonts w:ascii="Arial" w:hAnsi="Arial" w:cs="Arial"/>
                <w:sz w:val="20"/>
                <w:szCs w:val="20"/>
              </w:rPr>
            </w:pPr>
            <w:r w:rsidRPr="001C42C5">
              <w:rPr>
                <w:rFonts w:ascii="Arial" w:hAnsi="Arial" w:cs="Arial"/>
                <w:sz w:val="20"/>
                <w:szCs w:val="20"/>
              </w:rPr>
              <w:t> </w:t>
            </w:r>
          </w:p>
        </w:tc>
        <w:tc>
          <w:tcPr>
            <w:tcW w:w="2252" w:type="dxa"/>
            <w:tcBorders>
              <w:top w:val="nil"/>
              <w:left w:val="nil"/>
              <w:bottom w:val="single" w:sz="4" w:space="0" w:color="auto"/>
              <w:right w:val="nil"/>
            </w:tcBorders>
            <w:noWrap/>
            <w:vAlign w:val="bottom"/>
            <w:hideMark/>
          </w:tcPr>
          <w:p w14:paraId="4507B191" w14:textId="77777777" w:rsidR="005917B5" w:rsidRPr="001C42C5" w:rsidRDefault="005917B5">
            <w:pPr>
              <w:rPr>
                <w:rFonts w:ascii="Arial" w:hAnsi="Arial" w:cs="Arial"/>
                <w:sz w:val="18"/>
                <w:szCs w:val="18"/>
              </w:rPr>
            </w:pPr>
            <w:r w:rsidRPr="001C42C5">
              <w:rPr>
                <w:rFonts w:ascii="Arial" w:hAnsi="Arial" w:cs="Arial"/>
                <w:sz w:val="18"/>
                <w:szCs w:val="18"/>
              </w:rPr>
              <w:t> </w:t>
            </w:r>
          </w:p>
        </w:tc>
        <w:tc>
          <w:tcPr>
            <w:tcW w:w="1053" w:type="dxa"/>
            <w:tcBorders>
              <w:top w:val="nil"/>
              <w:left w:val="nil"/>
              <w:bottom w:val="single" w:sz="4" w:space="0" w:color="auto"/>
              <w:right w:val="single" w:sz="4" w:space="0" w:color="auto"/>
            </w:tcBorders>
            <w:noWrap/>
            <w:vAlign w:val="bottom"/>
            <w:hideMark/>
          </w:tcPr>
          <w:p w14:paraId="5333D7C6" w14:textId="1F05F8B4" w:rsidR="005917B5" w:rsidRPr="001C42C5" w:rsidRDefault="004C49AC">
            <w:pPr>
              <w:jc w:val="right"/>
              <w:rPr>
                <w:rFonts w:ascii="Arial" w:hAnsi="Arial" w:cs="Arial"/>
                <w:sz w:val="18"/>
                <w:szCs w:val="18"/>
              </w:rPr>
            </w:pPr>
            <w:r w:rsidRPr="001C42C5">
              <w:rPr>
                <w:rFonts w:ascii="Arial" w:hAnsi="Arial" w:cs="Arial"/>
                <w:sz w:val="18"/>
                <w:szCs w:val="18"/>
              </w:rPr>
              <w:t>REZULTAT</w:t>
            </w:r>
          </w:p>
        </w:tc>
        <w:tc>
          <w:tcPr>
            <w:tcW w:w="1476" w:type="dxa"/>
            <w:tcBorders>
              <w:top w:val="nil"/>
              <w:left w:val="nil"/>
              <w:bottom w:val="single" w:sz="4" w:space="0" w:color="auto"/>
              <w:right w:val="single" w:sz="4" w:space="0" w:color="auto"/>
            </w:tcBorders>
            <w:vAlign w:val="center"/>
            <w:hideMark/>
          </w:tcPr>
          <w:p w14:paraId="06E9A771" w14:textId="77777777" w:rsidR="005917B5" w:rsidRPr="001C42C5" w:rsidRDefault="005917B5">
            <w:pPr>
              <w:jc w:val="right"/>
              <w:rPr>
                <w:rFonts w:ascii="Arial" w:hAnsi="Arial" w:cs="Arial"/>
                <w:sz w:val="20"/>
                <w:szCs w:val="20"/>
              </w:rPr>
            </w:pPr>
            <w:r w:rsidRPr="001C42C5">
              <w:rPr>
                <w:rFonts w:ascii="Arial" w:hAnsi="Arial" w:cs="Arial"/>
                <w:sz w:val="20"/>
                <w:szCs w:val="20"/>
              </w:rPr>
              <w:t>-33.927,50</w:t>
            </w:r>
          </w:p>
        </w:tc>
        <w:tc>
          <w:tcPr>
            <w:tcW w:w="1476" w:type="dxa"/>
            <w:tcBorders>
              <w:top w:val="nil"/>
              <w:left w:val="nil"/>
              <w:bottom w:val="single" w:sz="4" w:space="0" w:color="auto"/>
              <w:right w:val="single" w:sz="4" w:space="0" w:color="auto"/>
            </w:tcBorders>
            <w:vAlign w:val="center"/>
            <w:hideMark/>
          </w:tcPr>
          <w:p w14:paraId="4CC94BBA" w14:textId="77777777" w:rsidR="005917B5" w:rsidRPr="001C42C5" w:rsidRDefault="005917B5">
            <w:pPr>
              <w:jc w:val="right"/>
              <w:rPr>
                <w:rFonts w:ascii="Arial" w:hAnsi="Arial" w:cs="Arial"/>
                <w:sz w:val="20"/>
                <w:szCs w:val="20"/>
              </w:rPr>
            </w:pPr>
            <w:r w:rsidRPr="001C42C5">
              <w:rPr>
                <w:rFonts w:ascii="Arial" w:hAnsi="Arial" w:cs="Arial"/>
                <w:sz w:val="20"/>
                <w:szCs w:val="20"/>
              </w:rPr>
              <w:t>0,00</w:t>
            </w:r>
          </w:p>
        </w:tc>
        <w:tc>
          <w:tcPr>
            <w:tcW w:w="1476" w:type="dxa"/>
            <w:tcBorders>
              <w:top w:val="nil"/>
              <w:left w:val="nil"/>
              <w:bottom w:val="single" w:sz="4" w:space="0" w:color="auto"/>
              <w:right w:val="single" w:sz="4" w:space="0" w:color="auto"/>
            </w:tcBorders>
            <w:vAlign w:val="center"/>
            <w:hideMark/>
          </w:tcPr>
          <w:p w14:paraId="616B08D1" w14:textId="77777777" w:rsidR="005917B5" w:rsidRPr="001C42C5" w:rsidRDefault="005917B5">
            <w:pPr>
              <w:jc w:val="right"/>
              <w:rPr>
                <w:rFonts w:ascii="Arial" w:hAnsi="Arial" w:cs="Arial"/>
                <w:sz w:val="20"/>
                <w:szCs w:val="20"/>
              </w:rPr>
            </w:pPr>
            <w:r w:rsidRPr="001C42C5">
              <w:rPr>
                <w:rFonts w:ascii="Arial" w:hAnsi="Arial" w:cs="Arial"/>
                <w:sz w:val="20"/>
                <w:szCs w:val="20"/>
              </w:rPr>
              <w:t>7.346,00</w:t>
            </w:r>
          </w:p>
        </w:tc>
        <w:tc>
          <w:tcPr>
            <w:tcW w:w="889" w:type="dxa"/>
            <w:tcBorders>
              <w:top w:val="nil"/>
              <w:left w:val="nil"/>
              <w:bottom w:val="single" w:sz="4" w:space="0" w:color="auto"/>
              <w:right w:val="single" w:sz="4" w:space="0" w:color="auto"/>
            </w:tcBorders>
            <w:vAlign w:val="center"/>
            <w:hideMark/>
          </w:tcPr>
          <w:p w14:paraId="623E297E" w14:textId="77777777" w:rsidR="005917B5" w:rsidRPr="001C42C5" w:rsidRDefault="005917B5">
            <w:pPr>
              <w:rPr>
                <w:rFonts w:ascii="Arial" w:hAnsi="Arial" w:cs="Arial"/>
                <w:sz w:val="20"/>
                <w:szCs w:val="20"/>
              </w:rPr>
            </w:pPr>
            <w:r w:rsidRPr="001C42C5">
              <w:rPr>
                <w:rFonts w:ascii="Arial" w:hAnsi="Arial" w:cs="Arial"/>
                <w:sz w:val="20"/>
                <w:szCs w:val="20"/>
              </w:rPr>
              <w:t> </w:t>
            </w:r>
          </w:p>
        </w:tc>
        <w:tc>
          <w:tcPr>
            <w:tcW w:w="889" w:type="dxa"/>
            <w:tcBorders>
              <w:top w:val="nil"/>
              <w:left w:val="nil"/>
              <w:bottom w:val="single" w:sz="4" w:space="0" w:color="auto"/>
              <w:right w:val="single" w:sz="4" w:space="0" w:color="auto"/>
            </w:tcBorders>
            <w:noWrap/>
            <w:vAlign w:val="bottom"/>
            <w:hideMark/>
          </w:tcPr>
          <w:p w14:paraId="05CAB260" w14:textId="77777777" w:rsidR="005917B5" w:rsidRPr="001C42C5" w:rsidRDefault="005917B5">
            <w:pPr>
              <w:rPr>
                <w:rFonts w:ascii="Calibri" w:hAnsi="Calibri" w:cs="Calibri"/>
                <w:sz w:val="22"/>
                <w:szCs w:val="22"/>
              </w:rPr>
            </w:pPr>
            <w:r w:rsidRPr="001C42C5">
              <w:rPr>
                <w:rFonts w:ascii="Calibri" w:hAnsi="Calibri" w:cs="Calibri"/>
                <w:sz w:val="22"/>
                <w:szCs w:val="22"/>
              </w:rPr>
              <w:t> </w:t>
            </w:r>
          </w:p>
        </w:tc>
        <w:tc>
          <w:tcPr>
            <w:tcW w:w="219" w:type="dxa"/>
            <w:vAlign w:val="center"/>
            <w:hideMark/>
          </w:tcPr>
          <w:p w14:paraId="4C29BA0E" w14:textId="77777777" w:rsidR="005917B5" w:rsidRPr="001C42C5" w:rsidRDefault="005917B5">
            <w:pPr>
              <w:rPr>
                <w:sz w:val="20"/>
                <w:szCs w:val="20"/>
              </w:rPr>
            </w:pPr>
          </w:p>
        </w:tc>
      </w:tr>
      <w:tr w:rsidR="001C42C5" w:rsidRPr="001C42C5" w14:paraId="34FF1629" w14:textId="77777777" w:rsidTr="00033347">
        <w:trPr>
          <w:trHeight w:val="245"/>
          <w:jc w:val="center"/>
        </w:trPr>
        <w:tc>
          <w:tcPr>
            <w:tcW w:w="821" w:type="dxa"/>
            <w:tcBorders>
              <w:top w:val="nil"/>
              <w:left w:val="single" w:sz="4" w:space="0" w:color="auto"/>
              <w:bottom w:val="single" w:sz="4" w:space="0" w:color="auto"/>
              <w:right w:val="single" w:sz="4" w:space="0" w:color="auto"/>
            </w:tcBorders>
            <w:noWrap/>
            <w:vAlign w:val="bottom"/>
            <w:hideMark/>
          </w:tcPr>
          <w:p w14:paraId="0BAA46BA" w14:textId="77777777" w:rsidR="005917B5" w:rsidRPr="001C42C5" w:rsidRDefault="005917B5">
            <w:pPr>
              <w:jc w:val="center"/>
              <w:rPr>
                <w:rFonts w:ascii="Arial" w:hAnsi="Arial" w:cs="Arial"/>
                <w:b/>
                <w:bCs/>
                <w:sz w:val="20"/>
                <w:szCs w:val="20"/>
              </w:rPr>
            </w:pPr>
            <w:r w:rsidRPr="001C42C5">
              <w:rPr>
                <w:rFonts w:ascii="Arial" w:hAnsi="Arial" w:cs="Arial"/>
                <w:b/>
                <w:bCs/>
                <w:sz w:val="20"/>
                <w:szCs w:val="20"/>
              </w:rPr>
              <w:t>58</w:t>
            </w:r>
          </w:p>
        </w:tc>
        <w:tc>
          <w:tcPr>
            <w:tcW w:w="3305" w:type="dxa"/>
            <w:gridSpan w:val="2"/>
            <w:tcBorders>
              <w:top w:val="single" w:sz="4" w:space="0" w:color="auto"/>
              <w:left w:val="nil"/>
              <w:bottom w:val="single" w:sz="4" w:space="0" w:color="auto"/>
              <w:right w:val="single" w:sz="4" w:space="0" w:color="000000"/>
            </w:tcBorders>
            <w:noWrap/>
            <w:vAlign w:val="bottom"/>
            <w:hideMark/>
          </w:tcPr>
          <w:p w14:paraId="1E67FC67" w14:textId="0362D6FB" w:rsidR="005917B5" w:rsidRPr="001C42C5" w:rsidRDefault="005917B5">
            <w:pPr>
              <w:rPr>
                <w:rFonts w:ascii="Arial" w:hAnsi="Arial" w:cs="Arial"/>
                <w:b/>
                <w:bCs/>
                <w:sz w:val="20"/>
                <w:szCs w:val="20"/>
              </w:rPr>
            </w:pPr>
            <w:r w:rsidRPr="001C42C5">
              <w:rPr>
                <w:rFonts w:ascii="Arial" w:hAnsi="Arial" w:cs="Arial"/>
                <w:b/>
                <w:bCs/>
                <w:sz w:val="20"/>
                <w:szCs w:val="20"/>
              </w:rPr>
              <w:t xml:space="preserve">Tekuće pomoći </w:t>
            </w:r>
            <w:r w:rsidR="004C49AC" w:rsidRPr="001C42C5">
              <w:rPr>
                <w:rFonts w:ascii="Arial" w:hAnsi="Arial" w:cs="Arial"/>
                <w:b/>
                <w:bCs/>
                <w:sz w:val="20"/>
                <w:szCs w:val="20"/>
              </w:rPr>
              <w:t>(</w:t>
            </w:r>
            <w:r w:rsidRPr="001C42C5">
              <w:rPr>
                <w:rFonts w:ascii="Arial" w:hAnsi="Arial" w:cs="Arial"/>
                <w:b/>
                <w:bCs/>
                <w:sz w:val="18"/>
                <w:szCs w:val="18"/>
              </w:rPr>
              <w:t>HZZ i ostal</w:t>
            </w:r>
            <w:r w:rsidR="00033347" w:rsidRPr="001C42C5">
              <w:rPr>
                <w:rFonts w:ascii="Arial" w:hAnsi="Arial" w:cs="Arial"/>
                <w:b/>
                <w:bCs/>
                <w:sz w:val="18"/>
                <w:szCs w:val="18"/>
              </w:rPr>
              <w:t>i</w:t>
            </w:r>
            <w:r w:rsidR="004C49AC" w:rsidRPr="001C42C5">
              <w:rPr>
                <w:rFonts w:ascii="Arial" w:hAnsi="Arial" w:cs="Arial"/>
                <w:b/>
                <w:bCs/>
                <w:sz w:val="18"/>
                <w:szCs w:val="18"/>
              </w:rPr>
              <w:t>)</w:t>
            </w:r>
            <w:r w:rsidRPr="001C42C5">
              <w:rPr>
                <w:rFonts w:ascii="Arial" w:hAnsi="Arial" w:cs="Arial"/>
                <w:b/>
                <w:bCs/>
                <w:sz w:val="18"/>
                <w:szCs w:val="18"/>
              </w:rPr>
              <w:t xml:space="preserve"> </w:t>
            </w:r>
          </w:p>
        </w:tc>
        <w:tc>
          <w:tcPr>
            <w:tcW w:w="1476" w:type="dxa"/>
            <w:tcBorders>
              <w:top w:val="nil"/>
              <w:left w:val="nil"/>
              <w:bottom w:val="single" w:sz="4" w:space="0" w:color="auto"/>
              <w:right w:val="single" w:sz="4" w:space="0" w:color="auto"/>
            </w:tcBorders>
            <w:noWrap/>
            <w:vAlign w:val="bottom"/>
            <w:hideMark/>
          </w:tcPr>
          <w:p w14:paraId="164AC30D" w14:textId="77777777" w:rsidR="005917B5" w:rsidRPr="001C42C5" w:rsidRDefault="005917B5">
            <w:pPr>
              <w:jc w:val="right"/>
              <w:rPr>
                <w:rFonts w:ascii="Arial" w:hAnsi="Arial" w:cs="Arial"/>
                <w:b/>
                <w:bCs/>
                <w:sz w:val="20"/>
                <w:szCs w:val="20"/>
              </w:rPr>
            </w:pPr>
            <w:r w:rsidRPr="001C42C5">
              <w:rPr>
                <w:rFonts w:ascii="Arial" w:hAnsi="Arial" w:cs="Arial"/>
                <w:b/>
                <w:bCs/>
                <w:sz w:val="20"/>
                <w:szCs w:val="20"/>
              </w:rPr>
              <w:t> </w:t>
            </w:r>
          </w:p>
        </w:tc>
        <w:tc>
          <w:tcPr>
            <w:tcW w:w="1476" w:type="dxa"/>
            <w:tcBorders>
              <w:top w:val="nil"/>
              <w:left w:val="nil"/>
              <w:bottom w:val="single" w:sz="4" w:space="0" w:color="auto"/>
              <w:right w:val="single" w:sz="4" w:space="0" w:color="auto"/>
            </w:tcBorders>
            <w:vAlign w:val="center"/>
            <w:hideMark/>
          </w:tcPr>
          <w:p w14:paraId="4D299613" w14:textId="77777777" w:rsidR="005917B5" w:rsidRPr="001C42C5" w:rsidRDefault="005917B5">
            <w:pPr>
              <w:rPr>
                <w:rFonts w:ascii="Arial" w:hAnsi="Arial" w:cs="Arial"/>
                <w:sz w:val="20"/>
                <w:szCs w:val="20"/>
              </w:rPr>
            </w:pPr>
            <w:r w:rsidRPr="001C42C5">
              <w:rPr>
                <w:rFonts w:ascii="Arial" w:hAnsi="Arial" w:cs="Arial"/>
                <w:sz w:val="20"/>
                <w:szCs w:val="20"/>
              </w:rPr>
              <w:t> </w:t>
            </w:r>
          </w:p>
        </w:tc>
        <w:tc>
          <w:tcPr>
            <w:tcW w:w="1476" w:type="dxa"/>
            <w:tcBorders>
              <w:top w:val="nil"/>
              <w:left w:val="nil"/>
              <w:bottom w:val="single" w:sz="4" w:space="0" w:color="auto"/>
              <w:right w:val="single" w:sz="4" w:space="0" w:color="auto"/>
            </w:tcBorders>
            <w:vAlign w:val="center"/>
            <w:hideMark/>
          </w:tcPr>
          <w:p w14:paraId="4F6F3443" w14:textId="77777777" w:rsidR="005917B5" w:rsidRPr="001C42C5" w:rsidRDefault="005917B5">
            <w:pPr>
              <w:rPr>
                <w:rFonts w:ascii="Arial" w:hAnsi="Arial" w:cs="Arial"/>
                <w:sz w:val="20"/>
                <w:szCs w:val="20"/>
              </w:rPr>
            </w:pPr>
            <w:r w:rsidRPr="001C42C5">
              <w:rPr>
                <w:rFonts w:ascii="Arial" w:hAnsi="Arial" w:cs="Arial"/>
                <w:sz w:val="20"/>
                <w:szCs w:val="20"/>
              </w:rPr>
              <w:t> </w:t>
            </w:r>
          </w:p>
        </w:tc>
        <w:tc>
          <w:tcPr>
            <w:tcW w:w="889" w:type="dxa"/>
            <w:tcBorders>
              <w:top w:val="nil"/>
              <w:left w:val="nil"/>
              <w:bottom w:val="single" w:sz="4" w:space="0" w:color="auto"/>
              <w:right w:val="single" w:sz="4" w:space="0" w:color="auto"/>
            </w:tcBorders>
            <w:vAlign w:val="center"/>
            <w:hideMark/>
          </w:tcPr>
          <w:p w14:paraId="7834D49D" w14:textId="77777777" w:rsidR="005917B5" w:rsidRPr="001C42C5" w:rsidRDefault="005917B5">
            <w:pPr>
              <w:rPr>
                <w:rFonts w:ascii="Arial" w:hAnsi="Arial" w:cs="Arial"/>
                <w:sz w:val="20"/>
                <w:szCs w:val="20"/>
              </w:rPr>
            </w:pPr>
            <w:r w:rsidRPr="001C42C5">
              <w:rPr>
                <w:rFonts w:ascii="Arial" w:hAnsi="Arial" w:cs="Arial"/>
                <w:sz w:val="20"/>
                <w:szCs w:val="20"/>
              </w:rPr>
              <w:t> </w:t>
            </w:r>
          </w:p>
        </w:tc>
        <w:tc>
          <w:tcPr>
            <w:tcW w:w="889" w:type="dxa"/>
            <w:tcBorders>
              <w:top w:val="nil"/>
              <w:left w:val="nil"/>
              <w:bottom w:val="single" w:sz="4" w:space="0" w:color="auto"/>
              <w:right w:val="single" w:sz="4" w:space="0" w:color="auto"/>
            </w:tcBorders>
            <w:noWrap/>
            <w:vAlign w:val="bottom"/>
            <w:hideMark/>
          </w:tcPr>
          <w:p w14:paraId="1DCD88EB" w14:textId="77777777" w:rsidR="005917B5" w:rsidRPr="001C42C5" w:rsidRDefault="005917B5">
            <w:pPr>
              <w:rPr>
                <w:rFonts w:ascii="Calibri" w:hAnsi="Calibri" w:cs="Calibri"/>
                <w:sz w:val="22"/>
                <w:szCs w:val="22"/>
              </w:rPr>
            </w:pPr>
            <w:r w:rsidRPr="001C42C5">
              <w:rPr>
                <w:rFonts w:ascii="Calibri" w:hAnsi="Calibri" w:cs="Calibri"/>
                <w:sz w:val="22"/>
                <w:szCs w:val="22"/>
              </w:rPr>
              <w:t> </w:t>
            </w:r>
          </w:p>
        </w:tc>
        <w:tc>
          <w:tcPr>
            <w:tcW w:w="219" w:type="dxa"/>
            <w:vAlign w:val="center"/>
            <w:hideMark/>
          </w:tcPr>
          <w:p w14:paraId="710A58D7" w14:textId="77777777" w:rsidR="005917B5" w:rsidRPr="001C42C5" w:rsidRDefault="005917B5">
            <w:pPr>
              <w:rPr>
                <w:sz w:val="20"/>
                <w:szCs w:val="20"/>
              </w:rPr>
            </w:pPr>
          </w:p>
        </w:tc>
      </w:tr>
      <w:tr w:rsidR="001C42C5" w:rsidRPr="001C42C5" w14:paraId="563AD258" w14:textId="77777777" w:rsidTr="00033347">
        <w:trPr>
          <w:trHeight w:val="245"/>
          <w:jc w:val="center"/>
        </w:trPr>
        <w:tc>
          <w:tcPr>
            <w:tcW w:w="821" w:type="dxa"/>
            <w:tcBorders>
              <w:top w:val="nil"/>
              <w:left w:val="single" w:sz="4" w:space="0" w:color="auto"/>
              <w:bottom w:val="single" w:sz="4" w:space="0" w:color="auto"/>
              <w:right w:val="single" w:sz="4" w:space="0" w:color="auto"/>
            </w:tcBorders>
            <w:noWrap/>
            <w:vAlign w:val="bottom"/>
            <w:hideMark/>
          </w:tcPr>
          <w:p w14:paraId="3901E5A8" w14:textId="77777777" w:rsidR="005917B5" w:rsidRPr="001C42C5" w:rsidRDefault="005917B5">
            <w:pPr>
              <w:jc w:val="center"/>
              <w:rPr>
                <w:rFonts w:ascii="Arial" w:hAnsi="Arial" w:cs="Arial"/>
                <w:sz w:val="20"/>
                <w:szCs w:val="20"/>
              </w:rPr>
            </w:pPr>
            <w:r w:rsidRPr="001C42C5">
              <w:rPr>
                <w:rFonts w:ascii="Arial" w:hAnsi="Arial" w:cs="Arial"/>
                <w:sz w:val="20"/>
                <w:szCs w:val="20"/>
              </w:rPr>
              <w:t> </w:t>
            </w:r>
          </w:p>
        </w:tc>
        <w:tc>
          <w:tcPr>
            <w:tcW w:w="2252" w:type="dxa"/>
            <w:tcBorders>
              <w:top w:val="nil"/>
              <w:left w:val="nil"/>
              <w:bottom w:val="single" w:sz="4" w:space="0" w:color="auto"/>
              <w:right w:val="nil"/>
            </w:tcBorders>
            <w:noWrap/>
            <w:vAlign w:val="bottom"/>
            <w:hideMark/>
          </w:tcPr>
          <w:p w14:paraId="18D431CE" w14:textId="77777777" w:rsidR="005917B5" w:rsidRPr="001C42C5" w:rsidRDefault="005917B5">
            <w:pPr>
              <w:rPr>
                <w:rFonts w:ascii="Arial" w:hAnsi="Arial" w:cs="Arial"/>
                <w:sz w:val="18"/>
                <w:szCs w:val="18"/>
              </w:rPr>
            </w:pPr>
            <w:r w:rsidRPr="001C42C5">
              <w:rPr>
                <w:rFonts w:ascii="Arial" w:hAnsi="Arial" w:cs="Arial"/>
                <w:sz w:val="18"/>
                <w:szCs w:val="18"/>
              </w:rPr>
              <w:t>PRIHODI</w:t>
            </w:r>
          </w:p>
        </w:tc>
        <w:tc>
          <w:tcPr>
            <w:tcW w:w="1053" w:type="dxa"/>
            <w:tcBorders>
              <w:top w:val="nil"/>
              <w:left w:val="nil"/>
              <w:bottom w:val="single" w:sz="4" w:space="0" w:color="auto"/>
              <w:right w:val="single" w:sz="4" w:space="0" w:color="auto"/>
            </w:tcBorders>
            <w:noWrap/>
            <w:vAlign w:val="bottom"/>
            <w:hideMark/>
          </w:tcPr>
          <w:p w14:paraId="1F876229" w14:textId="77777777" w:rsidR="005917B5" w:rsidRPr="001C42C5" w:rsidRDefault="005917B5">
            <w:pPr>
              <w:rPr>
                <w:rFonts w:ascii="Arial" w:hAnsi="Arial" w:cs="Arial"/>
                <w:sz w:val="20"/>
                <w:szCs w:val="20"/>
              </w:rPr>
            </w:pPr>
            <w:r w:rsidRPr="001C42C5">
              <w:rPr>
                <w:rFonts w:ascii="Arial" w:hAnsi="Arial" w:cs="Arial"/>
                <w:sz w:val="20"/>
                <w:szCs w:val="20"/>
              </w:rPr>
              <w:t> </w:t>
            </w:r>
          </w:p>
        </w:tc>
        <w:tc>
          <w:tcPr>
            <w:tcW w:w="1476" w:type="dxa"/>
            <w:tcBorders>
              <w:top w:val="nil"/>
              <w:left w:val="nil"/>
              <w:bottom w:val="single" w:sz="4" w:space="0" w:color="auto"/>
              <w:right w:val="single" w:sz="4" w:space="0" w:color="auto"/>
            </w:tcBorders>
            <w:noWrap/>
            <w:vAlign w:val="bottom"/>
            <w:hideMark/>
          </w:tcPr>
          <w:p w14:paraId="27CD8CD2" w14:textId="77777777" w:rsidR="005917B5" w:rsidRPr="001C42C5" w:rsidRDefault="005917B5">
            <w:pPr>
              <w:jc w:val="right"/>
              <w:rPr>
                <w:rFonts w:ascii="Arial" w:hAnsi="Arial" w:cs="Arial"/>
                <w:sz w:val="20"/>
                <w:szCs w:val="20"/>
              </w:rPr>
            </w:pPr>
            <w:r w:rsidRPr="001C42C5">
              <w:rPr>
                <w:rFonts w:ascii="Arial" w:hAnsi="Arial" w:cs="Arial"/>
                <w:sz w:val="20"/>
                <w:szCs w:val="20"/>
              </w:rPr>
              <w:t>224.006,10</w:t>
            </w:r>
          </w:p>
        </w:tc>
        <w:tc>
          <w:tcPr>
            <w:tcW w:w="1476" w:type="dxa"/>
            <w:tcBorders>
              <w:top w:val="nil"/>
              <w:left w:val="nil"/>
              <w:bottom w:val="single" w:sz="4" w:space="0" w:color="auto"/>
              <w:right w:val="single" w:sz="4" w:space="0" w:color="auto"/>
            </w:tcBorders>
            <w:vAlign w:val="center"/>
            <w:hideMark/>
          </w:tcPr>
          <w:p w14:paraId="13A02A89" w14:textId="77777777" w:rsidR="005917B5" w:rsidRPr="001C42C5" w:rsidRDefault="005917B5">
            <w:pPr>
              <w:jc w:val="right"/>
              <w:rPr>
                <w:rFonts w:ascii="Arial" w:hAnsi="Arial" w:cs="Arial"/>
                <w:sz w:val="20"/>
                <w:szCs w:val="20"/>
              </w:rPr>
            </w:pPr>
            <w:r w:rsidRPr="001C42C5">
              <w:rPr>
                <w:rFonts w:ascii="Arial" w:hAnsi="Arial" w:cs="Arial"/>
                <w:sz w:val="20"/>
                <w:szCs w:val="20"/>
              </w:rPr>
              <w:t>40.000,00</w:t>
            </w:r>
          </w:p>
        </w:tc>
        <w:tc>
          <w:tcPr>
            <w:tcW w:w="1476" w:type="dxa"/>
            <w:tcBorders>
              <w:top w:val="nil"/>
              <w:left w:val="nil"/>
              <w:bottom w:val="single" w:sz="4" w:space="0" w:color="auto"/>
              <w:right w:val="single" w:sz="4" w:space="0" w:color="auto"/>
            </w:tcBorders>
            <w:vAlign w:val="center"/>
            <w:hideMark/>
          </w:tcPr>
          <w:p w14:paraId="028C7FDF" w14:textId="77777777" w:rsidR="005917B5" w:rsidRPr="001C42C5" w:rsidRDefault="005917B5">
            <w:pPr>
              <w:jc w:val="right"/>
              <w:rPr>
                <w:rFonts w:ascii="Arial" w:hAnsi="Arial" w:cs="Arial"/>
                <w:sz w:val="20"/>
                <w:szCs w:val="20"/>
              </w:rPr>
            </w:pPr>
            <w:r w:rsidRPr="001C42C5">
              <w:rPr>
                <w:rFonts w:ascii="Arial" w:hAnsi="Arial" w:cs="Arial"/>
                <w:sz w:val="20"/>
                <w:szCs w:val="20"/>
              </w:rPr>
              <w:t>40.023,48</w:t>
            </w:r>
          </w:p>
        </w:tc>
        <w:tc>
          <w:tcPr>
            <w:tcW w:w="889" w:type="dxa"/>
            <w:tcBorders>
              <w:top w:val="nil"/>
              <w:left w:val="nil"/>
              <w:bottom w:val="single" w:sz="4" w:space="0" w:color="auto"/>
              <w:right w:val="single" w:sz="4" w:space="0" w:color="auto"/>
            </w:tcBorders>
            <w:vAlign w:val="center"/>
            <w:hideMark/>
          </w:tcPr>
          <w:p w14:paraId="63124708" w14:textId="77777777" w:rsidR="005917B5" w:rsidRPr="001C42C5" w:rsidRDefault="005917B5">
            <w:pPr>
              <w:jc w:val="right"/>
              <w:rPr>
                <w:rFonts w:ascii="Arial" w:hAnsi="Arial" w:cs="Arial"/>
                <w:sz w:val="20"/>
                <w:szCs w:val="20"/>
              </w:rPr>
            </w:pPr>
            <w:r w:rsidRPr="001C42C5">
              <w:rPr>
                <w:rFonts w:ascii="Arial" w:hAnsi="Arial" w:cs="Arial"/>
                <w:sz w:val="20"/>
                <w:szCs w:val="20"/>
              </w:rPr>
              <w:t>18%</w:t>
            </w:r>
          </w:p>
        </w:tc>
        <w:tc>
          <w:tcPr>
            <w:tcW w:w="889" w:type="dxa"/>
            <w:tcBorders>
              <w:top w:val="nil"/>
              <w:left w:val="nil"/>
              <w:bottom w:val="single" w:sz="4" w:space="0" w:color="auto"/>
              <w:right w:val="single" w:sz="4" w:space="0" w:color="auto"/>
            </w:tcBorders>
            <w:noWrap/>
            <w:vAlign w:val="bottom"/>
            <w:hideMark/>
          </w:tcPr>
          <w:p w14:paraId="4F3BE083" w14:textId="77777777" w:rsidR="005917B5" w:rsidRPr="001C42C5" w:rsidRDefault="005917B5">
            <w:pPr>
              <w:jc w:val="right"/>
              <w:rPr>
                <w:rFonts w:ascii="Calibri" w:hAnsi="Calibri" w:cs="Calibri"/>
                <w:sz w:val="22"/>
                <w:szCs w:val="22"/>
              </w:rPr>
            </w:pPr>
            <w:r w:rsidRPr="001C42C5">
              <w:rPr>
                <w:rFonts w:ascii="Calibri" w:hAnsi="Calibri" w:cs="Calibri"/>
                <w:sz w:val="22"/>
                <w:szCs w:val="22"/>
              </w:rPr>
              <w:t>100%</w:t>
            </w:r>
          </w:p>
        </w:tc>
        <w:tc>
          <w:tcPr>
            <w:tcW w:w="219" w:type="dxa"/>
            <w:vAlign w:val="center"/>
            <w:hideMark/>
          </w:tcPr>
          <w:p w14:paraId="4720F3EE" w14:textId="77777777" w:rsidR="005917B5" w:rsidRPr="001C42C5" w:rsidRDefault="005917B5">
            <w:pPr>
              <w:rPr>
                <w:sz w:val="20"/>
                <w:szCs w:val="20"/>
              </w:rPr>
            </w:pPr>
          </w:p>
        </w:tc>
      </w:tr>
      <w:tr w:rsidR="001C42C5" w:rsidRPr="001C42C5" w14:paraId="2F4D72FF" w14:textId="77777777" w:rsidTr="00033347">
        <w:trPr>
          <w:trHeight w:val="245"/>
          <w:jc w:val="center"/>
        </w:trPr>
        <w:tc>
          <w:tcPr>
            <w:tcW w:w="821" w:type="dxa"/>
            <w:tcBorders>
              <w:top w:val="nil"/>
              <w:left w:val="single" w:sz="4" w:space="0" w:color="auto"/>
              <w:bottom w:val="single" w:sz="4" w:space="0" w:color="auto"/>
              <w:right w:val="single" w:sz="4" w:space="0" w:color="auto"/>
            </w:tcBorders>
            <w:noWrap/>
            <w:vAlign w:val="bottom"/>
            <w:hideMark/>
          </w:tcPr>
          <w:p w14:paraId="29A44E7D" w14:textId="77777777" w:rsidR="005917B5" w:rsidRPr="001C42C5" w:rsidRDefault="005917B5">
            <w:pPr>
              <w:jc w:val="center"/>
              <w:rPr>
                <w:rFonts w:ascii="Arial" w:hAnsi="Arial" w:cs="Arial"/>
                <w:sz w:val="20"/>
                <w:szCs w:val="20"/>
              </w:rPr>
            </w:pPr>
            <w:r w:rsidRPr="001C42C5">
              <w:rPr>
                <w:rFonts w:ascii="Arial" w:hAnsi="Arial" w:cs="Arial"/>
                <w:sz w:val="20"/>
                <w:szCs w:val="20"/>
              </w:rPr>
              <w:t> </w:t>
            </w:r>
          </w:p>
        </w:tc>
        <w:tc>
          <w:tcPr>
            <w:tcW w:w="2252" w:type="dxa"/>
            <w:tcBorders>
              <w:top w:val="nil"/>
              <w:left w:val="nil"/>
              <w:bottom w:val="single" w:sz="4" w:space="0" w:color="auto"/>
              <w:right w:val="nil"/>
            </w:tcBorders>
            <w:noWrap/>
            <w:vAlign w:val="bottom"/>
            <w:hideMark/>
          </w:tcPr>
          <w:p w14:paraId="1F63E70E" w14:textId="77777777" w:rsidR="005917B5" w:rsidRPr="001C42C5" w:rsidRDefault="005917B5">
            <w:pPr>
              <w:rPr>
                <w:rFonts w:ascii="Arial" w:hAnsi="Arial" w:cs="Arial"/>
                <w:sz w:val="18"/>
                <w:szCs w:val="18"/>
              </w:rPr>
            </w:pPr>
            <w:r w:rsidRPr="001C42C5">
              <w:rPr>
                <w:rFonts w:ascii="Arial" w:hAnsi="Arial" w:cs="Arial"/>
                <w:sz w:val="18"/>
                <w:szCs w:val="18"/>
              </w:rPr>
              <w:t>RASHODI</w:t>
            </w:r>
          </w:p>
        </w:tc>
        <w:tc>
          <w:tcPr>
            <w:tcW w:w="1053" w:type="dxa"/>
            <w:tcBorders>
              <w:top w:val="nil"/>
              <w:left w:val="nil"/>
              <w:bottom w:val="single" w:sz="4" w:space="0" w:color="auto"/>
              <w:right w:val="single" w:sz="4" w:space="0" w:color="auto"/>
            </w:tcBorders>
            <w:noWrap/>
            <w:vAlign w:val="bottom"/>
            <w:hideMark/>
          </w:tcPr>
          <w:p w14:paraId="56A3CF2A" w14:textId="77777777" w:rsidR="005917B5" w:rsidRPr="001C42C5" w:rsidRDefault="005917B5">
            <w:pPr>
              <w:rPr>
                <w:rFonts w:ascii="Arial" w:hAnsi="Arial" w:cs="Arial"/>
                <w:sz w:val="20"/>
                <w:szCs w:val="20"/>
              </w:rPr>
            </w:pPr>
            <w:r w:rsidRPr="001C42C5">
              <w:rPr>
                <w:rFonts w:ascii="Arial" w:hAnsi="Arial" w:cs="Arial"/>
                <w:sz w:val="20"/>
                <w:szCs w:val="20"/>
              </w:rPr>
              <w:t> </w:t>
            </w:r>
          </w:p>
        </w:tc>
        <w:tc>
          <w:tcPr>
            <w:tcW w:w="1476" w:type="dxa"/>
            <w:tcBorders>
              <w:top w:val="nil"/>
              <w:left w:val="nil"/>
              <w:bottom w:val="single" w:sz="4" w:space="0" w:color="auto"/>
              <w:right w:val="single" w:sz="4" w:space="0" w:color="auto"/>
            </w:tcBorders>
            <w:noWrap/>
            <w:vAlign w:val="bottom"/>
            <w:hideMark/>
          </w:tcPr>
          <w:p w14:paraId="654F583F" w14:textId="77777777" w:rsidR="005917B5" w:rsidRPr="001C42C5" w:rsidRDefault="005917B5">
            <w:pPr>
              <w:jc w:val="right"/>
              <w:rPr>
                <w:rFonts w:ascii="Arial" w:hAnsi="Arial" w:cs="Arial"/>
                <w:sz w:val="20"/>
                <w:szCs w:val="20"/>
              </w:rPr>
            </w:pPr>
            <w:r w:rsidRPr="001C42C5">
              <w:rPr>
                <w:rFonts w:ascii="Arial" w:hAnsi="Arial" w:cs="Arial"/>
                <w:sz w:val="20"/>
                <w:szCs w:val="20"/>
              </w:rPr>
              <w:t>287.617,40</w:t>
            </w:r>
          </w:p>
        </w:tc>
        <w:tc>
          <w:tcPr>
            <w:tcW w:w="1476" w:type="dxa"/>
            <w:tcBorders>
              <w:top w:val="nil"/>
              <w:left w:val="nil"/>
              <w:bottom w:val="single" w:sz="4" w:space="0" w:color="auto"/>
              <w:right w:val="single" w:sz="4" w:space="0" w:color="auto"/>
            </w:tcBorders>
            <w:vAlign w:val="center"/>
            <w:hideMark/>
          </w:tcPr>
          <w:p w14:paraId="2FF9487F" w14:textId="77777777" w:rsidR="005917B5" w:rsidRPr="001C42C5" w:rsidRDefault="005917B5">
            <w:pPr>
              <w:jc w:val="right"/>
              <w:rPr>
                <w:rFonts w:ascii="Arial" w:hAnsi="Arial" w:cs="Arial"/>
                <w:sz w:val="20"/>
                <w:szCs w:val="20"/>
              </w:rPr>
            </w:pPr>
            <w:r w:rsidRPr="001C42C5">
              <w:rPr>
                <w:rFonts w:ascii="Arial" w:hAnsi="Arial" w:cs="Arial"/>
                <w:sz w:val="20"/>
                <w:szCs w:val="20"/>
              </w:rPr>
              <w:t>40.000,00</w:t>
            </w:r>
          </w:p>
        </w:tc>
        <w:tc>
          <w:tcPr>
            <w:tcW w:w="1476" w:type="dxa"/>
            <w:tcBorders>
              <w:top w:val="nil"/>
              <w:left w:val="nil"/>
              <w:bottom w:val="single" w:sz="4" w:space="0" w:color="auto"/>
              <w:right w:val="single" w:sz="4" w:space="0" w:color="auto"/>
            </w:tcBorders>
            <w:vAlign w:val="center"/>
            <w:hideMark/>
          </w:tcPr>
          <w:p w14:paraId="095F014A" w14:textId="77777777" w:rsidR="005917B5" w:rsidRPr="001C42C5" w:rsidRDefault="005917B5">
            <w:pPr>
              <w:jc w:val="right"/>
              <w:rPr>
                <w:rFonts w:ascii="Arial" w:hAnsi="Arial" w:cs="Arial"/>
                <w:sz w:val="20"/>
                <w:szCs w:val="20"/>
              </w:rPr>
            </w:pPr>
            <w:r w:rsidRPr="001C42C5">
              <w:rPr>
                <w:rFonts w:ascii="Arial" w:hAnsi="Arial" w:cs="Arial"/>
                <w:sz w:val="20"/>
                <w:szCs w:val="20"/>
              </w:rPr>
              <w:t>40.023,48</w:t>
            </w:r>
          </w:p>
        </w:tc>
        <w:tc>
          <w:tcPr>
            <w:tcW w:w="889" w:type="dxa"/>
            <w:tcBorders>
              <w:top w:val="nil"/>
              <w:left w:val="nil"/>
              <w:bottom w:val="single" w:sz="4" w:space="0" w:color="auto"/>
              <w:right w:val="single" w:sz="4" w:space="0" w:color="auto"/>
            </w:tcBorders>
            <w:vAlign w:val="center"/>
            <w:hideMark/>
          </w:tcPr>
          <w:p w14:paraId="1CC11C7F" w14:textId="77777777" w:rsidR="005917B5" w:rsidRPr="001C42C5" w:rsidRDefault="005917B5">
            <w:pPr>
              <w:jc w:val="right"/>
              <w:rPr>
                <w:rFonts w:ascii="Arial" w:hAnsi="Arial" w:cs="Arial"/>
                <w:sz w:val="20"/>
                <w:szCs w:val="20"/>
              </w:rPr>
            </w:pPr>
            <w:r w:rsidRPr="001C42C5">
              <w:rPr>
                <w:rFonts w:ascii="Arial" w:hAnsi="Arial" w:cs="Arial"/>
                <w:sz w:val="20"/>
                <w:szCs w:val="20"/>
              </w:rPr>
              <w:t>14%</w:t>
            </w:r>
          </w:p>
        </w:tc>
        <w:tc>
          <w:tcPr>
            <w:tcW w:w="889" w:type="dxa"/>
            <w:tcBorders>
              <w:top w:val="nil"/>
              <w:left w:val="nil"/>
              <w:bottom w:val="single" w:sz="4" w:space="0" w:color="auto"/>
              <w:right w:val="single" w:sz="4" w:space="0" w:color="auto"/>
            </w:tcBorders>
            <w:noWrap/>
            <w:vAlign w:val="bottom"/>
            <w:hideMark/>
          </w:tcPr>
          <w:p w14:paraId="376EF8D9" w14:textId="77777777" w:rsidR="005917B5" w:rsidRPr="001C42C5" w:rsidRDefault="005917B5">
            <w:pPr>
              <w:jc w:val="right"/>
              <w:rPr>
                <w:rFonts w:ascii="Calibri" w:hAnsi="Calibri" w:cs="Calibri"/>
                <w:sz w:val="22"/>
                <w:szCs w:val="22"/>
              </w:rPr>
            </w:pPr>
            <w:r w:rsidRPr="001C42C5">
              <w:rPr>
                <w:rFonts w:ascii="Calibri" w:hAnsi="Calibri" w:cs="Calibri"/>
                <w:sz w:val="22"/>
                <w:szCs w:val="22"/>
              </w:rPr>
              <w:t>100%</w:t>
            </w:r>
          </w:p>
        </w:tc>
        <w:tc>
          <w:tcPr>
            <w:tcW w:w="219" w:type="dxa"/>
            <w:vAlign w:val="center"/>
            <w:hideMark/>
          </w:tcPr>
          <w:p w14:paraId="374D65F7" w14:textId="77777777" w:rsidR="005917B5" w:rsidRPr="001C42C5" w:rsidRDefault="005917B5">
            <w:pPr>
              <w:rPr>
                <w:sz w:val="20"/>
                <w:szCs w:val="20"/>
              </w:rPr>
            </w:pPr>
          </w:p>
        </w:tc>
      </w:tr>
      <w:tr w:rsidR="001C42C5" w:rsidRPr="001C42C5" w14:paraId="137EA7CD" w14:textId="77777777" w:rsidTr="00033347">
        <w:trPr>
          <w:trHeight w:val="245"/>
          <w:jc w:val="center"/>
        </w:trPr>
        <w:tc>
          <w:tcPr>
            <w:tcW w:w="821" w:type="dxa"/>
            <w:tcBorders>
              <w:top w:val="nil"/>
              <w:left w:val="single" w:sz="4" w:space="0" w:color="auto"/>
              <w:bottom w:val="single" w:sz="4" w:space="0" w:color="auto"/>
              <w:right w:val="single" w:sz="4" w:space="0" w:color="auto"/>
            </w:tcBorders>
            <w:noWrap/>
            <w:vAlign w:val="bottom"/>
            <w:hideMark/>
          </w:tcPr>
          <w:p w14:paraId="4941784D" w14:textId="77777777" w:rsidR="005917B5" w:rsidRPr="001C42C5" w:rsidRDefault="005917B5">
            <w:pPr>
              <w:jc w:val="center"/>
              <w:rPr>
                <w:rFonts w:ascii="Arial" w:hAnsi="Arial" w:cs="Arial"/>
                <w:sz w:val="20"/>
                <w:szCs w:val="20"/>
              </w:rPr>
            </w:pPr>
            <w:r w:rsidRPr="001C42C5">
              <w:rPr>
                <w:rFonts w:ascii="Arial" w:hAnsi="Arial" w:cs="Arial"/>
                <w:sz w:val="20"/>
                <w:szCs w:val="20"/>
              </w:rPr>
              <w:t> </w:t>
            </w:r>
          </w:p>
        </w:tc>
        <w:tc>
          <w:tcPr>
            <w:tcW w:w="2252" w:type="dxa"/>
            <w:tcBorders>
              <w:top w:val="nil"/>
              <w:left w:val="nil"/>
              <w:bottom w:val="single" w:sz="4" w:space="0" w:color="auto"/>
              <w:right w:val="nil"/>
            </w:tcBorders>
            <w:noWrap/>
            <w:vAlign w:val="bottom"/>
            <w:hideMark/>
          </w:tcPr>
          <w:p w14:paraId="6FB10FBD" w14:textId="77777777" w:rsidR="005917B5" w:rsidRPr="001C42C5" w:rsidRDefault="005917B5">
            <w:pPr>
              <w:rPr>
                <w:rFonts w:ascii="Arial" w:hAnsi="Arial" w:cs="Arial"/>
                <w:sz w:val="18"/>
                <w:szCs w:val="18"/>
              </w:rPr>
            </w:pPr>
            <w:r w:rsidRPr="001C42C5">
              <w:rPr>
                <w:rFonts w:ascii="Arial" w:hAnsi="Arial" w:cs="Arial"/>
                <w:sz w:val="18"/>
                <w:szCs w:val="18"/>
              </w:rPr>
              <w:t> </w:t>
            </w:r>
          </w:p>
        </w:tc>
        <w:tc>
          <w:tcPr>
            <w:tcW w:w="1053" w:type="dxa"/>
            <w:tcBorders>
              <w:top w:val="nil"/>
              <w:left w:val="nil"/>
              <w:bottom w:val="single" w:sz="4" w:space="0" w:color="auto"/>
              <w:right w:val="single" w:sz="4" w:space="0" w:color="auto"/>
            </w:tcBorders>
            <w:noWrap/>
            <w:vAlign w:val="bottom"/>
            <w:hideMark/>
          </w:tcPr>
          <w:p w14:paraId="76B5C9D5" w14:textId="2AEC8789" w:rsidR="005917B5" w:rsidRPr="001C42C5" w:rsidRDefault="004C49AC">
            <w:pPr>
              <w:jc w:val="right"/>
              <w:rPr>
                <w:rFonts w:ascii="Arial" w:hAnsi="Arial" w:cs="Arial"/>
                <w:sz w:val="18"/>
                <w:szCs w:val="18"/>
              </w:rPr>
            </w:pPr>
            <w:r w:rsidRPr="001C42C5">
              <w:rPr>
                <w:rFonts w:ascii="Arial" w:hAnsi="Arial" w:cs="Arial"/>
                <w:sz w:val="18"/>
                <w:szCs w:val="18"/>
              </w:rPr>
              <w:t>REZULTAT</w:t>
            </w:r>
          </w:p>
        </w:tc>
        <w:tc>
          <w:tcPr>
            <w:tcW w:w="1476" w:type="dxa"/>
            <w:tcBorders>
              <w:top w:val="nil"/>
              <w:left w:val="nil"/>
              <w:bottom w:val="single" w:sz="4" w:space="0" w:color="auto"/>
              <w:right w:val="single" w:sz="4" w:space="0" w:color="auto"/>
            </w:tcBorders>
            <w:vAlign w:val="center"/>
            <w:hideMark/>
          </w:tcPr>
          <w:p w14:paraId="370CDA1B" w14:textId="77777777" w:rsidR="005917B5" w:rsidRPr="001C42C5" w:rsidRDefault="005917B5">
            <w:pPr>
              <w:jc w:val="right"/>
              <w:rPr>
                <w:rFonts w:ascii="Arial" w:hAnsi="Arial" w:cs="Arial"/>
                <w:sz w:val="20"/>
                <w:szCs w:val="20"/>
              </w:rPr>
            </w:pPr>
            <w:r w:rsidRPr="001C42C5">
              <w:rPr>
                <w:rFonts w:ascii="Arial" w:hAnsi="Arial" w:cs="Arial"/>
                <w:sz w:val="20"/>
                <w:szCs w:val="20"/>
              </w:rPr>
              <w:t>-63.611,30</w:t>
            </w:r>
          </w:p>
        </w:tc>
        <w:tc>
          <w:tcPr>
            <w:tcW w:w="1476" w:type="dxa"/>
            <w:tcBorders>
              <w:top w:val="nil"/>
              <w:left w:val="nil"/>
              <w:bottom w:val="single" w:sz="4" w:space="0" w:color="auto"/>
              <w:right w:val="single" w:sz="4" w:space="0" w:color="auto"/>
            </w:tcBorders>
            <w:vAlign w:val="center"/>
            <w:hideMark/>
          </w:tcPr>
          <w:p w14:paraId="0317FCAD" w14:textId="77777777" w:rsidR="005917B5" w:rsidRPr="001C42C5" w:rsidRDefault="005917B5">
            <w:pPr>
              <w:jc w:val="right"/>
              <w:rPr>
                <w:rFonts w:ascii="Arial" w:hAnsi="Arial" w:cs="Arial"/>
                <w:sz w:val="20"/>
                <w:szCs w:val="20"/>
              </w:rPr>
            </w:pPr>
            <w:r w:rsidRPr="001C42C5">
              <w:rPr>
                <w:rFonts w:ascii="Arial" w:hAnsi="Arial" w:cs="Arial"/>
                <w:sz w:val="20"/>
                <w:szCs w:val="20"/>
              </w:rPr>
              <w:t>0,00</w:t>
            </w:r>
          </w:p>
        </w:tc>
        <w:tc>
          <w:tcPr>
            <w:tcW w:w="1476" w:type="dxa"/>
            <w:tcBorders>
              <w:top w:val="nil"/>
              <w:left w:val="nil"/>
              <w:bottom w:val="single" w:sz="4" w:space="0" w:color="auto"/>
              <w:right w:val="single" w:sz="4" w:space="0" w:color="auto"/>
            </w:tcBorders>
            <w:vAlign w:val="center"/>
            <w:hideMark/>
          </w:tcPr>
          <w:p w14:paraId="4A453B89" w14:textId="77777777" w:rsidR="005917B5" w:rsidRPr="001C42C5" w:rsidRDefault="005917B5">
            <w:pPr>
              <w:jc w:val="right"/>
              <w:rPr>
                <w:rFonts w:ascii="Arial" w:hAnsi="Arial" w:cs="Arial"/>
                <w:sz w:val="20"/>
                <w:szCs w:val="20"/>
              </w:rPr>
            </w:pPr>
            <w:r w:rsidRPr="001C42C5">
              <w:rPr>
                <w:rFonts w:ascii="Arial" w:hAnsi="Arial" w:cs="Arial"/>
                <w:sz w:val="20"/>
                <w:szCs w:val="20"/>
              </w:rPr>
              <w:t>0,00</w:t>
            </w:r>
          </w:p>
        </w:tc>
        <w:tc>
          <w:tcPr>
            <w:tcW w:w="889" w:type="dxa"/>
            <w:tcBorders>
              <w:top w:val="nil"/>
              <w:left w:val="nil"/>
              <w:bottom w:val="single" w:sz="4" w:space="0" w:color="auto"/>
              <w:right w:val="single" w:sz="4" w:space="0" w:color="auto"/>
            </w:tcBorders>
            <w:vAlign w:val="center"/>
            <w:hideMark/>
          </w:tcPr>
          <w:p w14:paraId="5D09C392" w14:textId="77777777" w:rsidR="005917B5" w:rsidRPr="001C42C5" w:rsidRDefault="005917B5">
            <w:pPr>
              <w:rPr>
                <w:rFonts w:ascii="Arial" w:hAnsi="Arial" w:cs="Arial"/>
                <w:sz w:val="20"/>
                <w:szCs w:val="20"/>
              </w:rPr>
            </w:pPr>
            <w:r w:rsidRPr="001C42C5">
              <w:rPr>
                <w:rFonts w:ascii="Arial" w:hAnsi="Arial" w:cs="Arial"/>
                <w:sz w:val="20"/>
                <w:szCs w:val="20"/>
              </w:rPr>
              <w:t> </w:t>
            </w:r>
          </w:p>
        </w:tc>
        <w:tc>
          <w:tcPr>
            <w:tcW w:w="889" w:type="dxa"/>
            <w:tcBorders>
              <w:top w:val="nil"/>
              <w:left w:val="nil"/>
              <w:bottom w:val="single" w:sz="4" w:space="0" w:color="auto"/>
              <w:right w:val="single" w:sz="4" w:space="0" w:color="auto"/>
            </w:tcBorders>
            <w:noWrap/>
            <w:vAlign w:val="bottom"/>
            <w:hideMark/>
          </w:tcPr>
          <w:p w14:paraId="5AA0AFD9" w14:textId="77777777" w:rsidR="005917B5" w:rsidRPr="001C42C5" w:rsidRDefault="005917B5">
            <w:pPr>
              <w:rPr>
                <w:rFonts w:ascii="Calibri" w:hAnsi="Calibri" w:cs="Calibri"/>
                <w:sz w:val="22"/>
                <w:szCs w:val="22"/>
              </w:rPr>
            </w:pPr>
            <w:r w:rsidRPr="001C42C5">
              <w:rPr>
                <w:rFonts w:ascii="Calibri" w:hAnsi="Calibri" w:cs="Calibri"/>
                <w:sz w:val="22"/>
                <w:szCs w:val="22"/>
              </w:rPr>
              <w:t> </w:t>
            </w:r>
          </w:p>
        </w:tc>
        <w:tc>
          <w:tcPr>
            <w:tcW w:w="219" w:type="dxa"/>
            <w:vAlign w:val="center"/>
            <w:hideMark/>
          </w:tcPr>
          <w:p w14:paraId="618702AE" w14:textId="77777777" w:rsidR="005917B5" w:rsidRPr="001C42C5" w:rsidRDefault="005917B5">
            <w:pPr>
              <w:rPr>
                <w:sz w:val="20"/>
                <w:szCs w:val="20"/>
              </w:rPr>
            </w:pPr>
          </w:p>
        </w:tc>
      </w:tr>
      <w:tr w:rsidR="001C42C5" w:rsidRPr="001C42C5" w14:paraId="24223ACE" w14:textId="77777777" w:rsidTr="00033347">
        <w:trPr>
          <w:trHeight w:val="245"/>
          <w:jc w:val="center"/>
        </w:trPr>
        <w:tc>
          <w:tcPr>
            <w:tcW w:w="821" w:type="dxa"/>
            <w:tcBorders>
              <w:top w:val="nil"/>
              <w:left w:val="single" w:sz="4" w:space="0" w:color="auto"/>
              <w:bottom w:val="single" w:sz="4" w:space="0" w:color="auto"/>
              <w:right w:val="single" w:sz="4" w:space="0" w:color="auto"/>
            </w:tcBorders>
            <w:noWrap/>
            <w:vAlign w:val="bottom"/>
            <w:hideMark/>
          </w:tcPr>
          <w:p w14:paraId="7CF82E19" w14:textId="77777777" w:rsidR="005917B5" w:rsidRPr="001C42C5" w:rsidRDefault="005917B5">
            <w:pPr>
              <w:jc w:val="center"/>
              <w:rPr>
                <w:rFonts w:ascii="Arial" w:hAnsi="Arial" w:cs="Arial"/>
                <w:b/>
                <w:bCs/>
                <w:sz w:val="20"/>
                <w:szCs w:val="20"/>
              </w:rPr>
            </w:pPr>
            <w:r w:rsidRPr="001C42C5">
              <w:rPr>
                <w:rFonts w:ascii="Arial" w:hAnsi="Arial" w:cs="Arial"/>
                <w:b/>
                <w:bCs/>
                <w:sz w:val="20"/>
                <w:szCs w:val="20"/>
              </w:rPr>
              <w:t>62</w:t>
            </w:r>
          </w:p>
        </w:tc>
        <w:tc>
          <w:tcPr>
            <w:tcW w:w="3305" w:type="dxa"/>
            <w:gridSpan w:val="2"/>
            <w:tcBorders>
              <w:top w:val="single" w:sz="4" w:space="0" w:color="auto"/>
              <w:left w:val="nil"/>
              <w:bottom w:val="single" w:sz="4" w:space="0" w:color="auto"/>
              <w:right w:val="single" w:sz="4" w:space="0" w:color="000000"/>
            </w:tcBorders>
            <w:noWrap/>
            <w:vAlign w:val="bottom"/>
            <w:hideMark/>
          </w:tcPr>
          <w:p w14:paraId="580D71FD" w14:textId="77777777" w:rsidR="005917B5" w:rsidRPr="001C42C5" w:rsidRDefault="005917B5">
            <w:pPr>
              <w:rPr>
                <w:rFonts w:ascii="Arial" w:hAnsi="Arial" w:cs="Arial"/>
                <w:b/>
                <w:bCs/>
                <w:sz w:val="20"/>
                <w:szCs w:val="20"/>
              </w:rPr>
            </w:pPr>
            <w:r w:rsidRPr="001C42C5">
              <w:rPr>
                <w:rFonts w:ascii="Arial" w:hAnsi="Arial" w:cs="Arial"/>
                <w:b/>
                <w:bCs/>
                <w:sz w:val="20"/>
                <w:szCs w:val="20"/>
              </w:rPr>
              <w:t>Donacije</w:t>
            </w:r>
          </w:p>
        </w:tc>
        <w:tc>
          <w:tcPr>
            <w:tcW w:w="1476" w:type="dxa"/>
            <w:tcBorders>
              <w:top w:val="nil"/>
              <w:left w:val="nil"/>
              <w:bottom w:val="single" w:sz="4" w:space="0" w:color="auto"/>
              <w:right w:val="single" w:sz="4" w:space="0" w:color="auto"/>
            </w:tcBorders>
            <w:noWrap/>
            <w:vAlign w:val="bottom"/>
            <w:hideMark/>
          </w:tcPr>
          <w:p w14:paraId="16DAC8F6" w14:textId="77777777" w:rsidR="005917B5" w:rsidRPr="001C42C5" w:rsidRDefault="005917B5">
            <w:pPr>
              <w:jc w:val="right"/>
              <w:rPr>
                <w:rFonts w:ascii="Arial" w:hAnsi="Arial" w:cs="Arial"/>
                <w:b/>
                <w:bCs/>
                <w:sz w:val="20"/>
                <w:szCs w:val="20"/>
              </w:rPr>
            </w:pPr>
            <w:r w:rsidRPr="001C42C5">
              <w:rPr>
                <w:rFonts w:ascii="Arial" w:hAnsi="Arial" w:cs="Arial"/>
                <w:b/>
                <w:bCs/>
                <w:sz w:val="20"/>
                <w:szCs w:val="20"/>
              </w:rPr>
              <w:t> </w:t>
            </w:r>
          </w:p>
        </w:tc>
        <w:tc>
          <w:tcPr>
            <w:tcW w:w="1476" w:type="dxa"/>
            <w:tcBorders>
              <w:top w:val="nil"/>
              <w:left w:val="nil"/>
              <w:bottom w:val="single" w:sz="4" w:space="0" w:color="auto"/>
              <w:right w:val="single" w:sz="4" w:space="0" w:color="auto"/>
            </w:tcBorders>
            <w:noWrap/>
            <w:vAlign w:val="bottom"/>
            <w:hideMark/>
          </w:tcPr>
          <w:p w14:paraId="625C34DF" w14:textId="77777777" w:rsidR="005917B5" w:rsidRPr="001C42C5" w:rsidRDefault="005917B5">
            <w:pPr>
              <w:rPr>
                <w:rFonts w:ascii="Arial" w:hAnsi="Arial" w:cs="Arial"/>
                <w:sz w:val="20"/>
                <w:szCs w:val="20"/>
              </w:rPr>
            </w:pPr>
            <w:r w:rsidRPr="001C42C5">
              <w:rPr>
                <w:rFonts w:ascii="Arial" w:hAnsi="Arial" w:cs="Arial"/>
                <w:sz w:val="20"/>
                <w:szCs w:val="20"/>
              </w:rPr>
              <w:t> </w:t>
            </w:r>
          </w:p>
        </w:tc>
        <w:tc>
          <w:tcPr>
            <w:tcW w:w="1476" w:type="dxa"/>
            <w:tcBorders>
              <w:top w:val="nil"/>
              <w:left w:val="nil"/>
              <w:bottom w:val="single" w:sz="4" w:space="0" w:color="auto"/>
              <w:right w:val="single" w:sz="4" w:space="0" w:color="auto"/>
            </w:tcBorders>
            <w:noWrap/>
            <w:vAlign w:val="bottom"/>
            <w:hideMark/>
          </w:tcPr>
          <w:p w14:paraId="06652F00" w14:textId="77777777" w:rsidR="005917B5" w:rsidRPr="001C42C5" w:rsidRDefault="005917B5">
            <w:pPr>
              <w:rPr>
                <w:rFonts w:ascii="Arial" w:hAnsi="Arial" w:cs="Arial"/>
                <w:sz w:val="20"/>
                <w:szCs w:val="20"/>
              </w:rPr>
            </w:pPr>
            <w:r w:rsidRPr="001C42C5">
              <w:rPr>
                <w:rFonts w:ascii="Arial" w:hAnsi="Arial" w:cs="Arial"/>
                <w:sz w:val="20"/>
                <w:szCs w:val="20"/>
              </w:rPr>
              <w:t> </w:t>
            </w:r>
          </w:p>
        </w:tc>
        <w:tc>
          <w:tcPr>
            <w:tcW w:w="889" w:type="dxa"/>
            <w:tcBorders>
              <w:top w:val="nil"/>
              <w:left w:val="nil"/>
              <w:bottom w:val="single" w:sz="4" w:space="0" w:color="auto"/>
              <w:right w:val="single" w:sz="4" w:space="0" w:color="auto"/>
            </w:tcBorders>
            <w:noWrap/>
            <w:vAlign w:val="bottom"/>
            <w:hideMark/>
          </w:tcPr>
          <w:p w14:paraId="72C8BA42" w14:textId="77777777" w:rsidR="005917B5" w:rsidRPr="001C42C5" w:rsidRDefault="005917B5">
            <w:pPr>
              <w:rPr>
                <w:rFonts w:ascii="Arial" w:hAnsi="Arial" w:cs="Arial"/>
                <w:sz w:val="20"/>
                <w:szCs w:val="20"/>
              </w:rPr>
            </w:pPr>
            <w:r w:rsidRPr="001C42C5">
              <w:rPr>
                <w:rFonts w:ascii="Arial" w:hAnsi="Arial" w:cs="Arial"/>
                <w:sz w:val="20"/>
                <w:szCs w:val="20"/>
              </w:rPr>
              <w:t> </w:t>
            </w:r>
          </w:p>
        </w:tc>
        <w:tc>
          <w:tcPr>
            <w:tcW w:w="889" w:type="dxa"/>
            <w:tcBorders>
              <w:top w:val="nil"/>
              <w:left w:val="nil"/>
              <w:bottom w:val="single" w:sz="4" w:space="0" w:color="auto"/>
              <w:right w:val="single" w:sz="4" w:space="0" w:color="auto"/>
            </w:tcBorders>
            <w:noWrap/>
            <w:vAlign w:val="bottom"/>
            <w:hideMark/>
          </w:tcPr>
          <w:p w14:paraId="199E7D13" w14:textId="77777777" w:rsidR="005917B5" w:rsidRPr="001C42C5" w:rsidRDefault="005917B5">
            <w:pPr>
              <w:rPr>
                <w:rFonts w:ascii="Calibri" w:hAnsi="Calibri" w:cs="Calibri"/>
                <w:sz w:val="22"/>
                <w:szCs w:val="22"/>
              </w:rPr>
            </w:pPr>
            <w:r w:rsidRPr="001C42C5">
              <w:rPr>
                <w:rFonts w:ascii="Calibri" w:hAnsi="Calibri" w:cs="Calibri"/>
                <w:sz w:val="22"/>
                <w:szCs w:val="22"/>
              </w:rPr>
              <w:t> </w:t>
            </w:r>
          </w:p>
        </w:tc>
        <w:tc>
          <w:tcPr>
            <w:tcW w:w="219" w:type="dxa"/>
            <w:vAlign w:val="center"/>
            <w:hideMark/>
          </w:tcPr>
          <w:p w14:paraId="7031088F" w14:textId="77777777" w:rsidR="005917B5" w:rsidRPr="001C42C5" w:rsidRDefault="005917B5">
            <w:pPr>
              <w:rPr>
                <w:sz w:val="20"/>
                <w:szCs w:val="20"/>
              </w:rPr>
            </w:pPr>
          </w:p>
        </w:tc>
      </w:tr>
      <w:tr w:rsidR="001C42C5" w:rsidRPr="001C42C5" w14:paraId="3229578B" w14:textId="77777777" w:rsidTr="00033347">
        <w:trPr>
          <w:trHeight w:val="245"/>
          <w:jc w:val="center"/>
        </w:trPr>
        <w:tc>
          <w:tcPr>
            <w:tcW w:w="821" w:type="dxa"/>
            <w:tcBorders>
              <w:top w:val="nil"/>
              <w:left w:val="single" w:sz="4" w:space="0" w:color="auto"/>
              <w:bottom w:val="single" w:sz="4" w:space="0" w:color="auto"/>
              <w:right w:val="single" w:sz="4" w:space="0" w:color="auto"/>
            </w:tcBorders>
            <w:noWrap/>
            <w:vAlign w:val="bottom"/>
            <w:hideMark/>
          </w:tcPr>
          <w:p w14:paraId="5036B731" w14:textId="77777777" w:rsidR="005917B5" w:rsidRPr="001C42C5" w:rsidRDefault="005917B5">
            <w:pPr>
              <w:jc w:val="center"/>
              <w:rPr>
                <w:rFonts w:ascii="Arial" w:hAnsi="Arial" w:cs="Arial"/>
                <w:sz w:val="20"/>
                <w:szCs w:val="20"/>
              </w:rPr>
            </w:pPr>
            <w:r w:rsidRPr="001C42C5">
              <w:rPr>
                <w:rFonts w:ascii="Arial" w:hAnsi="Arial" w:cs="Arial"/>
                <w:sz w:val="20"/>
                <w:szCs w:val="20"/>
              </w:rPr>
              <w:t> </w:t>
            </w:r>
          </w:p>
        </w:tc>
        <w:tc>
          <w:tcPr>
            <w:tcW w:w="2252" w:type="dxa"/>
            <w:tcBorders>
              <w:top w:val="nil"/>
              <w:left w:val="nil"/>
              <w:bottom w:val="single" w:sz="4" w:space="0" w:color="auto"/>
              <w:right w:val="nil"/>
            </w:tcBorders>
            <w:noWrap/>
            <w:vAlign w:val="bottom"/>
            <w:hideMark/>
          </w:tcPr>
          <w:p w14:paraId="5E1EC225" w14:textId="77777777" w:rsidR="005917B5" w:rsidRPr="001C42C5" w:rsidRDefault="005917B5">
            <w:pPr>
              <w:rPr>
                <w:rFonts w:ascii="Arial" w:hAnsi="Arial" w:cs="Arial"/>
                <w:sz w:val="18"/>
                <w:szCs w:val="18"/>
              </w:rPr>
            </w:pPr>
            <w:r w:rsidRPr="001C42C5">
              <w:rPr>
                <w:rFonts w:ascii="Arial" w:hAnsi="Arial" w:cs="Arial"/>
                <w:sz w:val="18"/>
                <w:szCs w:val="18"/>
              </w:rPr>
              <w:t>PRIHODI</w:t>
            </w:r>
          </w:p>
        </w:tc>
        <w:tc>
          <w:tcPr>
            <w:tcW w:w="1053" w:type="dxa"/>
            <w:tcBorders>
              <w:top w:val="nil"/>
              <w:left w:val="nil"/>
              <w:bottom w:val="single" w:sz="4" w:space="0" w:color="auto"/>
              <w:right w:val="single" w:sz="4" w:space="0" w:color="auto"/>
            </w:tcBorders>
            <w:noWrap/>
            <w:vAlign w:val="bottom"/>
            <w:hideMark/>
          </w:tcPr>
          <w:p w14:paraId="5D0ADC22" w14:textId="77777777" w:rsidR="005917B5" w:rsidRPr="001C42C5" w:rsidRDefault="005917B5">
            <w:pPr>
              <w:rPr>
                <w:rFonts w:ascii="Arial" w:hAnsi="Arial" w:cs="Arial"/>
                <w:sz w:val="20"/>
                <w:szCs w:val="20"/>
              </w:rPr>
            </w:pPr>
            <w:r w:rsidRPr="001C42C5">
              <w:rPr>
                <w:rFonts w:ascii="Arial" w:hAnsi="Arial" w:cs="Arial"/>
                <w:sz w:val="20"/>
                <w:szCs w:val="20"/>
              </w:rPr>
              <w:t> </w:t>
            </w:r>
          </w:p>
        </w:tc>
        <w:tc>
          <w:tcPr>
            <w:tcW w:w="1476" w:type="dxa"/>
            <w:tcBorders>
              <w:top w:val="nil"/>
              <w:left w:val="nil"/>
              <w:bottom w:val="single" w:sz="4" w:space="0" w:color="auto"/>
              <w:right w:val="single" w:sz="4" w:space="0" w:color="auto"/>
            </w:tcBorders>
            <w:noWrap/>
            <w:vAlign w:val="bottom"/>
            <w:hideMark/>
          </w:tcPr>
          <w:p w14:paraId="04ABE444" w14:textId="77777777" w:rsidR="005917B5" w:rsidRPr="001C42C5" w:rsidRDefault="005917B5">
            <w:pPr>
              <w:jc w:val="right"/>
              <w:rPr>
                <w:rFonts w:ascii="Arial" w:hAnsi="Arial" w:cs="Arial"/>
                <w:sz w:val="20"/>
                <w:szCs w:val="20"/>
              </w:rPr>
            </w:pPr>
            <w:r w:rsidRPr="001C42C5">
              <w:rPr>
                <w:rFonts w:ascii="Arial" w:hAnsi="Arial" w:cs="Arial"/>
                <w:sz w:val="20"/>
                <w:szCs w:val="20"/>
              </w:rPr>
              <w:t>55.926,11</w:t>
            </w:r>
          </w:p>
        </w:tc>
        <w:tc>
          <w:tcPr>
            <w:tcW w:w="1476" w:type="dxa"/>
            <w:tcBorders>
              <w:top w:val="nil"/>
              <w:left w:val="nil"/>
              <w:bottom w:val="single" w:sz="4" w:space="0" w:color="auto"/>
              <w:right w:val="single" w:sz="4" w:space="0" w:color="auto"/>
            </w:tcBorders>
            <w:noWrap/>
            <w:vAlign w:val="bottom"/>
            <w:hideMark/>
          </w:tcPr>
          <w:p w14:paraId="5160A4FF" w14:textId="77777777" w:rsidR="005917B5" w:rsidRPr="001C42C5" w:rsidRDefault="005917B5">
            <w:pPr>
              <w:jc w:val="right"/>
              <w:rPr>
                <w:rFonts w:ascii="Arial" w:hAnsi="Arial" w:cs="Arial"/>
                <w:sz w:val="20"/>
                <w:szCs w:val="20"/>
              </w:rPr>
            </w:pPr>
            <w:r w:rsidRPr="001C42C5">
              <w:rPr>
                <w:rFonts w:ascii="Arial" w:hAnsi="Arial" w:cs="Arial"/>
                <w:sz w:val="20"/>
                <w:szCs w:val="20"/>
              </w:rPr>
              <w:t>63.500,00</w:t>
            </w:r>
          </w:p>
        </w:tc>
        <w:tc>
          <w:tcPr>
            <w:tcW w:w="1476" w:type="dxa"/>
            <w:tcBorders>
              <w:top w:val="nil"/>
              <w:left w:val="nil"/>
              <w:bottom w:val="single" w:sz="4" w:space="0" w:color="auto"/>
              <w:right w:val="single" w:sz="4" w:space="0" w:color="auto"/>
            </w:tcBorders>
            <w:noWrap/>
            <w:vAlign w:val="bottom"/>
            <w:hideMark/>
          </w:tcPr>
          <w:p w14:paraId="03A6AF7F" w14:textId="77777777" w:rsidR="005917B5" w:rsidRPr="001C42C5" w:rsidRDefault="005917B5">
            <w:pPr>
              <w:jc w:val="right"/>
              <w:rPr>
                <w:rFonts w:ascii="Arial" w:hAnsi="Arial" w:cs="Arial"/>
                <w:sz w:val="20"/>
                <w:szCs w:val="20"/>
              </w:rPr>
            </w:pPr>
            <w:r w:rsidRPr="001C42C5">
              <w:rPr>
                <w:rFonts w:ascii="Arial" w:hAnsi="Arial" w:cs="Arial"/>
                <w:sz w:val="20"/>
                <w:szCs w:val="20"/>
              </w:rPr>
              <w:t>57.190,98</w:t>
            </w:r>
          </w:p>
        </w:tc>
        <w:tc>
          <w:tcPr>
            <w:tcW w:w="889" w:type="dxa"/>
            <w:tcBorders>
              <w:top w:val="nil"/>
              <w:left w:val="nil"/>
              <w:bottom w:val="single" w:sz="4" w:space="0" w:color="auto"/>
              <w:right w:val="single" w:sz="4" w:space="0" w:color="auto"/>
            </w:tcBorders>
            <w:noWrap/>
            <w:vAlign w:val="bottom"/>
            <w:hideMark/>
          </w:tcPr>
          <w:p w14:paraId="2CA73AFC" w14:textId="77777777" w:rsidR="005917B5" w:rsidRPr="001C42C5" w:rsidRDefault="005917B5">
            <w:pPr>
              <w:jc w:val="right"/>
              <w:rPr>
                <w:rFonts w:ascii="Arial" w:hAnsi="Arial" w:cs="Arial"/>
                <w:sz w:val="20"/>
                <w:szCs w:val="20"/>
              </w:rPr>
            </w:pPr>
            <w:r w:rsidRPr="001C42C5">
              <w:rPr>
                <w:rFonts w:ascii="Arial" w:hAnsi="Arial" w:cs="Arial"/>
                <w:sz w:val="20"/>
                <w:szCs w:val="20"/>
              </w:rPr>
              <w:t>102%</w:t>
            </w:r>
          </w:p>
        </w:tc>
        <w:tc>
          <w:tcPr>
            <w:tcW w:w="889" w:type="dxa"/>
            <w:tcBorders>
              <w:top w:val="nil"/>
              <w:left w:val="nil"/>
              <w:bottom w:val="single" w:sz="4" w:space="0" w:color="auto"/>
              <w:right w:val="single" w:sz="4" w:space="0" w:color="auto"/>
            </w:tcBorders>
            <w:noWrap/>
            <w:vAlign w:val="bottom"/>
            <w:hideMark/>
          </w:tcPr>
          <w:p w14:paraId="268E9098" w14:textId="77777777" w:rsidR="005917B5" w:rsidRPr="001C42C5" w:rsidRDefault="005917B5">
            <w:pPr>
              <w:jc w:val="right"/>
              <w:rPr>
                <w:rFonts w:ascii="Calibri" w:hAnsi="Calibri" w:cs="Calibri"/>
                <w:sz w:val="22"/>
                <w:szCs w:val="22"/>
              </w:rPr>
            </w:pPr>
            <w:r w:rsidRPr="001C42C5">
              <w:rPr>
                <w:rFonts w:ascii="Calibri" w:hAnsi="Calibri" w:cs="Calibri"/>
                <w:sz w:val="22"/>
                <w:szCs w:val="22"/>
              </w:rPr>
              <w:t>90%</w:t>
            </w:r>
          </w:p>
        </w:tc>
        <w:tc>
          <w:tcPr>
            <w:tcW w:w="219" w:type="dxa"/>
            <w:vAlign w:val="center"/>
            <w:hideMark/>
          </w:tcPr>
          <w:p w14:paraId="464DCFCA" w14:textId="77777777" w:rsidR="005917B5" w:rsidRPr="001C42C5" w:rsidRDefault="005917B5">
            <w:pPr>
              <w:rPr>
                <w:sz w:val="20"/>
                <w:szCs w:val="20"/>
              </w:rPr>
            </w:pPr>
          </w:p>
        </w:tc>
      </w:tr>
      <w:tr w:rsidR="001C42C5" w:rsidRPr="001C42C5" w14:paraId="17CABE5C" w14:textId="77777777" w:rsidTr="00033347">
        <w:trPr>
          <w:trHeight w:val="245"/>
          <w:jc w:val="center"/>
        </w:trPr>
        <w:tc>
          <w:tcPr>
            <w:tcW w:w="821" w:type="dxa"/>
            <w:tcBorders>
              <w:top w:val="nil"/>
              <w:left w:val="single" w:sz="4" w:space="0" w:color="auto"/>
              <w:bottom w:val="single" w:sz="4" w:space="0" w:color="auto"/>
              <w:right w:val="single" w:sz="4" w:space="0" w:color="auto"/>
            </w:tcBorders>
            <w:noWrap/>
            <w:vAlign w:val="bottom"/>
            <w:hideMark/>
          </w:tcPr>
          <w:p w14:paraId="77103D32" w14:textId="77777777" w:rsidR="005917B5" w:rsidRPr="001C42C5" w:rsidRDefault="005917B5">
            <w:pPr>
              <w:jc w:val="center"/>
              <w:rPr>
                <w:rFonts w:ascii="Arial" w:hAnsi="Arial" w:cs="Arial"/>
                <w:sz w:val="20"/>
                <w:szCs w:val="20"/>
              </w:rPr>
            </w:pPr>
            <w:r w:rsidRPr="001C42C5">
              <w:rPr>
                <w:rFonts w:ascii="Arial" w:hAnsi="Arial" w:cs="Arial"/>
                <w:sz w:val="20"/>
                <w:szCs w:val="20"/>
              </w:rPr>
              <w:t> </w:t>
            </w:r>
          </w:p>
        </w:tc>
        <w:tc>
          <w:tcPr>
            <w:tcW w:w="2252" w:type="dxa"/>
            <w:tcBorders>
              <w:top w:val="nil"/>
              <w:left w:val="nil"/>
              <w:bottom w:val="single" w:sz="4" w:space="0" w:color="auto"/>
              <w:right w:val="nil"/>
            </w:tcBorders>
            <w:noWrap/>
            <w:vAlign w:val="bottom"/>
            <w:hideMark/>
          </w:tcPr>
          <w:p w14:paraId="45088EDD" w14:textId="77777777" w:rsidR="005917B5" w:rsidRPr="001C42C5" w:rsidRDefault="005917B5">
            <w:pPr>
              <w:rPr>
                <w:rFonts w:ascii="Arial" w:hAnsi="Arial" w:cs="Arial"/>
                <w:sz w:val="18"/>
                <w:szCs w:val="18"/>
              </w:rPr>
            </w:pPr>
            <w:r w:rsidRPr="001C42C5">
              <w:rPr>
                <w:rFonts w:ascii="Arial" w:hAnsi="Arial" w:cs="Arial"/>
                <w:sz w:val="18"/>
                <w:szCs w:val="18"/>
              </w:rPr>
              <w:t>RASHODI</w:t>
            </w:r>
          </w:p>
        </w:tc>
        <w:tc>
          <w:tcPr>
            <w:tcW w:w="1053" w:type="dxa"/>
            <w:tcBorders>
              <w:top w:val="nil"/>
              <w:left w:val="nil"/>
              <w:bottom w:val="single" w:sz="4" w:space="0" w:color="auto"/>
              <w:right w:val="single" w:sz="4" w:space="0" w:color="auto"/>
            </w:tcBorders>
            <w:noWrap/>
            <w:vAlign w:val="bottom"/>
            <w:hideMark/>
          </w:tcPr>
          <w:p w14:paraId="745D9D1B" w14:textId="77777777" w:rsidR="005917B5" w:rsidRPr="001C42C5" w:rsidRDefault="005917B5">
            <w:pPr>
              <w:rPr>
                <w:rFonts w:ascii="Arial" w:hAnsi="Arial" w:cs="Arial"/>
                <w:sz w:val="20"/>
                <w:szCs w:val="20"/>
              </w:rPr>
            </w:pPr>
            <w:r w:rsidRPr="001C42C5">
              <w:rPr>
                <w:rFonts w:ascii="Arial" w:hAnsi="Arial" w:cs="Arial"/>
                <w:sz w:val="20"/>
                <w:szCs w:val="20"/>
              </w:rPr>
              <w:t> </w:t>
            </w:r>
          </w:p>
        </w:tc>
        <w:tc>
          <w:tcPr>
            <w:tcW w:w="1476" w:type="dxa"/>
            <w:tcBorders>
              <w:top w:val="nil"/>
              <w:left w:val="nil"/>
              <w:bottom w:val="single" w:sz="4" w:space="0" w:color="auto"/>
              <w:right w:val="single" w:sz="4" w:space="0" w:color="auto"/>
            </w:tcBorders>
            <w:noWrap/>
            <w:vAlign w:val="bottom"/>
            <w:hideMark/>
          </w:tcPr>
          <w:p w14:paraId="4661196E" w14:textId="77777777" w:rsidR="005917B5" w:rsidRPr="001C42C5" w:rsidRDefault="005917B5">
            <w:pPr>
              <w:jc w:val="right"/>
              <w:rPr>
                <w:rFonts w:ascii="Arial" w:hAnsi="Arial" w:cs="Arial"/>
                <w:sz w:val="20"/>
                <w:szCs w:val="20"/>
              </w:rPr>
            </w:pPr>
            <w:r w:rsidRPr="001C42C5">
              <w:rPr>
                <w:rFonts w:ascii="Arial" w:hAnsi="Arial" w:cs="Arial"/>
                <w:sz w:val="20"/>
                <w:szCs w:val="20"/>
              </w:rPr>
              <w:t>55.926,11</w:t>
            </w:r>
          </w:p>
        </w:tc>
        <w:tc>
          <w:tcPr>
            <w:tcW w:w="1476" w:type="dxa"/>
            <w:tcBorders>
              <w:top w:val="nil"/>
              <w:left w:val="nil"/>
              <w:bottom w:val="single" w:sz="4" w:space="0" w:color="auto"/>
              <w:right w:val="single" w:sz="4" w:space="0" w:color="auto"/>
            </w:tcBorders>
            <w:noWrap/>
            <w:vAlign w:val="bottom"/>
            <w:hideMark/>
          </w:tcPr>
          <w:p w14:paraId="16197E49" w14:textId="77777777" w:rsidR="005917B5" w:rsidRPr="001C42C5" w:rsidRDefault="005917B5">
            <w:pPr>
              <w:jc w:val="right"/>
              <w:rPr>
                <w:rFonts w:ascii="Arial" w:hAnsi="Arial" w:cs="Arial"/>
                <w:sz w:val="20"/>
                <w:szCs w:val="20"/>
              </w:rPr>
            </w:pPr>
            <w:r w:rsidRPr="001C42C5">
              <w:rPr>
                <w:rFonts w:ascii="Arial" w:hAnsi="Arial" w:cs="Arial"/>
                <w:sz w:val="20"/>
                <w:szCs w:val="20"/>
              </w:rPr>
              <w:t>63.500,00</w:t>
            </w:r>
          </w:p>
        </w:tc>
        <w:tc>
          <w:tcPr>
            <w:tcW w:w="1476" w:type="dxa"/>
            <w:tcBorders>
              <w:top w:val="nil"/>
              <w:left w:val="nil"/>
              <w:bottom w:val="single" w:sz="4" w:space="0" w:color="auto"/>
              <w:right w:val="single" w:sz="4" w:space="0" w:color="auto"/>
            </w:tcBorders>
            <w:noWrap/>
            <w:vAlign w:val="bottom"/>
            <w:hideMark/>
          </w:tcPr>
          <w:p w14:paraId="6B0E6A84" w14:textId="77777777" w:rsidR="005917B5" w:rsidRPr="001C42C5" w:rsidRDefault="005917B5">
            <w:pPr>
              <w:jc w:val="right"/>
              <w:rPr>
                <w:rFonts w:ascii="Arial" w:hAnsi="Arial" w:cs="Arial"/>
                <w:sz w:val="20"/>
                <w:szCs w:val="20"/>
              </w:rPr>
            </w:pPr>
            <w:r w:rsidRPr="001C42C5">
              <w:rPr>
                <w:rFonts w:ascii="Arial" w:hAnsi="Arial" w:cs="Arial"/>
                <w:sz w:val="20"/>
                <w:szCs w:val="20"/>
              </w:rPr>
              <w:t>39.459,04</w:t>
            </w:r>
          </w:p>
        </w:tc>
        <w:tc>
          <w:tcPr>
            <w:tcW w:w="889" w:type="dxa"/>
            <w:tcBorders>
              <w:top w:val="nil"/>
              <w:left w:val="nil"/>
              <w:bottom w:val="single" w:sz="4" w:space="0" w:color="auto"/>
              <w:right w:val="single" w:sz="4" w:space="0" w:color="auto"/>
            </w:tcBorders>
            <w:noWrap/>
            <w:vAlign w:val="bottom"/>
            <w:hideMark/>
          </w:tcPr>
          <w:p w14:paraId="23194C68" w14:textId="77777777" w:rsidR="005917B5" w:rsidRPr="001C42C5" w:rsidRDefault="005917B5">
            <w:pPr>
              <w:jc w:val="right"/>
              <w:rPr>
                <w:rFonts w:ascii="Arial" w:hAnsi="Arial" w:cs="Arial"/>
                <w:sz w:val="20"/>
                <w:szCs w:val="20"/>
              </w:rPr>
            </w:pPr>
            <w:r w:rsidRPr="001C42C5">
              <w:rPr>
                <w:rFonts w:ascii="Arial" w:hAnsi="Arial" w:cs="Arial"/>
                <w:sz w:val="20"/>
                <w:szCs w:val="20"/>
              </w:rPr>
              <w:t>71%</w:t>
            </w:r>
          </w:p>
        </w:tc>
        <w:tc>
          <w:tcPr>
            <w:tcW w:w="889" w:type="dxa"/>
            <w:tcBorders>
              <w:top w:val="nil"/>
              <w:left w:val="nil"/>
              <w:bottom w:val="single" w:sz="4" w:space="0" w:color="auto"/>
              <w:right w:val="single" w:sz="4" w:space="0" w:color="auto"/>
            </w:tcBorders>
            <w:noWrap/>
            <w:vAlign w:val="bottom"/>
            <w:hideMark/>
          </w:tcPr>
          <w:p w14:paraId="1C94EE67" w14:textId="77777777" w:rsidR="005917B5" w:rsidRPr="001C42C5" w:rsidRDefault="005917B5">
            <w:pPr>
              <w:jc w:val="right"/>
              <w:rPr>
                <w:rFonts w:ascii="Calibri" w:hAnsi="Calibri" w:cs="Calibri"/>
                <w:sz w:val="22"/>
                <w:szCs w:val="22"/>
              </w:rPr>
            </w:pPr>
            <w:r w:rsidRPr="001C42C5">
              <w:rPr>
                <w:rFonts w:ascii="Calibri" w:hAnsi="Calibri" w:cs="Calibri"/>
                <w:sz w:val="22"/>
                <w:szCs w:val="22"/>
              </w:rPr>
              <w:t>62%</w:t>
            </w:r>
          </w:p>
        </w:tc>
        <w:tc>
          <w:tcPr>
            <w:tcW w:w="219" w:type="dxa"/>
            <w:vAlign w:val="center"/>
            <w:hideMark/>
          </w:tcPr>
          <w:p w14:paraId="188A96E0" w14:textId="77777777" w:rsidR="005917B5" w:rsidRPr="001C42C5" w:rsidRDefault="005917B5">
            <w:pPr>
              <w:rPr>
                <w:sz w:val="20"/>
                <w:szCs w:val="20"/>
              </w:rPr>
            </w:pPr>
          </w:p>
        </w:tc>
      </w:tr>
      <w:tr w:rsidR="001C42C5" w:rsidRPr="001C42C5" w14:paraId="65DCD8DA" w14:textId="77777777" w:rsidTr="00033347">
        <w:trPr>
          <w:trHeight w:val="245"/>
          <w:jc w:val="center"/>
        </w:trPr>
        <w:tc>
          <w:tcPr>
            <w:tcW w:w="821" w:type="dxa"/>
            <w:tcBorders>
              <w:top w:val="nil"/>
              <w:left w:val="single" w:sz="4" w:space="0" w:color="auto"/>
              <w:bottom w:val="single" w:sz="4" w:space="0" w:color="auto"/>
              <w:right w:val="single" w:sz="4" w:space="0" w:color="auto"/>
            </w:tcBorders>
            <w:noWrap/>
            <w:vAlign w:val="bottom"/>
            <w:hideMark/>
          </w:tcPr>
          <w:p w14:paraId="57F57EA0" w14:textId="77777777" w:rsidR="005917B5" w:rsidRPr="001C42C5" w:rsidRDefault="005917B5">
            <w:pPr>
              <w:jc w:val="center"/>
              <w:rPr>
                <w:rFonts w:ascii="Arial" w:hAnsi="Arial" w:cs="Arial"/>
                <w:sz w:val="20"/>
                <w:szCs w:val="20"/>
              </w:rPr>
            </w:pPr>
            <w:r w:rsidRPr="001C42C5">
              <w:rPr>
                <w:rFonts w:ascii="Arial" w:hAnsi="Arial" w:cs="Arial"/>
                <w:sz w:val="20"/>
                <w:szCs w:val="20"/>
              </w:rPr>
              <w:t> </w:t>
            </w:r>
          </w:p>
        </w:tc>
        <w:tc>
          <w:tcPr>
            <w:tcW w:w="2252" w:type="dxa"/>
            <w:tcBorders>
              <w:top w:val="nil"/>
              <w:left w:val="nil"/>
              <w:bottom w:val="single" w:sz="4" w:space="0" w:color="auto"/>
              <w:right w:val="nil"/>
            </w:tcBorders>
            <w:noWrap/>
            <w:vAlign w:val="bottom"/>
            <w:hideMark/>
          </w:tcPr>
          <w:p w14:paraId="0007AA9A" w14:textId="77777777" w:rsidR="005917B5" w:rsidRPr="001C42C5" w:rsidRDefault="005917B5">
            <w:pPr>
              <w:rPr>
                <w:rFonts w:ascii="Arial" w:hAnsi="Arial" w:cs="Arial"/>
                <w:sz w:val="18"/>
                <w:szCs w:val="18"/>
              </w:rPr>
            </w:pPr>
            <w:r w:rsidRPr="001C42C5">
              <w:rPr>
                <w:rFonts w:ascii="Arial" w:hAnsi="Arial" w:cs="Arial"/>
                <w:sz w:val="18"/>
                <w:szCs w:val="18"/>
              </w:rPr>
              <w:t> </w:t>
            </w:r>
          </w:p>
        </w:tc>
        <w:tc>
          <w:tcPr>
            <w:tcW w:w="1053" w:type="dxa"/>
            <w:tcBorders>
              <w:top w:val="nil"/>
              <w:left w:val="nil"/>
              <w:bottom w:val="single" w:sz="4" w:space="0" w:color="auto"/>
              <w:right w:val="single" w:sz="4" w:space="0" w:color="auto"/>
            </w:tcBorders>
            <w:noWrap/>
            <w:vAlign w:val="bottom"/>
            <w:hideMark/>
          </w:tcPr>
          <w:p w14:paraId="41288DB1" w14:textId="71D2CA7A" w:rsidR="005917B5" w:rsidRPr="001C42C5" w:rsidRDefault="004C49AC">
            <w:pPr>
              <w:jc w:val="right"/>
              <w:rPr>
                <w:rFonts w:ascii="Arial" w:hAnsi="Arial" w:cs="Arial"/>
                <w:sz w:val="18"/>
                <w:szCs w:val="18"/>
              </w:rPr>
            </w:pPr>
            <w:r w:rsidRPr="001C42C5">
              <w:rPr>
                <w:rFonts w:ascii="Arial" w:hAnsi="Arial" w:cs="Arial"/>
                <w:sz w:val="18"/>
                <w:szCs w:val="18"/>
              </w:rPr>
              <w:t>REZULTAT</w:t>
            </w:r>
          </w:p>
        </w:tc>
        <w:tc>
          <w:tcPr>
            <w:tcW w:w="1476" w:type="dxa"/>
            <w:tcBorders>
              <w:top w:val="nil"/>
              <w:left w:val="nil"/>
              <w:bottom w:val="single" w:sz="4" w:space="0" w:color="auto"/>
              <w:right w:val="single" w:sz="4" w:space="0" w:color="auto"/>
            </w:tcBorders>
            <w:vAlign w:val="center"/>
            <w:hideMark/>
          </w:tcPr>
          <w:p w14:paraId="4BD09E89" w14:textId="77777777" w:rsidR="005917B5" w:rsidRPr="001C42C5" w:rsidRDefault="005917B5">
            <w:pPr>
              <w:jc w:val="right"/>
              <w:rPr>
                <w:rFonts w:ascii="Arial" w:hAnsi="Arial" w:cs="Arial"/>
                <w:sz w:val="20"/>
                <w:szCs w:val="20"/>
              </w:rPr>
            </w:pPr>
            <w:r w:rsidRPr="001C42C5">
              <w:rPr>
                <w:rFonts w:ascii="Arial" w:hAnsi="Arial" w:cs="Arial"/>
                <w:sz w:val="20"/>
                <w:szCs w:val="20"/>
              </w:rPr>
              <w:t>0,00</w:t>
            </w:r>
          </w:p>
        </w:tc>
        <w:tc>
          <w:tcPr>
            <w:tcW w:w="1476" w:type="dxa"/>
            <w:tcBorders>
              <w:top w:val="nil"/>
              <w:left w:val="nil"/>
              <w:bottom w:val="single" w:sz="4" w:space="0" w:color="auto"/>
              <w:right w:val="single" w:sz="4" w:space="0" w:color="auto"/>
            </w:tcBorders>
            <w:vAlign w:val="center"/>
            <w:hideMark/>
          </w:tcPr>
          <w:p w14:paraId="1D5ED014" w14:textId="77777777" w:rsidR="005917B5" w:rsidRPr="001C42C5" w:rsidRDefault="005917B5">
            <w:pPr>
              <w:jc w:val="right"/>
              <w:rPr>
                <w:rFonts w:ascii="Arial" w:hAnsi="Arial" w:cs="Arial"/>
                <w:sz w:val="20"/>
                <w:szCs w:val="20"/>
              </w:rPr>
            </w:pPr>
            <w:r w:rsidRPr="001C42C5">
              <w:rPr>
                <w:rFonts w:ascii="Arial" w:hAnsi="Arial" w:cs="Arial"/>
                <w:sz w:val="20"/>
                <w:szCs w:val="20"/>
              </w:rPr>
              <w:t>0,00</w:t>
            </w:r>
          </w:p>
        </w:tc>
        <w:tc>
          <w:tcPr>
            <w:tcW w:w="1476" w:type="dxa"/>
            <w:tcBorders>
              <w:top w:val="nil"/>
              <w:left w:val="nil"/>
              <w:bottom w:val="single" w:sz="4" w:space="0" w:color="auto"/>
              <w:right w:val="single" w:sz="4" w:space="0" w:color="auto"/>
            </w:tcBorders>
            <w:vAlign w:val="center"/>
            <w:hideMark/>
          </w:tcPr>
          <w:p w14:paraId="59614EBB" w14:textId="77777777" w:rsidR="005917B5" w:rsidRPr="001C42C5" w:rsidRDefault="005917B5">
            <w:pPr>
              <w:jc w:val="right"/>
              <w:rPr>
                <w:rFonts w:ascii="Arial" w:hAnsi="Arial" w:cs="Arial"/>
                <w:sz w:val="20"/>
                <w:szCs w:val="20"/>
              </w:rPr>
            </w:pPr>
            <w:r w:rsidRPr="001C42C5">
              <w:rPr>
                <w:rFonts w:ascii="Arial" w:hAnsi="Arial" w:cs="Arial"/>
                <w:sz w:val="20"/>
                <w:szCs w:val="20"/>
              </w:rPr>
              <w:t>17.731,94</w:t>
            </w:r>
          </w:p>
        </w:tc>
        <w:tc>
          <w:tcPr>
            <w:tcW w:w="889" w:type="dxa"/>
            <w:tcBorders>
              <w:top w:val="nil"/>
              <w:left w:val="nil"/>
              <w:bottom w:val="single" w:sz="4" w:space="0" w:color="auto"/>
              <w:right w:val="single" w:sz="4" w:space="0" w:color="auto"/>
            </w:tcBorders>
            <w:vAlign w:val="center"/>
            <w:hideMark/>
          </w:tcPr>
          <w:p w14:paraId="05163002" w14:textId="77777777" w:rsidR="005917B5" w:rsidRPr="001C42C5" w:rsidRDefault="005917B5">
            <w:pPr>
              <w:rPr>
                <w:rFonts w:ascii="Arial" w:hAnsi="Arial" w:cs="Arial"/>
                <w:sz w:val="20"/>
                <w:szCs w:val="20"/>
              </w:rPr>
            </w:pPr>
            <w:r w:rsidRPr="001C42C5">
              <w:rPr>
                <w:rFonts w:ascii="Arial" w:hAnsi="Arial" w:cs="Arial"/>
                <w:sz w:val="20"/>
                <w:szCs w:val="20"/>
              </w:rPr>
              <w:t> </w:t>
            </w:r>
          </w:p>
        </w:tc>
        <w:tc>
          <w:tcPr>
            <w:tcW w:w="889" w:type="dxa"/>
            <w:tcBorders>
              <w:top w:val="nil"/>
              <w:left w:val="nil"/>
              <w:bottom w:val="single" w:sz="4" w:space="0" w:color="auto"/>
              <w:right w:val="single" w:sz="4" w:space="0" w:color="auto"/>
            </w:tcBorders>
            <w:noWrap/>
            <w:vAlign w:val="bottom"/>
            <w:hideMark/>
          </w:tcPr>
          <w:p w14:paraId="3F3C688F" w14:textId="77777777" w:rsidR="005917B5" w:rsidRPr="001C42C5" w:rsidRDefault="005917B5">
            <w:pPr>
              <w:rPr>
                <w:rFonts w:ascii="Calibri" w:hAnsi="Calibri" w:cs="Calibri"/>
                <w:sz w:val="22"/>
                <w:szCs w:val="22"/>
              </w:rPr>
            </w:pPr>
            <w:r w:rsidRPr="001C42C5">
              <w:rPr>
                <w:rFonts w:ascii="Calibri" w:hAnsi="Calibri" w:cs="Calibri"/>
                <w:sz w:val="22"/>
                <w:szCs w:val="22"/>
              </w:rPr>
              <w:t> </w:t>
            </w:r>
          </w:p>
        </w:tc>
        <w:tc>
          <w:tcPr>
            <w:tcW w:w="219" w:type="dxa"/>
            <w:vAlign w:val="center"/>
            <w:hideMark/>
          </w:tcPr>
          <w:p w14:paraId="0B8419C2" w14:textId="77777777" w:rsidR="005917B5" w:rsidRPr="001C42C5" w:rsidRDefault="005917B5">
            <w:pPr>
              <w:rPr>
                <w:sz w:val="20"/>
                <w:szCs w:val="20"/>
              </w:rPr>
            </w:pPr>
          </w:p>
        </w:tc>
      </w:tr>
      <w:tr w:rsidR="001C42C5" w:rsidRPr="001C42C5" w14:paraId="1467C082" w14:textId="77777777" w:rsidTr="00033347">
        <w:trPr>
          <w:trHeight w:val="396"/>
          <w:jc w:val="center"/>
        </w:trPr>
        <w:tc>
          <w:tcPr>
            <w:tcW w:w="821" w:type="dxa"/>
            <w:tcBorders>
              <w:top w:val="nil"/>
              <w:left w:val="single" w:sz="4" w:space="0" w:color="auto"/>
              <w:bottom w:val="single" w:sz="4" w:space="0" w:color="auto"/>
              <w:right w:val="single" w:sz="4" w:space="0" w:color="auto"/>
            </w:tcBorders>
            <w:noWrap/>
            <w:vAlign w:val="bottom"/>
            <w:hideMark/>
          </w:tcPr>
          <w:p w14:paraId="647817EF" w14:textId="77777777" w:rsidR="005917B5" w:rsidRPr="001C42C5" w:rsidRDefault="005917B5">
            <w:pPr>
              <w:jc w:val="center"/>
              <w:rPr>
                <w:rFonts w:ascii="Arial" w:hAnsi="Arial" w:cs="Arial"/>
                <w:b/>
                <w:bCs/>
                <w:sz w:val="20"/>
                <w:szCs w:val="20"/>
              </w:rPr>
            </w:pPr>
            <w:r w:rsidRPr="001C42C5">
              <w:rPr>
                <w:rFonts w:ascii="Arial" w:hAnsi="Arial" w:cs="Arial"/>
                <w:b/>
                <w:bCs/>
                <w:sz w:val="20"/>
                <w:szCs w:val="20"/>
              </w:rPr>
              <w:t>72</w:t>
            </w:r>
          </w:p>
        </w:tc>
        <w:tc>
          <w:tcPr>
            <w:tcW w:w="3305" w:type="dxa"/>
            <w:gridSpan w:val="2"/>
            <w:tcBorders>
              <w:top w:val="single" w:sz="4" w:space="0" w:color="auto"/>
              <w:left w:val="nil"/>
              <w:bottom w:val="single" w:sz="4" w:space="0" w:color="auto"/>
              <w:right w:val="single" w:sz="4" w:space="0" w:color="000000"/>
            </w:tcBorders>
            <w:vAlign w:val="bottom"/>
            <w:hideMark/>
          </w:tcPr>
          <w:p w14:paraId="6E3B0583" w14:textId="4487FD95" w:rsidR="005917B5" w:rsidRPr="001C42C5" w:rsidRDefault="005917B5">
            <w:pPr>
              <w:rPr>
                <w:rFonts w:ascii="Arial" w:hAnsi="Arial" w:cs="Arial"/>
                <w:b/>
                <w:bCs/>
                <w:sz w:val="20"/>
                <w:szCs w:val="20"/>
              </w:rPr>
            </w:pPr>
            <w:r w:rsidRPr="001C42C5">
              <w:rPr>
                <w:rFonts w:ascii="Arial" w:hAnsi="Arial" w:cs="Arial"/>
                <w:b/>
                <w:bCs/>
                <w:sz w:val="20"/>
                <w:szCs w:val="20"/>
              </w:rPr>
              <w:t>Prihodi od prodaje</w:t>
            </w:r>
            <w:r w:rsidRPr="001C42C5">
              <w:rPr>
                <w:rFonts w:ascii="Arial" w:hAnsi="Arial" w:cs="Arial"/>
                <w:b/>
                <w:bCs/>
                <w:sz w:val="18"/>
                <w:szCs w:val="18"/>
              </w:rPr>
              <w:t xml:space="preserve"> </w:t>
            </w:r>
            <w:proofErr w:type="spellStart"/>
            <w:r w:rsidRPr="001C42C5">
              <w:rPr>
                <w:rFonts w:ascii="Arial" w:hAnsi="Arial" w:cs="Arial"/>
                <w:b/>
                <w:bCs/>
                <w:sz w:val="18"/>
                <w:szCs w:val="18"/>
              </w:rPr>
              <w:t>nef</w:t>
            </w:r>
            <w:proofErr w:type="spellEnd"/>
            <w:r w:rsidRPr="001C42C5">
              <w:rPr>
                <w:rFonts w:ascii="Arial" w:hAnsi="Arial" w:cs="Arial"/>
                <w:b/>
                <w:bCs/>
                <w:sz w:val="18"/>
                <w:szCs w:val="18"/>
              </w:rPr>
              <w:t>. imovine i</w:t>
            </w:r>
            <w:r w:rsidR="00DF7473" w:rsidRPr="001C42C5">
              <w:rPr>
                <w:rFonts w:ascii="Arial" w:hAnsi="Arial" w:cs="Arial"/>
                <w:b/>
                <w:bCs/>
                <w:sz w:val="18"/>
                <w:szCs w:val="18"/>
              </w:rPr>
              <w:t xml:space="preserve"> </w:t>
            </w:r>
            <w:r w:rsidRPr="001C42C5">
              <w:rPr>
                <w:rFonts w:ascii="Arial" w:hAnsi="Arial" w:cs="Arial"/>
                <w:b/>
                <w:bCs/>
                <w:sz w:val="18"/>
                <w:szCs w:val="18"/>
              </w:rPr>
              <w:t xml:space="preserve"> naknade šteta</w:t>
            </w:r>
          </w:p>
        </w:tc>
        <w:tc>
          <w:tcPr>
            <w:tcW w:w="1476" w:type="dxa"/>
            <w:tcBorders>
              <w:top w:val="nil"/>
              <w:left w:val="nil"/>
              <w:bottom w:val="single" w:sz="4" w:space="0" w:color="auto"/>
              <w:right w:val="single" w:sz="4" w:space="0" w:color="auto"/>
            </w:tcBorders>
            <w:noWrap/>
            <w:vAlign w:val="bottom"/>
            <w:hideMark/>
          </w:tcPr>
          <w:p w14:paraId="694F5CB0" w14:textId="77777777" w:rsidR="005917B5" w:rsidRPr="001C42C5" w:rsidRDefault="005917B5">
            <w:pPr>
              <w:jc w:val="right"/>
              <w:rPr>
                <w:rFonts w:ascii="Arial" w:hAnsi="Arial" w:cs="Arial"/>
                <w:b/>
                <w:bCs/>
                <w:sz w:val="20"/>
                <w:szCs w:val="20"/>
              </w:rPr>
            </w:pPr>
            <w:r w:rsidRPr="001C42C5">
              <w:rPr>
                <w:rFonts w:ascii="Arial" w:hAnsi="Arial" w:cs="Arial"/>
                <w:b/>
                <w:bCs/>
                <w:sz w:val="20"/>
                <w:szCs w:val="20"/>
              </w:rPr>
              <w:t> </w:t>
            </w:r>
          </w:p>
        </w:tc>
        <w:tc>
          <w:tcPr>
            <w:tcW w:w="1476" w:type="dxa"/>
            <w:tcBorders>
              <w:top w:val="nil"/>
              <w:left w:val="nil"/>
              <w:bottom w:val="single" w:sz="4" w:space="0" w:color="auto"/>
              <w:right w:val="single" w:sz="4" w:space="0" w:color="auto"/>
            </w:tcBorders>
            <w:noWrap/>
            <w:vAlign w:val="bottom"/>
            <w:hideMark/>
          </w:tcPr>
          <w:p w14:paraId="24A3AD92" w14:textId="77777777" w:rsidR="005917B5" w:rsidRPr="001C42C5" w:rsidRDefault="005917B5">
            <w:pPr>
              <w:rPr>
                <w:rFonts w:ascii="Arial" w:hAnsi="Arial" w:cs="Arial"/>
                <w:sz w:val="20"/>
                <w:szCs w:val="20"/>
              </w:rPr>
            </w:pPr>
            <w:r w:rsidRPr="001C42C5">
              <w:rPr>
                <w:rFonts w:ascii="Arial" w:hAnsi="Arial" w:cs="Arial"/>
                <w:sz w:val="20"/>
                <w:szCs w:val="20"/>
              </w:rPr>
              <w:t> </w:t>
            </w:r>
          </w:p>
        </w:tc>
        <w:tc>
          <w:tcPr>
            <w:tcW w:w="1476" w:type="dxa"/>
            <w:tcBorders>
              <w:top w:val="nil"/>
              <w:left w:val="nil"/>
              <w:bottom w:val="single" w:sz="4" w:space="0" w:color="auto"/>
              <w:right w:val="single" w:sz="4" w:space="0" w:color="auto"/>
            </w:tcBorders>
            <w:noWrap/>
            <w:vAlign w:val="bottom"/>
            <w:hideMark/>
          </w:tcPr>
          <w:p w14:paraId="36468784" w14:textId="77777777" w:rsidR="005917B5" w:rsidRPr="001C42C5" w:rsidRDefault="005917B5">
            <w:pPr>
              <w:rPr>
                <w:rFonts w:ascii="Arial" w:hAnsi="Arial" w:cs="Arial"/>
                <w:sz w:val="20"/>
                <w:szCs w:val="20"/>
              </w:rPr>
            </w:pPr>
            <w:r w:rsidRPr="001C42C5">
              <w:rPr>
                <w:rFonts w:ascii="Arial" w:hAnsi="Arial" w:cs="Arial"/>
                <w:sz w:val="20"/>
                <w:szCs w:val="20"/>
              </w:rPr>
              <w:t> </w:t>
            </w:r>
          </w:p>
        </w:tc>
        <w:tc>
          <w:tcPr>
            <w:tcW w:w="889" w:type="dxa"/>
            <w:tcBorders>
              <w:top w:val="nil"/>
              <w:left w:val="nil"/>
              <w:bottom w:val="single" w:sz="4" w:space="0" w:color="auto"/>
              <w:right w:val="single" w:sz="4" w:space="0" w:color="auto"/>
            </w:tcBorders>
            <w:noWrap/>
            <w:vAlign w:val="bottom"/>
            <w:hideMark/>
          </w:tcPr>
          <w:p w14:paraId="4AC9A5C0" w14:textId="77777777" w:rsidR="005917B5" w:rsidRPr="001C42C5" w:rsidRDefault="005917B5">
            <w:pPr>
              <w:rPr>
                <w:rFonts w:ascii="Arial" w:hAnsi="Arial" w:cs="Arial"/>
                <w:sz w:val="20"/>
                <w:szCs w:val="20"/>
              </w:rPr>
            </w:pPr>
            <w:r w:rsidRPr="001C42C5">
              <w:rPr>
                <w:rFonts w:ascii="Arial" w:hAnsi="Arial" w:cs="Arial"/>
                <w:sz w:val="20"/>
                <w:szCs w:val="20"/>
              </w:rPr>
              <w:t> </w:t>
            </w:r>
          </w:p>
        </w:tc>
        <w:tc>
          <w:tcPr>
            <w:tcW w:w="889" w:type="dxa"/>
            <w:tcBorders>
              <w:top w:val="nil"/>
              <w:left w:val="nil"/>
              <w:bottom w:val="single" w:sz="4" w:space="0" w:color="auto"/>
              <w:right w:val="single" w:sz="4" w:space="0" w:color="auto"/>
            </w:tcBorders>
            <w:noWrap/>
            <w:vAlign w:val="bottom"/>
            <w:hideMark/>
          </w:tcPr>
          <w:p w14:paraId="34E88593" w14:textId="77777777" w:rsidR="005917B5" w:rsidRPr="001C42C5" w:rsidRDefault="005917B5">
            <w:pPr>
              <w:rPr>
                <w:rFonts w:ascii="Calibri" w:hAnsi="Calibri" w:cs="Calibri"/>
                <w:sz w:val="22"/>
                <w:szCs w:val="22"/>
              </w:rPr>
            </w:pPr>
            <w:r w:rsidRPr="001C42C5">
              <w:rPr>
                <w:rFonts w:ascii="Calibri" w:hAnsi="Calibri" w:cs="Calibri"/>
                <w:sz w:val="22"/>
                <w:szCs w:val="22"/>
              </w:rPr>
              <w:t> </w:t>
            </w:r>
          </w:p>
        </w:tc>
        <w:tc>
          <w:tcPr>
            <w:tcW w:w="219" w:type="dxa"/>
            <w:vAlign w:val="center"/>
            <w:hideMark/>
          </w:tcPr>
          <w:p w14:paraId="5759358A" w14:textId="77777777" w:rsidR="005917B5" w:rsidRPr="001C42C5" w:rsidRDefault="005917B5">
            <w:pPr>
              <w:rPr>
                <w:sz w:val="20"/>
                <w:szCs w:val="20"/>
              </w:rPr>
            </w:pPr>
          </w:p>
        </w:tc>
      </w:tr>
      <w:tr w:rsidR="001C42C5" w:rsidRPr="001C42C5" w14:paraId="326D342A" w14:textId="77777777" w:rsidTr="00033347">
        <w:trPr>
          <w:trHeight w:val="245"/>
          <w:jc w:val="center"/>
        </w:trPr>
        <w:tc>
          <w:tcPr>
            <w:tcW w:w="821" w:type="dxa"/>
            <w:tcBorders>
              <w:top w:val="nil"/>
              <w:left w:val="single" w:sz="4" w:space="0" w:color="auto"/>
              <w:bottom w:val="single" w:sz="4" w:space="0" w:color="auto"/>
              <w:right w:val="single" w:sz="4" w:space="0" w:color="auto"/>
            </w:tcBorders>
            <w:noWrap/>
            <w:vAlign w:val="bottom"/>
            <w:hideMark/>
          </w:tcPr>
          <w:p w14:paraId="6B50F8BE" w14:textId="77777777" w:rsidR="005917B5" w:rsidRPr="001C42C5" w:rsidRDefault="005917B5">
            <w:pPr>
              <w:jc w:val="center"/>
              <w:rPr>
                <w:rFonts w:ascii="Arial" w:hAnsi="Arial" w:cs="Arial"/>
                <w:sz w:val="20"/>
                <w:szCs w:val="20"/>
              </w:rPr>
            </w:pPr>
            <w:r w:rsidRPr="001C42C5">
              <w:rPr>
                <w:rFonts w:ascii="Arial" w:hAnsi="Arial" w:cs="Arial"/>
                <w:sz w:val="20"/>
                <w:szCs w:val="20"/>
              </w:rPr>
              <w:t> </w:t>
            </w:r>
          </w:p>
        </w:tc>
        <w:tc>
          <w:tcPr>
            <w:tcW w:w="2252" w:type="dxa"/>
            <w:tcBorders>
              <w:top w:val="nil"/>
              <w:left w:val="nil"/>
              <w:bottom w:val="single" w:sz="4" w:space="0" w:color="auto"/>
              <w:right w:val="nil"/>
            </w:tcBorders>
            <w:noWrap/>
            <w:vAlign w:val="bottom"/>
            <w:hideMark/>
          </w:tcPr>
          <w:p w14:paraId="1C636FBC" w14:textId="77777777" w:rsidR="005917B5" w:rsidRPr="001C42C5" w:rsidRDefault="005917B5">
            <w:pPr>
              <w:rPr>
                <w:rFonts w:ascii="Arial" w:hAnsi="Arial" w:cs="Arial"/>
                <w:sz w:val="18"/>
                <w:szCs w:val="18"/>
              </w:rPr>
            </w:pPr>
            <w:r w:rsidRPr="001C42C5">
              <w:rPr>
                <w:rFonts w:ascii="Arial" w:hAnsi="Arial" w:cs="Arial"/>
                <w:sz w:val="18"/>
                <w:szCs w:val="18"/>
              </w:rPr>
              <w:t>PRIHODI</w:t>
            </w:r>
          </w:p>
        </w:tc>
        <w:tc>
          <w:tcPr>
            <w:tcW w:w="1053" w:type="dxa"/>
            <w:tcBorders>
              <w:top w:val="nil"/>
              <w:left w:val="nil"/>
              <w:bottom w:val="single" w:sz="4" w:space="0" w:color="auto"/>
              <w:right w:val="single" w:sz="4" w:space="0" w:color="auto"/>
            </w:tcBorders>
            <w:noWrap/>
            <w:vAlign w:val="bottom"/>
            <w:hideMark/>
          </w:tcPr>
          <w:p w14:paraId="2DC2498D" w14:textId="77777777" w:rsidR="005917B5" w:rsidRPr="001C42C5" w:rsidRDefault="005917B5">
            <w:pPr>
              <w:rPr>
                <w:rFonts w:ascii="Arial" w:hAnsi="Arial" w:cs="Arial"/>
                <w:sz w:val="20"/>
                <w:szCs w:val="20"/>
              </w:rPr>
            </w:pPr>
            <w:r w:rsidRPr="001C42C5">
              <w:rPr>
                <w:rFonts w:ascii="Arial" w:hAnsi="Arial" w:cs="Arial"/>
                <w:sz w:val="20"/>
                <w:szCs w:val="20"/>
              </w:rPr>
              <w:t> </w:t>
            </w:r>
          </w:p>
        </w:tc>
        <w:tc>
          <w:tcPr>
            <w:tcW w:w="1476" w:type="dxa"/>
            <w:tcBorders>
              <w:top w:val="nil"/>
              <w:left w:val="nil"/>
              <w:bottom w:val="single" w:sz="4" w:space="0" w:color="auto"/>
              <w:right w:val="single" w:sz="4" w:space="0" w:color="auto"/>
            </w:tcBorders>
            <w:noWrap/>
            <w:vAlign w:val="bottom"/>
            <w:hideMark/>
          </w:tcPr>
          <w:p w14:paraId="118C804A" w14:textId="77777777" w:rsidR="005917B5" w:rsidRPr="001C42C5" w:rsidRDefault="005917B5">
            <w:pPr>
              <w:jc w:val="right"/>
              <w:rPr>
                <w:rFonts w:ascii="Arial" w:hAnsi="Arial" w:cs="Arial"/>
                <w:sz w:val="20"/>
                <w:szCs w:val="20"/>
              </w:rPr>
            </w:pPr>
            <w:r w:rsidRPr="001C42C5">
              <w:rPr>
                <w:rFonts w:ascii="Arial" w:hAnsi="Arial" w:cs="Arial"/>
                <w:sz w:val="20"/>
                <w:szCs w:val="20"/>
              </w:rPr>
              <w:t>106.209,86</w:t>
            </w:r>
          </w:p>
        </w:tc>
        <w:tc>
          <w:tcPr>
            <w:tcW w:w="1476" w:type="dxa"/>
            <w:tcBorders>
              <w:top w:val="nil"/>
              <w:left w:val="nil"/>
              <w:bottom w:val="single" w:sz="4" w:space="0" w:color="auto"/>
              <w:right w:val="single" w:sz="4" w:space="0" w:color="auto"/>
            </w:tcBorders>
            <w:noWrap/>
            <w:vAlign w:val="bottom"/>
            <w:hideMark/>
          </w:tcPr>
          <w:p w14:paraId="56225718" w14:textId="77777777" w:rsidR="005917B5" w:rsidRPr="001C42C5" w:rsidRDefault="005917B5">
            <w:pPr>
              <w:jc w:val="right"/>
              <w:rPr>
                <w:rFonts w:ascii="Arial" w:hAnsi="Arial" w:cs="Arial"/>
                <w:sz w:val="20"/>
                <w:szCs w:val="20"/>
              </w:rPr>
            </w:pPr>
            <w:r w:rsidRPr="001C42C5">
              <w:rPr>
                <w:rFonts w:ascii="Arial" w:hAnsi="Arial" w:cs="Arial"/>
                <w:sz w:val="20"/>
                <w:szCs w:val="20"/>
              </w:rPr>
              <w:t>77.793,00</w:t>
            </w:r>
          </w:p>
        </w:tc>
        <w:tc>
          <w:tcPr>
            <w:tcW w:w="1476" w:type="dxa"/>
            <w:tcBorders>
              <w:top w:val="nil"/>
              <w:left w:val="nil"/>
              <w:bottom w:val="single" w:sz="4" w:space="0" w:color="auto"/>
              <w:right w:val="single" w:sz="4" w:space="0" w:color="auto"/>
            </w:tcBorders>
            <w:noWrap/>
            <w:vAlign w:val="bottom"/>
            <w:hideMark/>
          </w:tcPr>
          <w:p w14:paraId="7E74271B" w14:textId="77777777" w:rsidR="005917B5" w:rsidRPr="001C42C5" w:rsidRDefault="005917B5">
            <w:pPr>
              <w:jc w:val="right"/>
              <w:rPr>
                <w:rFonts w:ascii="Arial" w:hAnsi="Arial" w:cs="Arial"/>
                <w:sz w:val="20"/>
                <w:szCs w:val="20"/>
              </w:rPr>
            </w:pPr>
            <w:r w:rsidRPr="001C42C5">
              <w:rPr>
                <w:rFonts w:ascii="Arial" w:hAnsi="Arial" w:cs="Arial"/>
                <w:sz w:val="20"/>
                <w:szCs w:val="20"/>
              </w:rPr>
              <w:t>85.960,77</w:t>
            </w:r>
          </w:p>
        </w:tc>
        <w:tc>
          <w:tcPr>
            <w:tcW w:w="889" w:type="dxa"/>
            <w:tcBorders>
              <w:top w:val="nil"/>
              <w:left w:val="nil"/>
              <w:bottom w:val="single" w:sz="4" w:space="0" w:color="auto"/>
              <w:right w:val="single" w:sz="4" w:space="0" w:color="auto"/>
            </w:tcBorders>
            <w:noWrap/>
            <w:vAlign w:val="bottom"/>
            <w:hideMark/>
          </w:tcPr>
          <w:p w14:paraId="490D2C85" w14:textId="77777777" w:rsidR="005917B5" w:rsidRPr="001C42C5" w:rsidRDefault="005917B5">
            <w:pPr>
              <w:jc w:val="right"/>
              <w:rPr>
                <w:rFonts w:ascii="Arial" w:hAnsi="Arial" w:cs="Arial"/>
                <w:sz w:val="20"/>
                <w:szCs w:val="20"/>
              </w:rPr>
            </w:pPr>
            <w:r w:rsidRPr="001C42C5">
              <w:rPr>
                <w:rFonts w:ascii="Arial" w:hAnsi="Arial" w:cs="Arial"/>
                <w:sz w:val="20"/>
                <w:szCs w:val="20"/>
              </w:rPr>
              <w:t>81%</w:t>
            </w:r>
          </w:p>
        </w:tc>
        <w:tc>
          <w:tcPr>
            <w:tcW w:w="889" w:type="dxa"/>
            <w:tcBorders>
              <w:top w:val="nil"/>
              <w:left w:val="nil"/>
              <w:bottom w:val="single" w:sz="4" w:space="0" w:color="auto"/>
              <w:right w:val="single" w:sz="4" w:space="0" w:color="auto"/>
            </w:tcBorders>
            <w:noWrap/>
            <w:vAlign w:val="bottom"/>
            <w:hideMark/>
          </w:tcPr>
          <w:p w14:paraId="1971D1F2" w14:textId="77777777" w:rsidR="005917B5" w:rsidRPr="001C42C5" w:rsidRDefault="005917B5">
            <w:pPr>
              <w:jc w:val="right"/>
              <w:rPr>
                <w:rFonts w:ascii="Calibri" w:hAnsi="Calibri" w:cs="Calibri"/>
                <w:sz w:val="22"/>
                <w:szCs w:val="22"/>
              </w:rPr>
            </w:pPr>
            <w:r w:rsidRPr="001C42C5">
              <w:rPr>
                <w:rFonts w:ascii="Calibri" w:hAnsi="Calibri" w:cs="Calibri"/>
                <w:sz w:val="22"/>
                <w:szCs w:val="22"/>
              </w:rPr>
              <w:t>110%</w:t>
            </w:r>
          </w:p>
        </w:tc>
        <w:tc>
          <w:tcPr>
            <w:tcW w:w="219" w:type="dxa"/>
            <w:vAlign w:val="center"/>
            <w:hideMark/>
          </w:tcPr>
          <w:p w14:paraId="3E8FEC68" w14:textId="77777777" w:rsidR="005917B5" w:rsidRPr="001C42C5" w:rsidRDefault="005917B5">
            <w:pPr>
              <w:rPr>
                <w:sz w:val="20"/>
                <w:szCs w:val="20"/>
              </w:rPr>
            </w:pPr>
          </w:p>
        </w:tc>
      </w:tr>
      <w:tr w:rsidR="001C42C5" w:rsidRPr="001C42C5" w14:paraId="66C46B8C" w14:textId="77777777" w:rsidTr="00033347">
        <w:trPr>
          <w:trHeight w:val="245"/>
          <w:jc w:val="center"/>
        </w:trPr>
        <w:tc>
          <w:tcPr>
            <w:tcW w:w="821" w:type="dxa"/>
            <w:tcBorders>
              <w:top w:val="nil"/>
              <w:left w:val="single" w:sz="4" w:space="0" w:color="auto"/>
              <w:bottom w:val="single" w:sz="4" w:space="0" w:color="auto"/>
              <w:right w:val="single" w:sz="4" w:space="0" w:color="auto"/>
            </w:tcBorders>
            <w:noWrap/>
            <w:vAlign w:val="bottom"/>
            <w:hideMark/>
          </w:tcPr>
          <w:p w14:paraId="2276F5B1" w14:textId="77777777" w:rsidR="005917B5" w:rsidRPr="001C42C5" w:rsidRDefault="005917B5">
            <w:pPr>
              <w:jc w:val="center"/>
              <w:rPr>
                <w:rFonts w:ascii="Arial" w:hAnsi="Arial" w:cs="Arial"/>
                <w:sz w:val="20"/>
                <w:szCs w:val="20"/>
              </w:rPr>
            </w:pPr>
            <w:r w:rsidRPr="001C42C5">
              <w:rPr>
                <w:rFonts w:ascii="Arial" w:hAnsi="Arial" w:cs="Arial"/>
                <w:sz w:val="20"/>
                <w:szCs w:val="20"/>
              </w:rPr>
              <w:t> </w:t>
            </w:r>
          </w:p>
        </w:tc>
        <w:tc>
          <w:tcPr>
            <w:tcW w:w="2252" w:type="dxa"/>
            <w:tcBorders>
              <w:top w:val="nil"/>
              <w:left w:val="nil"/>
              <w:bottom w:val="single" w:sz="4" w:space="0" w:color="auto"/>
              <w:right w:val="nil"/>
            </w:tcBorders>
            <w:noWrap/>
            <w:vAlign w:val="bottom"/>
            <w:hideMark/>
          </w:tcPr>
          <w:p w14:paraId="48BC5740" w14:textId="77777777" w:rsidR="005917B5" w:rsidRPr="001C42C5" w:rsidRDefault="005917B5">
            <w:pPr>
              <w:rPr>
                <w:rFonts w:ascii="Arial" w:hAnsi="Arial" w:cs="Arial"/>
                <w:sz w:val="18"/>
                <w:szCs w:val="18"/>
              </w:rPr>
            </w:pPr>
            <w:r w:rsidRPr="001C42C5">
              <w:rPr>
                <w:rFonts w:ascii="Arial" w:hAnsi="Arial" w:cs="Arial"/>
                <w:sz w:val="18"/>
                <w:szCs w:val="18"/>
              </w:rPr>
              <w:t>RASHODI</w:t>
            </w:r>
          </w:p>
        </w:tc>
        <w:tc>
          <w:tcPr>
            <w:tcW w:w="1053" w:type="dxa"/>
            <w:tcBorders>
              <w:top w:val="nil"/>
              <w:left w:val="nil"/>
              <w:bottom w:val="single" w:sz="4" w:space="0" w:color="auto"/>
              <w:right w:val="single" w:sz="4" w:space="0" w:color="auto"/>
            </w:tcBorders>
            <w:noWrap/>
            <w:vAlign w:val="bottom"/>
            <w:hideMark/>
          </w:tcPr>
          <w:p w14:paraId="7C6C04D1" w14:textId="77777777" w:rsidR="005917B5" w:rsidRPr="001C42C5" w:rsidRDefault="005917B5">
            <w:pPr>
              <w:rPr>
                <w:rFonts w:ascii="Arial" w:hAnsi="Arial" w:cs="Arial"/>
                <w:sz w:val="20"/>
                <w:szCs w:val="20"/>
              </w:rPr>
            </w:pPr>
            <w:r w:rsidRPr="001C42C5">
              <w:rPr>
                <w:rFonts w:ascii="Arial" w:hAnsi="Arial" w:cs="Arial"/>
                <w:sz w:val="20"/>
                <w:szCs w:val="20"/>
              </w:rPr>
              <w:t> </w:t>
            </w:r>
          </w:p>
        </w:tc>
        <w:tc>
          <w:tcPr>
            <w:tcW w:w="1476" w:type="dxa"/>
            <w:tcBorders>
              <w:top w:val="nil"/>
              <w:left w:val="nil"/>
              <w:bottom w:val="single" w:sz="4" w:space="0" w:color="auto"/>
              <w:right w:val="single" w:sz="4" w:space="0" w:color="auto"/>
            </w:tcBorders>
            <w:noWrap/>
            <w:vAlign w:val="bottom"/>
            <w:hideMark/>
          </w:tcPr>
          <w:p w14:paraId="5701CC92" w14:textId="77777777" w:rsidR="005917B5" w:rsidRPr="001C42C5" w:rsidRDefault="005917B5">
            <w:pPr>
              <w:jc w:val="right"/>
              <w:rPr>
                <w:rFonts w:ascii="Arial" w:hAnsi="Arial" w:cs="Arial"/>
                <w:sz w:val="20"/>
                <w:szCs w:val="20"/>
              </w:rPr>
            </w:pPr>
            <w:r w:rsidRPr="001C42C5">
              <w:rPr>
                <w:rFonts w:ascii="Arial" w:hAnsi="Arial" w:cs="Arial"/>
                <w:sz w:val="20"/>
                <w:szCs w:val="20"/>
              </w:rPr>
              <w:t>106.209,86</w:t>
            </w:r>
          </w:p>
        </w:tc>
        <w:tc>
          <w:tcPr>
            <w:tcW w:w="1476" w:type="dxa"/>
            <w:tcBorders>
              <w:top w:val="nil"/>
              <w:left w:val="nil"/>
              <w:bottom w:val="single" w:sz="4" w:space="0" w:color="auto"/>
              <w:right w:val="single" w:sz="4" w:space="0" w:color="auto"/>
            </w:tcBorders>
            <w:noWrap/>
            <w:vAlign w:val="bottom"/>
            <w:hideMark/>
          </w:tcPr>
          <w:p w14:paraId="7B11E69C" w14:textId="77777777" w:rsidR="005917B5" w:rsidRPr="001C42C5" w:rsidRDefault="005917B5">
            <w:pPr>
              <w:jc w:val="right"/>
              <w:rPr>
                <w:rFonts w:ascii="Arial" w:hAnsi="Arial" w:cs="Arial"/>
                <w:sz w:val="20"/>
                <w:szCs w:val="20"/>
              </w:rPr>
            </w:pPr>
            <w:r w:rsidRPr="001C42C5">
              <w:rPr>
                <w:rFonts w:ascii="Arial" w:hAnsi="Arial" w:cs="Arial"/>
                <w:sz w:val="20"/>
                <w:szCs w:val="20"/>
              </w:rPr>
              <w:t>77.793,00</w:t>
            </w:r>
          </w:p>
        </w:tc>
        <w:tc>
          <w:tcPr>
            <w:tcW w:w="1476" w:type="dxa"/>
            <w:tcBorders>
              <w:top w:val="nil"/>
              <w:left w:val="nil"/>
              <w:bottom w:val="single" w:sz="4" w:space="0" w:color="auto"/>
              <w:right w:val="single" w:sz="4" w:space="0" w:color="auto"/>
            </w:tcBorders>
            <w:noWrap/>
            <w:vAlign w:val="bottom"/>
            <w:hideMark/>
          </w:tcPr>
          <w:p w14:paraId="78C8EC40" w14:textId="77777777" w:rsidR="005917B5" w:rsidRPr="001C42C5" w:rsidRDefault="005917B5">
            <w:pPr>
              <w:jc w:val="right"/>
              <w:rPr>
                <w:rFonts w:ascii="Arial" w:hAnsi="Arial" w:cs="Arial"/>
                <w:sz w:val="20"/>
                <w:szCs w:val="20"/>
              </w:rPr>
            </w:pPr>
            <w:r w:rsidRPr="001C42C5">
              <w:rPr>
                <w:rFonts w:ascii="Arial" w:hAnsi="Arial" w:cs="Arial"/>
                <w:sz w:val="20"/>
                <w:szCs w:val="20"/>
              </w:rPr>
              <w:t>85.960,77</w:t>
            </w:r>
          </w:p>
        </w:tc>
        <w:tc>
          <w:tcPr>
            <w:tcW w:w="889" w:type="dxa"/>
            <w:tcBorders>
              <w:top w:val="nil"/>
              <w:left w:val="nil"/>
              <w:bottom w:val="single" w:sz="4" w:space="0" w:color="auto"/>
              <w:right w:val="single" w:sz="4" w:space="0" w:color="auto"/>
            </w:tcBorders>
            <w:noWrap/>
            <w:vAlign w:val="bottom"/>
            <w:hideMark/>
          </w:tcPr>
          <w:p w14:paraId="4F1C3D93" w14:textId="77777777" w:rsidR="005917B5" w:rsidRPr="001C42C5" w:rsidRDefault="005917B5">
            <w:pPr>
              <w:jc w:val="right"/>
              <w:rPr>
                <w:rFonts w:ascii="Arial" w:hAnsi="Arial" w:cs="Arial"/>
                <w:sz w:val="20"/>
                <w:szCs w:val="20"/>
              </w:rPr>
            </w:pPr>
            <w:r w:rsidRPr="001C42C5">
              <w:rPr>
                <w:rFonts w:ascii="Arial" w:hAnsi="Arial" w:cs="Arial"/>
                <w:sz w:val="20"/>
                <w:szCs w:val="20"/>
              </w:rPr>
              <w:t>81%</w:t>
            </w:r>
          </w:p>
        </w:tc>
        <w:tc>
          <w:tcPr>
            <w:tcW w:w="889" w:type="dxa"/>
            <w:tcBorders>
              <w:top w:val="nil"/>
              <w:left w:val="nil"/>
              <w:bottom w:val="single" w:sz="4" w:space="0" w:color="auto"/>
              <w:right w:val="single" w:sz="4" w:space="0" w:color="auto"/>
            </w:tcBorders>
            <w:noWrap/>
            <w:vAlign w:val="bottom"/>
            <w:hideMark/>
          </w:tcPr>
          <w:p w14:paraId="097300A7" w14:textId="77777777" w:rsidR="005917B5" w:rsidRPr="001C42C5" w:rsidRDefault="005917B5">
            <w:pPr>
              <w:jc w:val="right"/>
              <w:rPr>
                <w:rFonts w:ascii="Calibri" w:hAnsi="Calibri" w:cs="Calibri"/>
                <w:sz w:val="22"/>
                <w:szCs w:val="22"/>
              </w:rPr>
            </w:pPr>
            <w:r w:rsidRPr="001C42C5">
              <w:rPr>
                <w:rFonts w:ascii="Calibri" w:hAnsi="Calibri" w:cs="Calibri"/>
                <w:sz w:val="22"/>
                <w:szCs w:val="22"/>
              </w:rPr>
              <w:t>110%</w:t>
            </w:r>
          </w:p>
        </w:tc>
        <w:tc>
          <w:tcPr>
            <w:tcW w:w="219" w:type="dxa"/>
            <w:vAlign w:val="center"/>
            <w:hideMark/>
          </w:tcPr>
          <w:p w14:paraId="1BECCEC0" w14:textId="77777777" w:rsidR="005917B5" w:rsidRPr="001C42C5" w:rsidRDefault="005917B5">
            <w:pPr>
              <w:rPr>
                <w:sz w:val="20"/>
                <w:szCs w:val="20"/>
              </w:rPr>
            </w:pPr>
          </w:p>
        </w:tc>
      </w:tr>
      <w:tr w:rsidR="001C42C5" w:rsidRPr="001C42C5" w14:paraId="3C9D43F3" w14:textId="77777777" w:rsidTr="00033347">
        <w:trPr>
          <w:trHeight w:val="245"/>
          <w:jc w:val="center"/>
        </w:trPr>
        <w:tc>
          <w:tcPr>
            <w:tcW w:w="821" w:type="dxa"/>
            <w:tcBorders>
              <w:top w:val="nil"/>
              <w:left w:val="single" w:sz="4" w:space="0" w:color="auto"/>
              <w:bottom w:val="single" w:sz="4" w:space="0" w:color="auto"/>
              <w:right w:val="single" w:sz="4" w:space="0" w:color="auto"/>
            </w:tcBorders>
            <w:noWrap/>
            <w:vAlign w:val="bottom"/>
            <w:hideMark/>
          </w:tcPr>
          <w:p w14:paraId="185EC4DC" w14:textId="77777777" w:rsidR="005917B5" w:rsidRPr="001C42C5" w:rsidRDefault="005917B5">
            <w:pPr>
              <w:jc w:val="center"/>
              <w:rPr>
                <w:rFonts w:ascii="Arial" w:hAnsi="Arial" w:cs="Arial"/>
                <w:sz w:val="20"/>
                <w:szCs w:val="20"/>
              </w:rPr>
            </w:pPr>
            <w:r w:rsidRPr="001C42C5">
              <w:rPr>
                <w:rFonts w:ascii="Arial" w:hAnsi="Arial" w:cs="Arial"/>
                <w:sz w:val="20"/>
                <w:szCs w:val="20"/>
              </w:rPr>
              <w:t> </w:t>
            </w:r>
          </w:p>
        </w:tc>
        <w:tc>
          <w:tcPr>
            <w:tcW w:w="2252" w:type="dxa"/>
            <w:tcBorders>
              <w:top w:val="nil"/>
              <w:left w:val="nil"/>
              <w:bottom w:val="single" w:sz="4" w:space="0" w:color="auto"/>
              <w:right w:val="nil"/>
            </w:tcBorders>
            <w:noWrap/>
            <w:vAlign w:val="bottom"/>
            <w:hideMark/>
          </w:tcPr>
          <w:p w14:paraId="06B2EE16" w14:textId="77777777" w:rsidR="005917B5" w:rsidRPr="001C42C5" w:rsidRDefault="005917B5">
            <w:pPr>
              <w:rPr>
                <w:rFonts w:ascii="Arial" w:hAnsi="Arial" w:cs="Arial"/>
                <w:sz w:val="18"/>
                <w:szCs w:val="18"/>
              </w:rPr>
            </w:pPr>
            <w:r w:rsidRPr="001C42C5">
              <w:rPr>
                <w:rFonts w:ascii="Arial" w:hAnsi="Arial" w:cs="Arial"/>
                <w:sz w:val="18"/>
                <w:szCs w:val="18"/>
              </w:rPr>
              <w:t> </w:t>
            </w:r>
          </w:p>
        </w:tc>
        <w:tc>
          <w:tcPr>
            <w:tcW w:w="1053" w:type="dxa"/>
            <w:tcBorders>
              <w:top w:val="nil"/>
              <w:left w:val="nil"/>
              <w:bottom w:val="single" w:sz="4" w:space="0" w:color="auto"/>
              <w:right w:val="single" w:sz="4" w:space="0" w:color="auto"/>
            </w:tcBorders>
            <w:noWrap/>
            <w:vAlign w:val="bottom"/>
            <w:hideMark/>
          </w:tcPr>
          <w:p w14:paraId="19648462" w14:textId="4D778C5C" w:rsidR="005917B5" w:rsidRPr="001C42C5" w:rsidRDefault="004C49AC">
            <w:pPr>
              <w:jc w:val="right"/>
              <w:rPr>
                <w:rFonts w:ascii="Arial" w:hAnsi="Arial" w:cs="Arial"/>
                <w:sz w:val="18"/>
                <w:szCs w:val="18"/>
              </w:rPr>
            </w:pPr>
            <w:r w:rsidRPr="001C42C5">
              <w:rPr>
                <w:rFonts w:ascii="Arial" w:hAnsi="Arial" w:cs="Arial"/>
                <w:sz w:val="18"/>
                <w:szCs w:val="18"/>
              </w:rPr>
              <w:t>REZULTAT</w:t>
            </w:r>
          </w:p>
        </w:tc>
        <w:tc>
          <w:tcPr>
            <w:tcW w:w="1476" w:type="dxa"/>
            <w:tcBorders>
              <w:top w:val="nil"/>
              <w:left w:val="nil"/>
              <w:bottom w:val="single" w:sz="4" w:space="0" w:color="auto"/>
              <w:right w:val="single" w:sz="4" w:space="0" w:color="auto"/>
            </w:tcBorders>
            <w:vAlign w:val="center"/>
            <w:hideMark/>
          </w:tcPr>
          <w:p w14:paraId="40375488" w14:textId="77777777" w:rsidR="005917B5" w:rsidRPr="001C42C5" w:rsidRDefault="005917B5">
            <w:pPr>
              <w:jc w:val="right"/>
              <w:rPr>
                <w:rFonts w:ascii="Arial" w:hAnsi="Arial" w:cs="Arial"/>
                <w:sz w:val="20"/>
                <w:szCs w:val="20"/>
              </w:rPr>
            </w:pPr>
            <w:r w:rsidRPr="001C42C5">
              <w:rPr>
                <w:rFonts w:ascii="Arial" w:hAnsi="Arial" w:cs="Arial"/>
                <w:sz w:val="20"/>
                <w:szCs w:val="20"/>
              </w:rPr>
              <w:t>0,00</w:t>
            </w:r>
          </w:p>
        </w:tc>
        <w:tc>
          <w:tcPr>
            <w:tcW w:w="1476" w:type="dxa"/>
            <w:tcBorders>
              <w:top w:val="nil"/>
              <w:left w:val="nil"/>
              <w:bottom w:val="single" w:sz="4" w:space="0" w:color="auto"/>
              <w:right w:val="single" w:sz="4" w:space="0" w:color="auto"/>
            </w:tcBorders>
            <w:vAlign w:val="center"/>
            <w:hideMark/>
          </w:tcPr>
          <w:p w14:paraId="25B2B056" w14:textId="77777777" w:rsidR="005917B5" w:rsidRPr="001C42C5" w:rsidRDefault="005917B5">
            <w:pPr>
              <w:jc w:val="right"/>
              <w:rPr>
                <w:rFonts w:ascii="Arial" w:hAnsi="Arial" w:cs="Arial"/>
                <w:sz w:val="20"/>
                <w:szCs w:val="20"/>
              </w:rPr>
            </w:pPr>
            <w:r w:rsidRPr="001C42C5">
              <w:rPr>
                <w:rFonts w:ascii="Arial" w:hAnsi="Arial" w:cs="Arial"/>
                <w:sz w:val="20"/>
                <w:szCs w:val="20"/>
              </w:rPr>
              <w:t>0,00</w:t>
            </w:r>
          </w:p>
        </w:tc>
        <w:tc>
          <w:tcPr>
            <w:tcW w:w="1476" w:type="dxa"/>
            <w:tcBorders>
              <w:top w:val="nil"/>
              <w:left w:val="nil"/>
              <w:bottom w:val="single" w:sz="4" w:space="0" w:color="auto"/>
              <w:right w:val="single" w:sz="4" w:space="0" w:color="auto"/>
            </w:tcBorders>
            <w:vAlign w:val="center"/>
            <w:hideMark/>
          </w:tcPr>
          <w:p w14:paraId="53239F4B" w14:textId="77777777" w:rsidR="005917B5" w:rsidRPr="001C42C5" w:rsidRDefault="005917B5">
            <w:pPr>
              <w:jc w:val="right"/>
              <w:rPr>
                <w:rFonts w:ascii="Arial" w:hAnsi="Arial" w:cs="Arial"/>
                <w:sz w:val="20"/>
                <w:szCs w:val="20"/>
              </w:rPr>
            </w:pPr>
            <w:r w:rsidRPr="001C42C5">
              <w:rPr>
                <w:rFonts w:ascii="Arial" w:hAnsi="Arial" w:cs="Arial"/>
                <w:sz w:val="20"/>
                <w:szCs w:val="20"/>
              </w:rPr>
              <w:t>0,00</w:t>
            </w:r>
          </w:p>
        </w:tc>
        <w:tc>
          <w:tcPr>
            <w:tcW w:w="889" w:type="dxa"/>
            <w:tcBorders>
              <w:top w:val="nil"/>
              <w:left w:val="nil"/>
              <w:bottom w:val="single" w:sz="4" w:space="0" w:color="auto"/>
              <w:right w:val="single" w:sz="4" w:space="0" w:color="auto"/>
            </w:tcBorders>
            <w:vAlign w:val="center"/>
            <w:hideMark/>
          </w:tcPr>
          <w:p w14:paraId="18A2E819" w14:textId="77777777" w:rsidR="005917B5" w:rsidRPr="001C42C5" w:rsidRDefault="005917B5">
            <w:pPr>
              <w:rPr>
                <w:rFonts w:ascii="Arial" w:hAnsi="Arial" w:cs="Arial"/>
                <w:sz w:val="20"/>
                <w:szCs w:val="20"/>
              </w:rPr>
            </w:pPr>
            <w:r w:rsidRPr="001C42C5">
              <w:rPr>
                <w:rFonts w:ascii="Arial" w:hAnsi="Arial" w:cs="Arial"/>
                <w:sz w:val="20"/>
                <w:szCs w:val="20"/>
              </w:rPr>
              <w:t> </w:t>
            </w:r>
          </w:p>
        </w:tc>
        <w:tc>
          <w:tcPr>
            <w:tcW w:w="889" w:type="dxa"/>
            <w:tcBorders>
              <w:top w:val="nil"/>
              <w:left w:val="nil"/>
              <w:bottom w:val="single" w:sz="4" w:space="0" w:color="auto"/>
              <w:right w:val="single" w:sz="4" w:space="0" w:color="auto"/>
            </w:tcBorders>
            <w:noWrap/>
            <w:vAlign w:val="bottom"/>
            <w:hideMark/>
          </w:tcPr>
          <w:p w14:paraId="3CAED77B" w14:textId="77777777" w:rsidR="005917B5" w:rsidRPr="001C42C5" w:rsidRDefault="005917B5">
            <w:pPr>
              <w:rPr>
                <w:rFonts w:ascii="Calibri" w:hAnsi="Calibri" w:cs="Calibri"/>
                <w:sz w:val="22"/>
                <w:szCs w:val="22"/>
              </w:rPr>
            </w:pPr>
            <w:r w:rsidRPr="001C42C5">
              <w:rPr>
                <w:rFonts w:ascii="Calibri" w:hAnsi="Calibri" w:cs="Calibri"/>
                <w:sz w:val="22"/>
                <w:szCs w:val="22"/>
              </w:rPr>
              <w:t> </w:t>
            </w:r>
          </w:p>
        </w:tc>
        <w:tc>
          <w:tcPr>
            <w:tcW w:w="219" w:type="dxa"/>
            <w:vAlign w:val="center"/>
            <w:hideMark/>
          </w:tcPr>
          <w:p w14:paraId="1A8D5FB4" w14:textId="77777777" w:rsidR="005917B5" w:rsidRPr="001C42C5" w:rsidRDefault="005917B5">
            <w:pPr>
              <w:rPr>
                <w:sz w:val="20"/>
                <w:szCs w:val="20"/>
              </w:rPr>
            </w:pPr>
          </w:p>
        </w:tc>
      </w:tr>
      <w:tr w:rsidR="001C42C5" w:rsidRPr="001C42C5" w14:paraId="4E46B162" w14:textId="77777777" w:rsidTr="00033347">
        <w:trPr>
          <w:trHeight w:val="295"/>
          <w:jc w:val="center"/>
        </w:trPr>
        <w:tc>
          <w:tcPr>
            <w:tcW w:w="821" w:type="dxa"/>
            <w:tcBorders>
              <w:top w:val="nil"/>
              <w:left w:val="single" w:sz="4" w:space="0" w:color="auto"/>
              <w:bottom w:val="single" w:sz="4" w:space="0" w:color="auto"/>
              <w:right w:val="single" w:sz="4" w:space="0" w:color="auto"/>
            </w:tcBorders>
            <w:shd w:val="clear" w:color="000000" w:fill="D9D9D9"/>
            <w:noWrap/>
            <w:vAlign w:val="bottom"/>
            <w:hideMark/>
          </w:tcPr>
          <w:p w14:paraId="5B44217C" w14:textId="77777777" w:rsidR="005917B5" w:rsidRPr="001C42C5" w:rsidRDefault="005917B5">
            <w:pPr>
              <w:jc w:val="center"/>
              <w:rPr>
                <w:rFonts w:ascii="Arial" w:hAnsi="Arial" w:cs="Arial"/>
                <w:b/>
                <w:bCs/>
                <w:sz w:val="20"/>
                <w:szCs w:val="20"/>
              </w:rPr>
            </w:pPr>
            <w:r w:rsidRPr="001C42C5">
              <w:rPr>
                <w:rFonts w:ascii="Arial" w:hAnsi="Arial" w:cs="Arial"/>
                <w:b/>
                <w:bCs/>
                <w:sz w:val="20"/>
                <w:szCs w:val="20"/>
              </w:rPr>
              <w:t> </w:t>
            </w:r>
          </w:p>
        </w:tc>
        <w:tc>
          <w:tcPr>
            <w:tcW w:w="3305" w:type="dxa"/>
            <w:gridSpan w:val="2"/>
            <w:tcBorders>
              <w:top w:val="single" w:sz="4" w:space="0" w:color="auto"/>
              <w:left w:val="nil"/>
              <w:bottom w:val="single" w:sz="4" w:space="0" w:color="auto"/>
              <w:right w:val="single" w:sz="4" w:space="0" w:color="000000"/>
            </w:tcBorders>
            <w:shd w:val="clear" w:color="000000" w:fill="D9D9D9"/>
            <w:noWrap/>
            <w:vAlign w:val="bottom"/>
            <w:hideMark/>
          </w:tcPr>
          <w:p w14:paraId="5FC57613" w14:textId="77777777" w:rsidR="005917B5" w:rsidRPr="001C42C5" w:rsidRDefault="005917B5">
            <w:pPr>
              <w:jc w:val="center"/>
              <w:rPr>
                <w:rFonts w:ascii="Arial" w:hAnsi="Arial" w:cs="Arial"/>
                <w:b/>
                <w:bCs/>
                <w:sz w:val="20"/>
                <w:szCs w:val="20"/>
              </w:rPr>
            </w:pPr>
            <w:r w:rsidRPr="001C42C5">
              <w:rPr>
                <w:rFonts w:ascii="Arial" w:hAnsi="Arial" w:cs="Arial"/>
                <w:b/>
                <w:bCs/>
                <w:sz w:val="20"/>
                <w:szCs w:val="20"/>
              </w:rPr>
              <w:t>UKUPNO PRIHODI</w:t>
            </w:r>
          </w:p>
        </w:tc>
        <w:tc>
          <w:tcPr>
            <w:tcW w:w="1476" w:type="dxa"/>
            <w:tcBorders>
              <w:top w:val="nil"/>
              <w:left w:val="nil"/>
              <w:bottom w:val="single" w:sz="4" w:space="0" w:color="auto"/>
              <w:right w:val="single" w:sz="4" w:space="0" w:color="auto"/>
            </w:tcBorders>
            <w:shd w:val="clear" w:color="000000" w:fill="D9D9D9"/>
            <w:noWrap/>
            <w:vAlign w:val="bottom"/>
            <w:hideMark/>
          </w:tcPr>
          <w:p w14:paraId="354FA38D" w14:textId="77777777" w:rsidR="005917B5" w:rsidRPr="001C42C5" w:rsidRDefault="005917B5">
            <w:pPr>
              <w:jc w:val="right"/>
              <w:rPr>
                <w:rFonts w:ascii="Arial" w:hAnsi="Arial" w:cs="Arial"/>
                <w:b/>
                <w:bCs/>
                <w:sz w:val="20"/>
                <w:szCs w:val="20"/>
              </w:rPr>
            </w:pPr>
            <w:r w:rsidRPr="001C42C5">
              <w:rPr>
                <w:rFonts w:ascii="Arial" w:hAnsi="Arial" w:cs="Arial"/>
                <w:b/>
                <w:bCs/>
                <w:sz w:val="20"/>
                <w:szCs w:val="20"/>
              </w:rPr>
              <w:t>31.291.915,26</w:t>
            </w:r>
          </w:p>
        </w:tc>
        <w:tc>
          <w:tcPr>
            <w:tcW w:w="1476" w:type="dxa"/>
            <w:tcBorders>
              <w:top w:val="nil"/>
              <w:left w:val="nil"/>
              <w:bottom w:val="single" w:sz="4" w:space="0" w:color="auto"/>
              <w:right w:val="single" w:sz="4" w:space="0" w:color="auto"/>
            </w:tcBorders>
            <w:shd w:val="clear" w:color="000000" w:fill="D9D9D9"/>
            <w:noWrap/>
            <w:vAlign w:val="bottom"/>
            <w:hideMark/>
          </w:tcPr>
          <w:p w14:paraId="4B421A3C" w14:textId="77777777" w:rsidR="005917B5" w:rsidRPr="001C42C5" w:rsidRDefault="005917B5">
            <w:pPr>
              <w:jc w:val="right"/>
              <w:rPr>
                <w:rFonts w:ascii="Arial" w:hAnsi="Arial" w:cs="Arial"/>
                <w:b/>
                <w:bCs/>
                <w:sz w:val="20"/>
                <w:szCs w:val="20"/>
              </w:rPr>
            </w:pPr>
            <w:r w:rsidRPr="001C42C5">
              <w:rPr>
                <w:rFonts w:ascii="Arial" w:hAnsi="Arial" w:cs="Arial"/>
                <w:b/>
                <w:bCs/>
                <w:sz w:val="20"/>
                <w:szCs w:val="20"/>
              </w:rPr>
              <w:t>35.169.000,00</w:t>
            </w:r>
          </w:p>
        </w:tc>
        <w:tc>
          <w:tcPr>
            <w:tcW w:w="1476" w:type="dxa"/>
            <w:tcBorders>
              <w:top w:val="nil"/>
              <w:left w:val="nil"/>
              <w:bottom w:val="single" w:sz="4" w:space="0" w:color="auto"/>
              <w:right w:val="single" w:sz="4" w:space="0" w:color="auto"/>
            </w:tcBorders>
            <w:shd w:val="clear" w:color="000000" w:fill="D9D9D9"/>
            <w:noWrap/>
            <w:vAlign w:val="bottom"/>
            <w:hideMark/>
          </w:tcPr>
          <w:p w14:paraId="41F54A9C" w14:textId="77777777" w:rsidR="005917B5" w:rsidRPr="001C42C5" w:rsidRDefault="005917B5">
            <w:pPr>
              <w:jc w:val="right"/>
              <w:rPr>
                <w:rFonts w:ascii="Arial" w:hAnsi="Arial" w:cs="Arial"/>
                <w:b/>
                <w:bCs/>
                <w:sz w:val="20"/>
                <w:szCs w:val="20"/>
              </w:rPr>
            </w:pPr>
            <w:r w:rsidRPr="001C42C5">
              <w:rPr>
                <w:rFonts w:ascii="Arial" w:hAnsi="Arial" w:cs="Arial"/>
                <w:b/>
                <w:bCs/>
                <w:sz w:val="20"/>
                <w:szCs w:val="20"/>
              </w:rPr>
              <w:t>34.877.488,57</w:t>
            </w:r>
          </w:p>
        </w:tc>
        <w:tc>
          <w:tcPr>
            <w:tcW w:w="889" w:type="dxa"/>
            <w:tcBorders>
              <w:top w:val="nil"/>
              <w:left w:val="nil"/>
              <w:bottom w:val="single" w:sz="4" w:space="0" w:color="auto"/>
              <w:right w:val="single" w:sz="4" w:space="0" w:color="auto"/>
            </w:tcBorders>
            <w:shd w:val="clear" w:color="000000" w:fill="D9D9D9"/>
            <w:noWrap/>
            <w:vAlign w:val="bottom"/>
            <w:hideMark/>
          </w:tcPr>
          <w:p w14:paraId="7A3C2234" w14:textId="77777777" w:rsidR="005917B5" w:rsidRPr="001C42C5" w:rsidRDefault="005917B5">
            <w:pPr>
              <w:jc w:val="right"/>
              <w:rPr>
                <w:rFonts w:ascii="Arial" w:hAnsi="Arial" w:cs="Arial"/>
                <w:b/>
                <w:bCs/>
                <w:sz w:val="20"/>
                <w:szCs w:val="20"/>
              </w:rPr>
            </w:pPr>
            <w:r w:rsidRPr="001C42C5">
              <w:rPr>
                <w:rFonts w:ascii="Arial" w:hAnsi="Arial" w:cs="Arial"/>
                <w:b/>
                <w:bCs/>
                <w:sz w:val="20"/>
                <w:szCs w:val="20"/>
              </w:rPr>
              <w:t>111%</w:t>
            </w:r>
          </w:p>
        </w:tc>
        <w:tc>
          <w:tcPr>
            <w:tcW w:w="889" w:type="dxa"/>
            <w:tcBorders>
              <w:top w:val="nil"/>
              <w:left w:val="nil"/>
              <w:bottom w:val="single" w:sz="4" w:space="0" w:color="auto"/>
              <w:right w:val="single" w:sz="4" w:space="0" w:color="auto"/>
            </w:tcBorders>
            <w:shd w:val="clear" w:color="000000" w:fill="D9D9D9"/>
            <w:noWrap/>
            <w:vAlign w:val="bottom"/>
            <w:hideMark/>
          </w:tcPr>
          <w:p w14:paraId="6FF9156E" w14:textId="77777777" w:rsidR="005917B5" w:rsidRPr="001C42C5" w:rsidRDefault="005917B5">
            <w:pPr>
              <w:jc w:val="right"/>
              <w:rPr>
                <w:rFonts w:ascii="Arial" w:hAnsi="Arial" w:cs="Arial"/>
                <w:b/>
                <w:bCs/>
                <w:sz w:val="20"/>
                <w:szCs w:val="20"/>
              </w:rPr>
            </w:pPr>
            <w:r w:rsidRPr="001C42C5">
              <w:rPr>
                <w:rFonts w:ascii="Arial" w:hAnsi="Arial" w:cs="Arial"/>
                <w:b/>
                <w:bCs/>
                <w:sz w:val="20"/>
                <w:szCs w:val="20"/>
              </w:rPr>
              <w:t>99%</w:t>
            </w:r>
          </w:p>
        </w:tc>
        <w:tc>
          <w:tcPr>
            <w:tcW w:w="219" w:type="dxa"/>
            <w:vAlign w:val="center"/>
            <w:hideMark/>
          </w:tcPr>
          <w:p w14:paraId="41B81692" w14:textId="77777777" w:rsidR="005917B5" w:rsidRPr="001C42C5" w:rsidRDefault="005917B5">
            <w:pPr>
              <w:rPr>
                <w:sz w:val="20"/>
                <w:szCs w:val="20"/>
              </w:rPr>
            </w:pPr>
          </w:p>
        </w:tc>
      </w:tr>
      <w:tr w:rsidR="001C42C5" w:rsidRPr="001C42C5" w14:paraId="15FB5300" w14:textId="77777777" w:rsidTr="00033347">
        <w:trPr>
          <w:trHeight w:val="295"/>
          <w:jc w:val="center"/>
        </w:trPr>
        <w:tc>
          <w:tcPr>
            <w:tcW w:w="821" w:type="dxa"/>
            <w:tcBorders>
              <w:top w:val="nil"/>
              <w:left w:val="single" w:sz="4" w:space="0" w:color="auto"/>
              <w:bottom w:val="single" w:sz="4" w:space="0" w:color="auto"/>
              <w:right w:val="single" w:sz="4" w:space="0" w:color="auto"/>
            </w:tcBorders>
            <w:shd w:val="clear" w:color="000000" w:fill="D9D9D9"/>
            <w:noWrap/>
            <w:vAlign w:val="bottom"/>
            <w:hideMark/>
          </w:tcPr>
          <w:p w14:paraId="090FEE59" w14:textId="77777777" w:rsidR="005917B5" w:rsidRPr="001C42C5" w:rsidRDefault="005917B5">
            <w:pPr>
              <w:jc w:val="center"/>
              <w:rPr>
                <w:rFonts w:ascii="Arial" w:hAnsi="Arial" w:cs="Arial"/>
                <w:b/>
                <w:bCs/>
                <w:sz w:val="20"/>
                <w:szCs w:val="20"/>
              </w:rPr>
            </w:pPr>
            <w:r w:rsidRPr="001C42C5">
              <w:rPr>
                <w:rFonts w:ascii="Arial" w:hAnsi="Arial" w:cs="Arial"/>
                <w:b/>
                <w:bCs/>
                <w:sz w:val="20"/>
                <w:szCs w:val="20"/>
              </w:rPr>
              <w:t> </w:t>
            </w:r>
          </w:p>
        </w:tc>
        <w:tc>
          <w:tcPr>
            <w:tcW w:w="3305" w:type="dxa"/>
            <w:gridSpan w:val="2"/>
            <w:tcBorders>
              <w:top w:val="single" w:sz="4" w:space="0" w:color="auto"/>
              <w:left w:val="nil"/>
              <w:bottom w:val="single" w:sz="4" w:space="0" w:color="auto"/>
              <w:right w:val="single" w:sz="4" w:space="0" w:color="000000"/>
            </w:tcBorders>
            <w:shd w:val="clear" w:color="000000" w:fill="D9D9D9"/>
            <w:noWrap/>
            <w:vAlign w:val="bottom"/>
            <w:hideMark/>
          </w:tcPr>
          <w:p w14:paraId="43377578" w14:textId="77777777" w:rsidR="005917B5" w:rsidRPr="001C42C5" w:rsidRDefault="005917B5">
            <w:pPr>
              <w:jc w:val="center"/>
              <w:rPr>
                <w:rFonts w:ascii="Arial" w:hAnsi="Arial" w:cs="Arial"/>
                <w:b/>
                <w:bCs/>
                <w:sz w:val="20"/>
                <w:szCs w:val="20"/>
              </w:rPr>
            </w:pPr>
            <w:r w:rsidRPr="001C42C5">
              <w:rPr>
                <w:rFonts w:ascii="Arial" w:hAnsi="Arial" w:cs="Arial"/>
                <w:b/>
                <w:bCs/>
                <w:sz w:val="20"/>
                <w:szCs w:val="20"/>
              </w:rPr>
              <w:t>UKUPNO RASHODI</w:t>
            </w:r>
          </w:p>
        </w:tc>
        <w:tc>
          <w:tcPr>
            <w:tcW w:w="1476" w:type="dxa"/>
            <w:tcBorders>
              <w:top w:val="nil"/>
              <w:left w:val="nil"/>
              <w:bottom w:val="single" w:sz="4" w:space="0" w:color="auto"/>
              <w:right w:val="single" w:sz="4" w:space="0" w:color="auto"/>
            </w:tcBorders>
            <w:shd w:val="clear" w:color="000000" w:fill="D9D9D9"/>
            <w:noWrap/>
            <w:vAlign w:val="bottom"/>
            <w:hideMark/>
          </w:tcPr>
          <w:p w14:paraId="41A24BB8" w14:textId="77777777" w:rsidR="005917B5" w:rsidRPr="001C42C5" w:rsidRDefault="005917B5">
            <w:pPr>
              <w:jc w:val="right"/>
              <w:rPr>
                <w:rFonts w:ascii="Arial" w:hAnsi="Arial" w:cs="Arial"/>
                <w:b/>
                <w:bCs/>
                <w:sz w:val="20"/>
                <w:szCs w:val="20"/>
              </w:rPr>
            </w:pPr>
            <w:r w:rsidRPr="001C42C5">
              <w:rPr>
                <w:rFonts w:ascii="Arial" w:hAnsi="Arial" w:cs="Arial"/>
                <w:b/>
                <w:bCs/>
                <w:sz w:val="20"/>
                <w:szCs w:val="20"/>
              </w:rPr>
              <w:t>32.738.921,02</w:t>
            </w:r>
          </w:p>
        </w:tc>
        <w:tc>
          <w:tcPr>
            <w:tcW w:w="1476" w:type="dxa"/>
            <w:tcBorders>
              <w:top w:val="nil"/>
              <w:left w:val="nil"/>
              <w:bottom w:val="single" w:sz="4" w:space="0" w:color="auto"/>
              <w:right w:val="single" w:sz="4" w:space="0" w:color="auto"/>
            </w:tcBorders>
            <w:shd w:val="clear" w:color="000000" w:fill="D9D9D9"/>
            <w:noWrap/>
            <w:vAlign w:val="bottom"/>
            <w:hideMark/>
          </w:tcPr>
          <w:p w14:paraId="0A3FA47E" w14:textId="77777777" w:rsidR="005917B5" w:rsidRPr="001C42C5" w:rsidRDefault="005917B5">
            <w:pPr>
              <w:jc w:val="right"/>
              <w:rPr>
                <w:rFonts w:ascii="Arial" w:hAnsi="Arial" w:cs="Arial"/>
                <w:b/>
                <w:bCs/>
                <w:sz w:val="20"/>
                <w:szCs w:val="20"/>
              </w:rPr>
            </w:pPr>
            <w:r w:rsidRPr="001C42C5">
              <w:rPr>
                <w:rFonts w:ascii="Arial" w:hAnsi="Arial" w:cs="Arial"/>
                <w:b/>
                <w:bCs/>
                <w:sz w:val="20"/>
                <w:szCs w:val="20"/>
              </w:rPr>
              <w:t>35.169.000,00</w:t>
            </w:r>
          </w:p>
        </w:tc>
        <w:tc>
          <w:tcPr>
            <w:tcW w:w="1476" w:type="dxa"/>
            <w:tcBorders>
              <w:top w:val="nil"/>
              <w:left w:val="nil"/>
              <w:bottom w:val="single" w:sz="4" w:space="0" w:color="auto"/>
              <w:right w:val="single" w:sz="4" w:space="0" w:color="auto"/>
            </w:tcBorders>
            <w:shd w:val="clear" w:color="000000" w:fill="D9D9D9"/>
            <w:noWrap/>
            <w:vAlign w:val="bottom"/>
            <w:hideMark/>
          </w:tcPr>
          <w:p w14:paraId="469636A9" w14:textId="77777777" w:rsidR="005917B5" w:rsidRPr="001C42C5" w:rsidRDefault="005917B5">
            <w:pPr>
              <w:jc w:val="right"/>
              <w:rPr>
                <w:rFonts w:ascii="Arial" w:hAnsi="Arial" w:cs="Arial"/>
                <w:b/>
                <w:bCs/>
                <w:sz w:val="20"/>
                <w:szCs w:val="20"/>
              </w:rPr>
            </w:pPr>
            <w:r w:rsidRPr="001C42C5">
              <w:rPr>
                <w:rFonts w:ascii="Arial" w:hAnsi="Arial" w:cs="Arial"/>
                <w:b/>
                <w:bCs/>
                <w:sz w:val="20"/>
                <w:szCs w:val="20"/>
              </w:rPr>
              <w:t>35.125.460,27</w:t>
            </w:r>
          </w:p>
        </w:tc>
        <w:tc>
          <w:tcPr>
            <w:tcW w:w="889" w:type="dxa"/>
            <w:tcBorders>
              <w:top w:val="nil"/>
              <w:left w:val="nil"/>
              <w:bottom w:val="single" w:sz="4" w:space="0" w:color="auto"/>
              <w:right w:val="single" w:sz="4" w:space="0" w:color="auto"/>
            </w:tcBorders>
            <w:shd w:val="clear" w:color="000000" w:fill="D9D9D9"/>
            <w:noWrap/>
            <w:vAlign w:val="bottom"/>
            <w:hideMark/>
          </w:tcPr>
          <w:p w14:paraId="0BBBD6C7" w14:textId="77777777" w:rsidR="005917B5" w:rsidRPr="001C42C5" w:rsidRDefault="005917B5">
            <w:pPr>
              <w:jc w:val="right"/>
              <w:rPr>
                <w:rFonts w:ascii="Arial" w:hAnsi="Arial" w:cs="Arial"/>
                <w:b/>
                <w:bCs/>
                <w:sz w:val="20"/>
                <w:szCs w:val="20"/>
              </w:rPr>
            </w:pPr>
            <w:r w:rsidRPr="001C42C5">
              <w:rPr>
                <w:rFonts w:ascii="Arial" w:hAnsi="Arial" w:cs="Arial"/>
                <w:b/>
                <w:bCs/>
                <w:sz w:val="20"/>
                <w:szCs w:val="20"/>
              </w:rPr>
              <w:t>107%</w:t>
            </w:r>
          </w:p>
        </w:tc>
        <w:tc>
          <w:tcPr>
            <w:tcW w:w="889" w:type="dxa"/>
            <w:tcBorders>
              <w:top w:val="nil"/>
              <w:left w:val="nil"/>
              <w:bottom w:val="single" w:sz="4" w:space="0" w:color="auto"/>
              <w:right w:val="single" w:sz="4" w:space="0" w:color="auto"/>
            </w:tcBorders>
            <w:shd w:val="clear" w:color="000000" w:fill="D9D9D9"/>
            <w:noWrap/>
            <w:vAlign w:val="bottom"/>
            <w:hideMark/>
          </w:tcPr>
          <w:p w14:paraId="402B3A8E" w14:textId="77777777" w:rsidR="005917B5" w:rsidRPr="001C42C5" w:rsidRDefault="005917B5">
            <w:pPr>
              <w:jc w:val="right"/>
              <w:rPr>
                <w:rFonts w:ascii="Arial" w:hAnsi="Arial" w:cs="Arial"/>
                <w:b/>
                <w:bCs/>
                <w:sz w:val="20"/>
                <w:szCs w:val="20"/>
              </w:rPr>
            </w:pPr>
            <w:r w:rsidRPr="001C42C5">
              <w:rPr>
                <w:rFonts w:ascii="Arial" w:hAnsi="Arial" w:cs="Arial"/>
                <w:b/>
                <w:bCs/>
                <w:sz w:val="20"/>
                <w:szCs w:val="20"/>
              </w:rPr>
              <w:t>100%</w:t>
            </w:r>
          </w:p>
        </w:tc>
        <w:tc>
          <w:tcPr>
            <w:tcW w:w="219" w:type="dxa"/>
            <w:vAlign w:val="center"/>
            <w:hideMark/>
          </w:tcPr>
          <w:p w14:paraId="55721E25" w14:textId="77777777" w:rsidR="005917B5" w:rsidRPr="001C42C5" w:rsidRDefault="005917B5">
            <w:pPr>
              <w:rPr>
                <w:sz w:val="20"/>
                <w:szCs w:val="20"/>
              </w:rPr>
            </w:pPr>
          </w:p>
        </w:tc>
      </w:tr>
      <w:tr w:rsidR="001C42C5" w:rsidRPr="001C42C5" w14:paraId="460C2A2B" w14:textId="77777777" w:rsidTr="00033347">
        <w:trPr>
          <w:trHeight w:val="245"/>
          <w:jc w:val="center"/>
        </w:trPr>
        <w:tc>
          <w:tcPr>
            <w:tcW w:w="821" w:type="dxa"/>
            <w:tcBorders>
              <w:top w:val="nil"/>
              <w:left w:val="single" w:sz="4" w:space="0" w:color="auto"/>
              <w:bottom w:val="single" w:sz="4" w:space="0" w:color="auto"/>
              <w:right w:val="single" w:sz="4" w:space="0" w:color="auto"/>
            </w:tcBorders>
            <w:shd w:val="clear" w:color="000000" w:fill="D9D9D9"/>
            <w:noWrap/>
            <w:vAlign w:val="bottom"/>
            <w:hideMark/>
          </w:tcPr>
          <w:p w14:paraId="65ABED81" w14:textId="77777777" w:rsidR="005917B5" w:rsidRPr="001C42C5" w:rsidRDefault="005917B5">
            <w:pPr>
              <w:jc w:val="center"/>
              <w:rPr>
                <w:rFonts w:ascii="Arial" w:hAnsi="Arial" w:cs="Arial"/>
                <w:b/>
                <w:bCs/>
                <w:sz w:val="20"/>
                <w:szCs w:val="20"/>
              </w:rPr>
            </w:pPr>
            <w:r w:rsidRPr="001C42C5">
              <w:rPr>
                <w:rFonts w:ascii="Arial" w:hAnsi="Arial" w:cs="Arial"/>
                <w:b/>
                <w:bCs/>
                <w:sz w:val="20"/>
                <w:szCs w:val="20"/>
              </w:rPr>
              <w:t> </w:t>
            </w:r>
          </w:p>
        </w:tc>
        <w:tc>
          <w:tcPr>
            <w:tcW w:w="3305" w:type="dxa"/>
            <w:gridSpan w:val="2"/>
            <w:tcBorders>
              <w:top w:val="single" w:sz="4" w:space="0" w:color="auto"/>
              <w:left w:val="nil"/>
              <w:bottom w:val="single" w:sz="4" w:space="0" w:color="auto"/>
              <w:right w:val="single" w:sz="4" w:space="0" w:color="000000"/>
            </w:tcBorders>
            <w:shd w:val="clear" w:color="000000" w:fill="D9D9D9"/>
            <w:noWrap/>
            <w:vAlign w:val="bottom"/>
            <w:hideMark/>
          </w:tcPr>
          <w:p w14:paraId="0FC36B26" w14:textId="77777777" w:rsidR="005917B5" w:rsidRPr="001C42C5" w:rsidRDefault="005917B5">
            <w:pPr>
              <w:jc w:val="center"/>
              <w:rPr>
                <w:rFonts w:ascii="Arial" w:hAnsi="Arial" w:cs="Arial"/>
                <w:b/>
                <w:bCs/>
                <w:sz w:val="20"/>
                <w:szCs w:val="20"/>
              </w:rPr>
            </w:pPr>
            <w:r w:rsidRPr="001C42C5">
              <w:rPr>
                <w:rFonts w:ascii="Arial" w:hAnsi="Arial" w:cs="Arial"/>
                <w:b/>
                <w:bCs/>
                <w:sz w:val="20"/>
                <w:szCs w:val="20"/>
              </w:rPr>
              <w:t>Razlika višak / manjak 2025.</w:t>
            </w:r>
          </w:p>
        </w:tc>
        <w:tc>
          <w:tcPr>
            <w:tcW w:w="1476" w:type="dxa"/>
            <w:tcBorders>
              <w:top w:val="nil"/>
              <w:left w:val="nil"/>
              <w:bottom w:val="single" w:sz="4" w:space="0" w:color="auto"/>
              <w:right w:val="nil"/>
            </w:tcBorders>
            <w:shd w:val="clear" w:color="000000" w:fill="D9D9D9"/>
            <w:noWrap/>
            <w:vAlign w:val="bottom"/>
            <w:hideMark/>
          </w:tcPr>
          <w:p w14:paraId="56F238E4" w14:textId="77777777" w:rsidR="005917B5" w:rsidRPr="001C42C5" w:rsidRDefault="005917B5">
            <w:pPr>
              <w:jc w:val="right"/>
              <w:rPr>
                <w:rFonts w:ascii="Arial" w:hAnsi="Arial" w:cs="Arial"/>
                <w:b/>
                <w:bCs/>
                <w:sz w:val="20"/>
                <w:szCs w:val="20"/>
              </w:rPr>
            </w:pPr>
            <w:r w:rsidRPr="001C42C5">
              <w:rPr>
                <w:rFonts w:ascii="Arial" w:hAnsi="Arial" w:cs="Arial"/>
                <w:b/>
                <w:bCs/>
                <w:sz w:val="20"/>
                <w:szCs w:val="20"/>
              </w:rPr>
              <w:t>-1.447.005,76</w:t>
            </w:r>
          </w:p>
        </w:tc>
        <w:tc>
          <w:tcPr>
            <w:tcW w:w="1476" w:type="dxa"/>
            <w:tcBorders>
              <w:top w:val="nil"/>
              <w:left w:val="single" w:sz="4" w:space="0" w:color="auto"/>
              <w:bottom w:val="single" w:sz="4" w:space="0" w:color="auto"/>
              <w:right w:val="single" w:sz="4" w:space="0" w:color="auto"/>
            </w:tcBorders>
            <w:shd w:val="clear" w:color="000000" w:fill="D9D9D9"/>
            <w:noWrap/>
            <w:vAlign w:val="bottom"/>
            <w:hideMark/>
          </w:tcPr>
          <w:p w14:paraId="257D637D" w14:textId="77777777" w:rsidR="005917B5" w:rsidRPr="001C42C5" w:rsidRDefault="005917B5">
            <w:pPr>
              <w:jc w:val="right"/>
              <w:rPr>
                <w:rFonts w:ascii="Arial" w:hAnsi="Arial" w:cs="Arial"/>
                <w:b/>
                <w:bCs/>
                <w:sz w:val="20"/>
                <w:szCs w:val="20"/>
              </w:rPr>
            </w:pPr>
            <w:r w:rsidRPr="001C42C5">
              <w:rPr>
                <w:rFonts w:ascii="Arial" w:hAnsi="Arial" w:cs="Arial"/>
                <w:b/>
                <w:bCs/>
                <w:sz w:val="20"/>
                <w:szCs w:val="20"/>
              </w:rPr>
              <w:t>0,00</w:t>
            </w:r>
          </w:p>
        </w:tc>
        <w:tc>
          <w:tcPr>
            <w:tcW w:w="1476" w:type="dxa"/>
            <w:tcBorders>
              <w:top w:val="nil"/>
              <w:left w:val="nil"/>
              <w:bottom w:val="single" w:sz="4" w:space="0" w:color="auto"/>
              <w:right w:val="nil"/>
            </w:tcBorders>
            <w:shd w:val="clear" w:color="000000" w:fill="D9D9D9"/>
            <w:noWrap/>
            <w:vAlign w:val="bottom"/>
            <w:hideMark/>
          </w:tcPr>
          <w:p w14:paraId="565E7206" w14:textId="77777777" w:rsidR="005917B5" w:rsidRPr="001C42C5" w:rsidRDefault="005917B5">
            <w:pPr>
              <w:jc w:val="right"/>
              <w:rPr>
                <w:rFonts w:ascii="Arial" w:hAnsi="Arial" w:cs="Arial"/>
                <w:b/>
                <w:bCs/>
                <w:sz w:val="20"/>
                <w:szCs w:val="20"/>
              </w:rPr>
            </w:pPr>
            <w:r w:rsidRPr="001C42C5">
              <w:rPr>
                <w:rFonts w:ascii="Arial" w:hAnsi="Arial" w:cs="Arial"/>
                <w:b/>
                <w:bCs/>
                <w:sz w:val="20"/>
                <w:szCs w:val="20"/>
              </w:rPr>
              <w:t>-247.971,70</w:t>
            </w:r>
          </w:p>
        </w:tc>
        <w:tc>
          <w:tcPr>
            <w:tcW w:w="889" w:type="dxa"/>
            <w:tcBorders>
              <w:top w:val="nil"/>
              <w:left w:val="single" w:sz="4" w:space="0" w:color="auto"/>
              <w:bottom w:val="single" w:sz="4" w:space="0" w:color="auto"/>
              <w:right w:val="single" w:sz="4" w:space="0" w:color="auto"/>
            </w:tcBorders>
            <w:shd w:val="clear" w:color="000000" w:fill="D9D9D9"/>
            <w:noWrap/>
            <w:vAlign w:val="bottom"/>
            <w:hideMark/>
          </w:tcPr>
          <w:p w14:paraId="00493231" w14:textId="77777777" w:rsidR="005917B5" w:rsidRPr="001C42C5" w:rsidRDefault="005917B5">
            <w:pPr>
              <w:rPr>
                <w:rFonts w:ascii="Arial" w:hAnsi="Arial" w:cs="Arial"/>
                <w:b/>
                <w:bCs/>
                <w:sz w:val="20"/>
                <w:szCs w:val="20"/>
              </w:rPr>
            </w:pPr>
            <w:r w:rsidRPr="001C42C5">
              <w:rPr>
                <w:rFonts w:ascii="Arial" w:hAnsi="Arial" w:cs="Arial"/>
                <w:b/>
                <w:bCs/>
                <w:sz w:val="20"/>
                <w:szCs w:val="20"/>
              </w:rPr>
              <w:t> </w:t>
            </w:r>
          </w:p>
        </w:tc>
        <w:tc>
          <w:tcPr>
            <w:tcW w:w="889" w:type="dxa"/>
            <w:tcBorders>
              <w:top w:val="nil"/>
              <w:left w:val="nil"/>
              <w:bottom w:val="single" w:sz="4" w:space="0" w:color="auto"/>
              <w:right w:val="single" w:sz="4" w:space="0" w:color="auto"/>
            </w:tcBorders>
            <w:shd w:val="clear" w:color="000000" w:fill="D9D9D9"/>
            <w:noWrap/>
            <w:vAlign w:val="bottom"/>
            <w:hideMark/>
          </w:tcPr>
          <w:p w14:paraId="13172565" w14:textId="77777777" w:rsidR="005917B5" w:rsidRPr="001C42C5" w:rsidRDefault="005917B5">
            <w:pPr>
              <w:rPr>
                <w:rFonts w:ascii="Arial" w:hAnsi="Arial" w:cs="Arial"/>
                <w:b/>
                <w:bCs/>
                <w:sz w:val="20"/>
                <w:szCs w:val="20"/>
              </w:rPr>
            </w:pPr>
            <w:r w:rsidRPr="001C42C5">
              <w:rPr>
                <w:rFonts w:ascii="Arial" w:hAnsi="Arial" w:cs="Arial"/>
                <w:b/>
                <w:bCs/>
                <w:sz w:val="20"/>
                <w:szCs w:val="20"/>
              </w:rPr>
              <w:t> </w:t>
            </w:r>
          </w:p>
        </w:tc>
        <w:tc>
          <w:tcPr>
            <w:tcW w:w="219" w:type="dxa"/>
            <w:vAlign w:val="center"/>
            <w:hideMark/>
          </w:tcPr>
          <w:p w14:paraId="7A0251E1" w14:textId="77777777" w:rsidR="005917B5" w:rsidRPr="001C42C5" w:rsidRDefault="005917B5">
            <w:pPr>
              <w:rPr>
                <w:sz w:val="20"/>
                <w:szCs w:val="20"/>
              </w:rPr>
            </w:pPr>
          </w:p>
        </w:tc>
      </w:tr>
    </w:tbl>
    <w:p w14:paraId="1F41A283" w14:textId="77777777" w:rsidR="005917B5" w:rsidRPr="00AB4247" w:rsidRDefault="005917B5" w:rsidP="00AC35FA">
      <w:pPr>
        <w:rPr>
          <w:rFonts w:ascii="Arial" w:hAnsi="Arial" w:cs="Arial"/>
          <w:b/>
          <w:bCs/>
          <w:szCs w:val="22"/>
        </w:rPr>
      </w:pPr>
    </w:p>
    <w:p w14:paraId="67954668" w14:textId="72A15B87" w:rsidR="00121551" w:rsidRPr="00AB4247" w:rsidRDefault="00121551" w:rsidP="00121551">
      <w:pPr>
        <w:jc w:val="center"/>
        <w:rPr>
          <w:rFonts w:ascii="Calibri" w:hAnsi="Calibri" w:cs="Calibri"/>
        </w:rPr>
      </w:pPr>
      <w:r w:rsidRPr="00AB4247">
        <w:rPr>
          <w:rFonts w:ascii="Calibri" w:hAnsi="Calibri" w:cs="Calibri"/>
        </w:rPr>
        <w:t xml:space="preserve">Izvještaj prema </w:t>
      </w:r>
      <w:r w:rsidRPr="00AB4247">
        <w:rPr>
          <w:rFonts w:ascii="Calibri" w:hAnsi="Calibri" w:cs="Calibri"/>
          <w:b/>
          <w:bCs/>
        </w:rPr>
        <w:t>funkcijskoj</w:t>
      </w:r>
      <w:r w:rsidRPr="00AB4247">
        <w:rPr>
          <w:rFonts w:ascii="Calibri" w:hAnsi="Calibri" w:cs="Calibri"/>
        </w:rPr>
        <w:t xml:space="preserve"> klasifikaciji</w:t>
      </w:r>
    </w:p>
    <w:p w14:paraId="3F3DD3F7" w14:textId="77777777" w:rsidR="000872A6" w:rsidRDefault="000872A6" w:rsidP="00121551">
      <w:pPr>
        <w:jc w:val="center"/>
        <w:rPr>
          <w:rFonts w:ascii="Calibri" w:hAnsi="Calibri" w:cs="Calibri"/>
        </w:rPr>
      </w:pPr>
    </w:p>
    <w:tbl>
      <w:tblPr>
        <w:tblW w:w="10608" w:type="dxa"/>
        <w:jc w:val="center"/>
        <w:tblLook w:val="04A0" w:firstRow="1" w:lastRow="0" w:firstColumn="1" w:lastColumn="0" w:noHBand="0" w:noVBand="1"/>
      </w:tblPr>
      <w:tblGrid>
        <w:gridCol w:w="1555"/>
        <w:gridCol w:w="2835"/>
        <w:gridCol w:w="1496"/>
        <w:gridCol w:w="1496"/>
        <w:gridCol w:w="1496"/>
        <w:gridCol w:w="775"/>
        <w:gridCol w:w="955"/>
      </w:tblGrid>
      <w:tr w:rsidR="00DB0966" w:rsidRPr="00DB0966" w14:paraId="5B29EE97" w14:textId="77777777" w:rsidTr="004E6650">
        <w:trPr>
          <w:trHeight w:val="966"/>
          <w:jc w:val="center"/>
        </w:trPr>
        <w:tc>
          <w:tcPr>
            <w:tcW w:w="439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01DF8E14" w14:textId="77777777" w:rsidR="000872A6" w:rsidRPr="00DB0966" w:rsidRDefault="000872A6">
            <w:pPr>
              <w:jc w:val="center"/>
              <w:rPr>
                <w:rFonts w:ascii="Calibri" w:hAnsi="Calibri" w:cs="Calibri"/>
                <w:b/>
                <w:bCs/>
                <w:sz w:val="20"/>
                <w:szCs w:val="20"/>
              </w:rPr>
            </w:pPr>
            <w:r w:rsidRPr="00DB0966">
              <w:rPr>
                <w:rFonts w:ascii="Calibri" w:hAnsi="Calibri" w:cs="Calibri"/>
                <w:b/>
                <w:bCs/>
                <w:sz w:val="22"/>
                <w:szCs w:val="22"/>
              </w:rPr>
              <w:t>VRSTA RASHODA / IZDATAKA PO FUNKCIJI</w:t>
            </w:r>
          </w:p>
        </w:tc>
        <w:tc>
          <w:tcPr>
            <w:tcW w:w="1496" w:type="dxa"/>
            <w:tcBorders>
              <w:top w:val="single" w:sz="4" w:space="0" w:color="auto"/>
              <w:left w:val="nil"/>
              <w:bottom w:val="single" w:sz="4" w:space="0" w:color="auto"/>
              <w:right w:val="single" w:sz="4" w:space="0" w:color="auto"/>
            </w:tcBorders>
            <w:shd w:val="clear" w:color="000000" w:fill="D9D9D9"/>
            <w:vAlign w:val="center"/>
            <w:hideMark/>
          </w:tcPr>
          <w:p w14:paraId="785A5075" w14:textId="0729E865" w:rsidR="000872A6" w:rsidRPr="00DB0966" w:rsidRDefault="000872A6" w:rsidP="000872A6">
            <w:pPr>
              <w:jc w:val="center"/>
              <w:rPr>
                <w:rFonts w:ascii="Calibri" w:hAnsi="Calibri" w:cs="Calibri"/>
                <w:b/>
                <w:bCs/>
                <w:sz w:val="22"/>
                <w:szCs w:val="22"/>
              </w:rPr>
            </w:pPr>
            <w:r w:rsidRPr="00DB0966">
              <w:rPr>
                <w:rFonts w:ascii="Calibri" w:hAnsi="Calibri" w:cs="Calibri"/>
                <w:b/>
                <w:bCs/>
                <w:sz w:val="22"/>
                <w:szCs w:val="22"/>
              </w:rPr>
              <w:t>Izvršenje     01.-12.2024.</w:t>
            </w:r>
          </w:p>
        </w:tc>
        <w:tc>
          <w:tcPr>
            <w:tcW w:w="1496" w:type="dxa"/>
            <w:tcBorders>
              <w:top w:val="single" w:sz="4" w:space="0" w:color="auto"/>
              <w:left w:val="nil"/>
              <w:bottom w:val="single" w:sz="4" w:space="0" w:color="auto"/>
              <w:right w:val="single" w:sz="4" w:space="0" w:color="auto"/>
            </w:tcBorders>
            <w:shd w:val="clear" w:color="000000" w:fill="D9D9D9"/>
            <w:vAlign w:val="center"/>
            <w:hideMark/>
          </w:tcPr>
          <w:p w14:paraId="3BCD8561" w14:textId="77777777" w:rsidR="000872A6" w:rsidRPr="00DB0966" w:rsidRDefault="000872A6">
            <w:pPr>
              <w:jc w:val="center"/>
              <w:rPr>
                <w:rFonts w:ascii="Calibri" w:hAnsi="Calibri" w:cs="Calibri"/>
                <w:b/>
                <w:bCs/>
                <w:sz w:val="22"/>
                <w:szCs w:val="22"/>
              </w:rPr>
            </w:pPr>
            <w:r w:rsidRPr="00DB0966">
              <w:rPr>
                <w:rFonts w:ascii="Calibri" w:hAnsi="Calibri" w:cs="Calibri"/>
                <w:b/>
                <w:bCs/>
                <w:sz w:val="22"/>
                <w:szCs w:val="22"/>
              </w:rPr>
              <w:t>Financijski plan 2025.</w:t>
            </w:r>
          </w:p>
        </w:tc>
        <w:tc>
          <w:tcPr>
            <w:tcW w:w="1496" w:type="dxa"/>
            <w:tcBorders>
              <w:top w:val="single" w:sz="4" w:space="0" w:color="auto"/>
              <w:left w:val="nil"/>
              <w:bottom w:val="single" w:sz="4" w:space="0" w:color="auto"/>
              <w:right w:val="single" w:sz="4" w:space="0" w:color="auto"/>
            </w:tcBorders>
            <w:shd w:val="clear" w:color="000000" w:fill="D9D9D9"/>
            <w:vAlign w:val="center"/>
            <w:hideMark/>
          </w:tcPr>
          <w:p w14:paraId="5682A1CB" w14:textId="4BF9B723" w:rsidR="000872A6" w:rsidRPr="00DB0966" w:rsidRDefault="000872A6">
            <w:pPr>
              <w:jc w:val="center"/>
              <w:rPr>
                <w:rFonts w:ascii="Calibri" w:hAnsi="Calibri" w:cs="Calibri"/>
                <w:b/>
                <w:bCs/>
                <w:sz w:val="22"/>
                <w:szCs w:val="22"/>
              </w:rPr>
            </w:pPr>
            <w:r w:rsidRPr="00DB0966">
              <w:rPr>
                <w:rFonts w:ascii="Calibri" w:hAnsi="Calibri" w:cs="Calibri"/>
                <w:b/>
                <w:bCs/>
                <w:sz w:val="22"/>
                <w:szCs w:val="22"/>
              </w:rPr>
              <w:t xml:space="preserve"> Izvršenje      01.-12.2025.</w:t>
            </w:r>
          </w:p>
        </w:tc>
        <w:tc>
          <w:tcPr>
            <w:tcW w:w="775" w:type="dxa"/>
            <w:tcBorders>
              <w:top w:val="single" w:sz="4" w:space="0" w:color="auto"/>
              <w:left w:val="nil"/>
              <w:bottom w:val="single" w:sz="4" w:space="0" w:color="auto"/>
              <w:right w:val="single" w:sz="4" w:space="0" w:color="auto"/>
            </w:tcBorders>
            <w:shd w:val="clear" w:color="000000" w:fill="D9D9D9"/>
            <w:vAlign w:val="center"/>
            <w:hideMark/>
          </w:tcPr>
          <w:p w14:paraId="6C85D47E" w14:textId="77777777" w:rsidR="000872A6" w:rsidRPr="00DB0966" w:rsidRDefault="000872A6">
            <w:pPr>
              <w:jc w:val="center"/>
              <w:rPr>
                <w:rFonts w:ascii="Calibri" w:hAnsi="Calibri" w:cs="Calibri"/>
                <w:b/>
                <w:bCs/>
                <w:sz w:val="20"/>
                <w:szCs w:val="20"/>
              </w:rPr>
            </w:pPr>
            <w:r w:rsidRPr="00DB0966">
              <w:rPr>
                <w:rFonts w:ascii="Calibri" w:hAnsi="Calibri" w:cs="Calibri"/>
                <w:b/>
                <w:bCs/>
                <w:sz w:val="20"/>
                <w:szCs w:val="20"/>
              </w:rPr>
              <w:t>Indeks 2025./ 2024.</w:t>
            </w:r>
          </w:p>
        </w:tc>
        <w:tc>
          <w:tcPr>
            <w:tcW w:w="955" w:type="dxa"/>
            <w:tcBorders>
              <w:top w:val="single" w:sz="4" w:space="0" w:color="auto"/>
              <w:left w:val="nil"/>
              <w:bottom w:val="single" w:sz="4" w:space="0" w:color="auto"/>
              <w:right w:val="single" w:sz="4" w:space="0" w:color="auto"/>
            </w:tcBorders>
            <w:shd w:val="clear" w:color="000000" w:fill="D9D9D9"/>
            <w:vAlign w:val="center"/>
            <w:hideMark/>
          </w:tcPr>
          <w:p w14:paraId="6535C741" w14:textId="77777777" w:rsidR="000872A6" w:rsidRPr="00DB0966" w:rsidRDefault="000872A6">
            <w:pPr>
              <w:jc w:val="center"/>
              <w:rPr>
                <w:rFonts w:ascii="Calibri" w:hAnsi="Calibri" w:cs="Calibri"/>
                <w:b/>
                <w:bCs/>
                <w:sz w:val="20"/>
                <w:szCs w:val="20"/>
              </w:rPr>
            </w:pPr>
            <w:r w:rsidRPr="00DB0966">
              <w:rPr>
                <w:rFonts w:ascii="Calibri" w:hAnsi="Calibri" w:cs="Calibri"/>
                <w:b/>
                <w:bCs/>
                <w:sz w:val="20"/>
                <w:szCs w:val="20"/>
              </w:rPr>
              <w:t>Indeks Plan/ Izvršenje</w:t>
            </w:r>
          </w:p>
        </w:tc>
      </w:tr>
      <w:tr w:rsidR="00AB4247" w:rsidRPr="00DB0966" w14:paraId="4B83C95F" w14:textId="77777777" w:rsidTr="00CA06BE">
        <w:trPr>
          <w:trHeight w:val="330"/>
          <w:jc w:val="center"/>
        </w:trPr>
        <w:tc>
          <w:tcPr>
            <w:tcW w:w="1555" w:type="dxa"/>
            <w:tcBorders>
              <w:top w:val="nil"/>
              <w:left w:val="single" w:sz="4" w:space="0" w:color="auto"/>
              <w:bottom w:val="single" w:sz="4" w:space="0" w:color="auto"/>
              <w:right w:val="single" w:sz="4" w:space="0" w:color="auto"/>
            </w:tcBorders>
            <w:vAlign w:val="center"/>
            <w:hideMark/>
          </w:tcPr>
          <w:p w14:paraId="72B2F8DC" w14:textId="77777777" w:rsidR="00AB4247" w:rsidRPr="00DB0966" w:rsidRDefault="00AB4247" w:rsidP="00AB4247">
            <w:pPr>
              <w:rPr>
                <w:rFonts w:ascii="Arial" w:hAnsi="Arial" w:cs="Arial"/>
                <w:b/>
                <w:bCs/>
                <w:sz w:val="20"/>
                <w:szCs w:val="20"/>
              </w:rPr>
            </w:pPr>
            <w:r w:rsidRPr="00DB0966">
              <w:rPr>
                <w:rFonts w:ascii="Arial" w:hAnsi="Arial" w:cs="Arial"/>
                <w:b/>
                <w:bCs/>
                <w:sz w:val="20"/>
                <w:szCs w:val="20"/>
              </w:rPr>
              <w:t> </w:t>
            </w:r>
          </w:p>
        </w:tc>
        <w:tc>
          <w:tcPr>
            <w:tcW w:w="2835" w:type="dxa"/>
            <w:tcBorders>
              <w:top w:val="single" w:sz="4" w:space="0" w:color="auto"/>
              <w:left w:val="nil"/>
              <w:bottom w:val="single" w:sz="4" w:space="0" w:color="auto"/>
              <w:right w:val="single" w:sz="4" w:space="0" w:color="auto"/>
            </w:tcBorders>
            <w:vAlign w:val="center"/>
            <w:hideMark/>
          </w:tcPr>
          <w:p w14:paraId="5702003D" w14:textId="77777777" w:rsidR="00AB4247" w:rsidRPr="00DB0966" w:rsidRDefault="00AB4247" w:rsidP="00AB4247">
            <w:pPr>
              <w:rPr>
                <w:rFonts w:ascii="Arial" w:hAnsi="Arial" w:cs="Arial"/>
                <w:b/>
                <w:bCs/>
                <w:sz w:val="20"/>
                <w:szCs w:val="20"/>
              </w:rPr>
            </w:pPr>
            <w:r w:rsidRPr="00DB0966">
              <w:rPr>
                <w:rFonts w:ascii="Arial" w:hAnsi="Arial" w:cs="Arial"/>
                <w:b/>
                <w:bCs/>
                <w:sz w:val="20"/>
                <w:szCs w:val="20"/>
              </w:rPr>
              <w:t>SVEUKUPNO RASHODI</w:t>
            </w:r>
          </w:p>
        </w:tc>
        <w:tc>
          <w:tcPr>
            <w:tcW w:w="1496" w:type="dxa"/>
            <w:tcBorders>
              <w:top w:val="nil"/>
              <w:left w:val="nil"/>
              <w:bottom w:val="single" w:sz="4" w:space="0" w:color="auto"/>
              <w:right w:val="single" w:sz="4" w:space="0" w:color="auto"/>
            </w:tcBorders>
            <w:vAlign w:val="center"/>
            <w:hideMark/>
          </w:tcPr>
          <w:p w14:paraId="02D008CB" w14:textId="77777777" w:rsidR="00AB4247" w:rsidRPr="00DB0966" w:rsidRDefault="00AB4247" w:rsidP="00AB4247">
            <w:pPr>
              <w:jc w:val="right"/>
              <w:rPr>
                <w:rFonts w:ascii="Arial" w:hAnsi="Arial" w:cs="Arial"/>
                <w:b/>
                <w:bCs/>
                <w:sz w:val="20"/>
                <w:szCs w:val="20"/>
              </w:rPr>
            </w:pPr>
            <w:r w:rsidRPr="00DB0966">
              <w:rPr>
                <w:rFonts w:ascii="Arial" w:hAnsi="Arial" w:cs="Arial"/>
                <w:b/>
                <w:bCs/>
                <w:sz w:val="20"/>
                <w:szCs w:val="20"/>
              </w:rPr>
              <w:t>32.585.237,49</w:t>
            </w:r>
          </w:p>
        </w:tc>
        <w:tc>
          <w:tcPr>
            <w:tcW w:w="1496" w:type="dxa"/>
            <w:tcBorders>
              <w:top w:val="nil"/>
              <w:left w:val="nil"/>
              <w:bottom w:val="single" w:sz="4" w:space="0" w:color="auto"/>
              <w:right w:val="single" w:sz="4" w:space="0" w:color="auto"/>
            </w:tcBorders>
            <w:vAlign w:val="center"/>
            <w:hideMark/>
          </w:tcPr>
          <w:p w14:paraId="01EE050E" w14:textId="77777777" w:rsidR="00AB4247" w:rsidRPr="00DB0966" w:rsidRDefault="00AB4247" w:rsidP="00AB4247">
            <w:pPr>
              <w:jc w:val="right"/>
              <w:rPr>
                <w:rFonts w:ascii="Arial" w:hAnsi="Arial" w:cs="Arial"/>
                <w:b/>
                <w:bCs/>
                <w:sz w:val="20"/>
                <w:szCs w:val="20"/>
              </w:rPr>
            </w:pPr>
            <w:r w:rsidRPr="00DB0966">
              <w:rPr>
                <w:rFonts w:ascii="Arial" w:hAnsi="Arial" w:cs="Arial"/>
                <w:b/>
                <w:bCs/>
                <w:sz w:val="20"/>
                <w:szCs w:val="20"/>
              </w:rPr>
              <w:t>35.169.000,00</w:t>
            </w:r>
          </w:p>
        </w:tc>
        <w:tc>
          <w:tcPr>
            <w:tcW w:w="1496" w:type="dxa"/>
            <w:tcBorders>
              <w:top w:val="single" w:sz="4" w:space="0" w:color="auto"/>
              <w:left w:val="single" w:sz="4" w:space="0" w:color="auto"/>
              <w:bottom w:val="single" w:sz="4" w:space="0" w:color="auto"/>
              <w:right w:val="single" w:sz="4" w:space="0" w:color="auto"/>
            </w:tcBorders>
            <w:vAlign w:val="center"/>
            <w:hideMark/>
          </w:tcPr>
          <w:p w14:paraId="23448B22" w14:textId="505E4820" w:rsidR="00AB4247" w:rsidRPr="00DB0966" w:rsidRDefault="00AB4247" w:rsidP="00AB4247">
            <w:pPr>
              <w:jc w:val="right"/>
              <w:rPr>
                <w:rFonts w:ascii="Arial" w:hAnsi="Arial" w:cs="Arial"/>
                <w:b/>
                <w:bCs/>
                <w:sz w:val="20"/>
                <w:szCs w:val="20"/>
              </w:rPr>
            </w:pPr>
            <w:r w:rsidRPr="00DB0966">
              <w:rPr>
                <w:rFonts w:ascii="Arial" w:hAnsi="Arial" w:cs="Arial"/>
                <w:b/>
                <w:bCs/>
                <w:sz w:val="20"/>
                <w:szCs w:val="20"/>
              </w:rPr>
              <w:t>34.971.926,64</w:t>
            </w:r>
          </w:p>
        </w:tc>
        <w:tc>
          <w:tcPr>
            <w:tcW w:w="775" w:type="dxa"/>
            <w:tcBorders>
              <w:top w:val="single" w:sz="4" w:space="0" w:color="auto"/>
              <w:left w:val="single" w:sz="4" w:space="0" w:color="auto"/>
              <w:bottom w:val="single" w:sz="4" w:space="0" w:color="auto"/>
              <w:right w:val="single" w:sz="4" w:space="0" w:color="auto"/>
            </w:tcBorders>
            <w:vAlign w:val="center"/>
            <w:hideMark/>
          </w:tcPr>
          <w:p w14:paraId="179A65CD" w14:textId="28CD12EF" w:rsidR="00AB4247" w:rsidRPr="00AB4247" w:rsidRDefault="00AB4247" w:rsidP="00AB4247">
            <w:pPr>
              <w:jc w:val="right"/>
              <w:rPr>
                <w:rFonts w:ascii="Arial" w:hAnsi="Arial" w:cs="Arial"/>
                <w:b/>
                <w:bCs/>
                <w:sz w:val="20"/>
                <w:szCs w:val="20"/>
              </w:rPr>
            </w:pPr>
            <w:r w:rsidRPr="00AB4247">
              <w:rPr>
                <w:rFonts w:ascii="Arial" w:hAnsi="Arial" w:cs="Arial"/>
                <w:b/>
                <w:bCs/>
                <w:sz w:val="20"/>
                <w:szCs w:val="20"/>
              </w:rPr>
              <w:t>107%</w:t>
            </w:r>
          </w:p>
        </w:tc>
        <w:tc>
          <w:tcPr>
            <w:tcW w:w="955" w:type="dxa"/>
            <w:tcBorders>
              <w:top w:val="single" w:sz="4" w:space="0" w:color="auto"/>
              <w:left w:val="nil"/>
              <w:bottom w:val="single" w:sz="4" w:space="0" w:color="auto"/>
              <w:right w:val="single" w:sz="4" w:space="0" w:color="auto"/>
            </w:tcBorders>
            <w:vAlign w:val="center"/>
            <w:hideMark/>
          </w:tcPr>
          <w:p w14:paraId="19401C20" w14:textId="0FD94C67" w:rsidR="00AB4247" w:rsidRPr="00AB4247" w:rsidRDefault="00AB4247" w:rsidP="00AB4247">
            <w:pPr>
              <w:jc w:val="center"/>
              <w:rPr>
                <w:rFonts w:ascii="Arial" w:hAnsi="Arial" w:cs="Arial"/>
                <w:b/>
                <w:bCs/>
                <w:sz w:val="20"/>
                <w:szCs w:val="20"/>
              </w:rPr>
            </w:pPr>
            <w:r w:rsidRPr="00AB4247">
              <w:rPr>
                <w:rFonts w:ascii="Arial" w:hAnsi="Arial" w:cs="Arial"/>
                <w:b/>
                <w:bCs/>
                <w:sz w:val="20"/>
                <w:szCs w:val="20"/>
              </w:rPr>
              <w:t>99%</w:t>
            </w:r>
          </w:p>
        </w:tc>
      </w:tr>
      <w:tr w:rsidR="00AB4247" w:rsidRPr="00DB0966" w14:paraId="18DBF61A" w14:textId="77777777" w:rsidTr="00CA06BE">
        <w:trPr>
          <w:trHeight w:val="330"/>
          <w:jc w:val="center"/>
        </w:trPr>
        <w:tc>
          <w:tcPr>
            <w:tcW w:w="1555" w:type="dxa"/>
            <w:tcBorders>
              <w:top w:val="nil"/>
              <w:left w:val="single" w:sz="4" w:space="0" w:color="auto"/>
              <w:bottom w:val="single" w:sz="4" w:space="0" w:color="auto"/>
              <w:right w:val="single" w:sz="4" w:space="0" w:color="auto"/>
            </w:tcBorders>
            <w:vAlign w:val="center"/>
            <w:hideMark/>
          </w:tcPr>
          <w:p w14:paraId="19D121DF" w14:textId="77777777" w:rsidR="00AB4247" w:rsidRPr="00DB0966" w:rsidRDefault="00AB4247" w:rsidP="00AB4247">
            <w:pPr>
              <w:rPr>
                <w:rFonts w:ascii="Arial" w:hAnsi="Arial" w:cs="Arial"/>
                <w:sz w:val="20"/>
                <w:szCs w:val="20"/>
              </w:rPr>
            </w:pPr>
            <w:r w:rsidRPr="00DB0966">
              <w:rPr>
                <w:rFonts w:ascii="Arial" w:hAnsi="Arial" w:cs="Arial"/>
                <w:sz w:val="20"/>
                <w:szCs w:val="20"/>
              </w:rPr>
              <w:t>Funkcijska 04</w:t>
            </w:r>
          </w:p>
        </w:tc>
        <w:tc>
          <w:tcPr>
            <w:tcW w:w="2835" w:type="dxa"/>
            <w:tcBorders>
              <w:top w:val="single" w:sz="4" w:space="0" w:color="auto"/>
              <w:left w:val="nil"/>
              <w:bottom w:val="single" w:sz="4" w:space="0" w:color="auto"/>
              <w:right w:val="single" w:sz="4" w:space="0" w:color="000000"/>
            </w:tcBorders>
            <w:vAlign w:val="center"/>
            <w:hideMark/>
          </w:tcPr>
          <w:p w14:paraId="070D321F" w14:textId="77777777" w:rsidR="00AB4247" w:rsidRPr="00DB0966" w:rsidRDefault="00AB4247" w:rsidP="00AB4247">
            <w:pPr>
              <w:rPr>
                <w:rFonts w:ascii="Arial" w:hAnsi="Arial" w:cs="Arial"/>
                <w:sz w:val="18"/>
                <w:szCs w:val="18"/>
              </w:rPr>
            </w:pPr>
            <w:r w:rsidRPr="00DB0966">
              <w:rPr>
                <w:rFonts w:ascii="Arial" w:hAnsi="Arial" w:cs="Arial"/>
                <w:sz w:val="18"/>
                <w:szCs w:val="18"/>
              </w:rPr>
              <w:t>EKONOMSKI POSLOVI</w:t>
            </w:r>
          </w:p>
        </w:tc>
        <w:tc>
          <w:tcPr>
            <w:tcW w:w="1496" w:type="dxa"/>
            <w:tcBorders>
              <w:top w:val="nil"/>
              <w:left w:val="nil"/>
              <w:bottom w:val="single" w:sz="4" w:space="0" w:color="auto"/>
              <w:right w:val="single" w:sz="4" w:space="0" w:color="auto"/>
            </w:tcBorders>
            <w:vAlign w:val="center"/>
            <w:hideMark/>
          </w:tcPr>
          <w:p w14:paraId="20487507" w14:textId="77777777" w:rsidR="00AB4247" w:rsidRPr="00DB0966" w:rsidRDefault="00AB4247" w:rsidP="00AB4247">
            <w:pPr>
              <w:jc w:val="right"/>
              <w:rPr>
                <w:rFonts w:ascii="Arial" w:hAnsi="Arial" w:cs="Arial"/>
                <w:sz w:val="20"/>
                <w:szCs w:val="20"/>
              </w:rPr>
            </w:pPr>
            <w:r w:rsidRPr="00DB0966">
              <w:rPr>
                <w:rFonts w:ascii="Arial" w:hAnsi="Arial" w:cs="Arial"/>
                <w:sz w:val="20"/>
                <w:szCs w:val="20"/>
              </w:rPr>
              <w:t>0,00</w:t>
            </w:r>
          </w:p>
        </w:tc>
        <w:tc>
          <w:tcPr>
            <w:tcW w:w="1496" w:type="dxa"/>
            <w:tcBorders>
              <w:top w:val="nil"/>
              <w:left w:val="nil"/>
              <w:bottom w:val="single" w:sz="4" w:space="0" w:color="auto"/>
              <w:right w:val="single" w:sz="4" w:space="0" w:color="auto"/>
            </w:tcBorders>
            <w:vAlign w:val="center"/>
            <w:hideMark/>
          </w:tcPr>
          <w:p w14:paraId="16BE5600" w14:textId="77777777" w:rsidR="00AB4247" w:rsidRPr="00DB0966" w:rsidRDefault="00AB4247" w:rsidP="00AB4247">
            <w:pPr>
              <w:jc w:val="right"/>
              <w:rPr>
                <w:rFonts w:ascii="Arial" w:hAnsi="Arial" w:cs="Arial"/>
                <w:sz w:val="20"/>
                <w:szCs w:val="20"/>
              </w:rPr>
            </w:pPr>
            <w:r w:rsidRPr="00DB0966">
              <w:rPr>
                <w:rFonts w:ascii="Arial" w:hAnsi="Arial" w:cs="Arial"/>
                <w:sz w:val="20"/>
                <w:szCs w:val="20"/>
              </w:rPr>
              <w:t>32.500,00</w:t>
            </w:r>
          </w:p>
        </w:tc>
        <w:tc>
          <w:tcPr>
            <w:tcW w:w="1496" w:type="dxa"/>
            <w:tcBorders>
              <w:top w:val="nil"/>
              <w:left w:val="single" w:sz="4" w:space="0" w:color="auto"/>
              <w:bottom w:val="single" w:sz="4" w:space="0" w:color="auto"/>
              <w:right w:val="single" w:sz="4" w:space="0" w:color="auto"/>
            </w:tcBorders>
            <w:vAlign w:val="center"/>
            <w:hideMark/>
          </w:tcPr>
          <w:p w14:paraId="1EF60A48" w14:textId="7DBB0E50" w:rsidR="00AB4247" w:rsidRPr="00DB0966" w:rsidRDefault="00AB4247" w:rsidP="00AB4247">
            <w:pPr>
              <w:jc w:val="right"/>
              <w:rPr>
                <w:rFonts w:ascii="Arial" w:hAnsi="Arial" w:cs="Arial"/>
                <w:sz w:val="20"/>
                <w:szCs w:val="20"/>
              </w:rPr>
            </w:pPr>
            <w:r w:rsidRPr="00DB0966">
              <w:rPr>
                <w:rFonts w:ascii="Arial" w:hAnsi="Arial" w:cs="Arial"/>
                <w:sz w:val="20"/>
                <w:szCs w:val="20"/>
              </w:rPr>
              <w:t>32.500,00</w:t>
            </w:r>
          </w:p>
        </w:tc>
        <w:tc>
          <w:tcPr>
            <w:tcW w:w="775" w:type="dxa"/>
            <w:tcBorders>
              <w:top w:val="nil"/>
              <w:left w:val="single" w:sz="4" w:space="0" w:color="auto"/>
              <w:bottom w:val="single" w:sz="4" w:space="0" w:color="auto"/>
              <w:right w:val="single" w:sz="4" w:space="0" w:color="auto"/>
            </w:tcBorders>
            <w:vAlign w:val="center"/>
            <w:hideMark/>
          </w:tcPr>
          <w:p w14:paraId="5FF51C2F" w14:textId="3476E580" w:rsidR="00AB4247" w:rsidRPr="00AB4247" w:rsidRDefault="00AB4247" w:rsidP="00AB4247">
            <w:pPr>
              <w:jc w:val="right"/>
              <w:rPr>
                <w:rFonts w:ascii="Arial" w:hAnsi="Arial" w:cs="Arial"/>
                <w:sz w:val="20"/>
                <w:szCs w:val="20"/>
              </w:rPr>
            </w:pPr>
            <w:r w:rsidRPr="00AB4247">
              <w:rPr>
                <w:rFonts w:ascii="Arial" w:hAnsi="Arial" w:cs="Arial"/>
                <w:sz w:val="20"/>
                <w:szCs w:val="20"/>
              </w:rPr>
              <w:t> </w:t>
            </w:r>
          </w:p>
        </w:tc>
        <w:tc>
          <w:tcPr>
            <w:tcW w:w="955" w:type="dxa"/>
            <w:tcBorders>
              <w:top w:val="nil"/>
              <w:left w:val="nil"/>
              <w:bottom w:val="single" w:sz="4" w:space="0" w:color="auto"/>
              <w:right w:val="single" w:sz="4" w:space="0" w:color="auto"/>
            </w:tcBorders>
            <w:vAlign w:val="center"/>
            <w:hideMark/>
          </w:tcPr>
          <w:p w14:paraId="59472179" w14:textId="0B770359" w:rsidR="00AB4247" w:rsidRPr="00AB4247" w:rsidRDefault="00AB4247" w:rsidP="00AB4247">
            <w:pPr>
              <w:jc w:val="center"/>
              <w:rPr>
                <w:rFonts w:ascii="Arial" w:hAnsi="Arial" w:cs="Arial"/>
                <w:sz w:val="20"/>
                <w:szCs w:val="20"/>
              </w:rPr>
            </w:pPr>
            <w:r w:rsidRPr="00AB4247">
              <w:rPr>
                <w:rFonts w:ascii="Arial" w:hAnsi="Arial" w:cs="Arial"/>
                <w:sz w:val="20"/>
                <w:szCs w:val="20"/>
              </w:rPr>
              <w:t>100%</w:t>
            </w:r>
          </w:p>
        </w:tc>
      </w:tr>
      <w:tr w:rsidR="00AB4247" w:rsidRPr="00DB0966" w14:paraId="702A0BFF" w14:textId="77777777" w:rsidTr="00CA06BE">
        <w:trPr>
          <w:trHeight w:val="330"/>
          <w:jc w:val="center"/>
        </w:trPr>
        <w:tc>
          <w:tcPr>
            <w:tcW w:w="1555" w:type="dxa"/>
            <w:tcBorders>
              <w:top w:val="nil"/>
              <w:left w:val="single" w:sz="4" w:space="0" w:color="auto"/>
              <w:bottom w:val="single" w:sz="4" w:space="0" w:color="auto"/>
              <w:right w:val="single" w:sz="4" w:space="0" w:color="auto"/>
            </w:tcBorders>
            <w:vAlign w:val="center"/>
            <w:hideMark/>
          </w:tcPr>
          <w:p w14:paraId="497D0070" w14:textId="77777777" w:rsidR="00AB4247" w:rsidRPr="00DB0966" w:rsidRDefault="00AB4247" w:rsidP="00AB4247">
            <w:pPr>
              <w:rPr>
                <w:rFonts w:ascii="Arial" w:hAnsi="Arial" w:cs="Arial"/>
                <w:sz w:val="20"/>
                <w:szCs w:val="20"/>
              </w:rPr>
            </w:pPr>
            <w:r w:rsidRPr="00DB0966">
              <w:rPr>
                <w:rFonts w:ascii="Arial" w:hAnsi="Arial" w:cs="Arial"/>
                <w:sz w:val="20"/>
                <w:szCs w:val="20"/>
              </w:rPr>
              <w:t>Funkcijska 06</w:t>
            </w:r>
          </w:p>
        </w:tc>
        <w:tc>
          <w:tcPr>
            <w:tcW w:w="2835" w:type="dxa"/>
            <w:tcBorders>
              <w:top w:val="single" w:sz="4" w:space="0" w:color="auto"/>
              <w:left w:val="nil"/>
              <w:bottom w:val="single" w:sz="4" w:space="0" w:color="auto"/>
              <w:right w:val="single" w:sz="4" w:space="0" w:color="auto"/>
            </w:tcBorders>
            <w:vAlign w:val="center"/>
            <w:hideMark/>
          </w:tcPr>
          <w:p w14:paraId="5B869CFB" w14:textId="77777777" w:rsidR="00AB4247" w:rsidRPr="00DB0966" w:rsidRDefault="00AB4247" w:rsidP="00AB4247">
            <w:pPr>
              <w:rPr>
                <w:rFonts w:ascii="Arial" w:hAnsi="Arial" w:cs="Arial"/>
                <w:sz w:val="18"/>
                <w:szCs w:val="18"/>
              </w:rPr>
            </w:pPr>
            <w:r w:rsidRPr="00DB0966">
              <w:rPr>
                <w:rFonts w:ascii="Arial" w:hAnsi="Arial" w:cs="Arial"/>
                <w:sz w:val="18"/>
                <w:szCs w:val="18"/>
              </w:rPr>
              <w:t>USLUGE UNAPREĐENJA STANOVANJA I ZAJEDNICE</w:t>
            </w:r>
          </w:p>
        </w:tc>
        <w:tc>
          <w:tcPr>
            <w:tcW w:w="1496" w:type="dxa"/>
            <w:tcBorders>
              <w:top w:val="nil"/>
              <w:left w:val="nil"/>
              <w:bottom w:val="single" w:sz="4" w:space="0" w:color="auto"/>
              <w:right w:val="single" w:sz="4" w:space="0" w:color="auto"/>
            </w:tcBorders>
            <w:vAlign w:val="center"/>
            <w:hideMark/>
          </w:tcPr>
          <w:p w14:paraId="56413049" w14:textId="77777777" w:rsidR="00AB4247" w:rsidRPr="00DB0966" w:rsidRDefault="00AB4247" w:rsidP="00AB4247">
            <w:pPr>
              <w:jc w:val="right"/>
              <w:rPr>
                <w:rFonts w:ascii="Arial" w:hAnsi="Arial" w:cs="Arial"/>
                <w:sz w:val="20"/>
                <w:szCs w:val="20"/>
              </w:rPr>
            </w:pPr>
            <w:r w:rsidRPr="00DB0966">
              <w:rPr>
                <w:rFonts w:ascii="Arial" w:hAnsi="Arial" w:cs="Arial"/>
                <w:sz w:val="20"/>
                <w:szCs w:val="20"/>
              </w:rPr>
              <w:t>34.197,24</w:t>
            </w:r>
          </w:p>
        </w:tc>
        <w:tc>
          <w:tcPr>
            <w:tcW w:w="1496" w:type="dxa"/>
            <w:tcBorders>
              <w:top w:val="nil"/>
              <w:left w:val="nil"/>
              <w:bottom w:val="single" w:sz="4" w:space="0" w:color="auto"/>
              <w:right w:val="single" w:sz="4" w:space="0" w:color="auto"/>
            </w:tcBorders>
            <w:vAlign w:val="center"/>
            <w:hideMark/>
          </w:tcPr>
          <w:p w14:paraId="1DE637F7" w14:textId="77777777" w:rsidR="00AB4247" w:rsidRPr="00DB0966" w:rsidRDefault="00AB4247" w:rsidP="00AB4247">
            <w:pPr>
              <w:jc w:val="right"/>
              <w:rPr>
                <w:rFonts w:ascii="Arial" w:hAnsi="Arial" w:cs="Arial"/>
                <w:sz w:val="20"/>
                <w:szCs w:val="20"/>
              </w:rPr>
            </w:pPr>
            <w:r w:rsidRPr="00DB0966">
              <w:rPr>
                <w:rFonts w:ascii="Arial" w:hAnsi="Arial" w:cs="Arial"/>
                <w:sz w:val="20"/>
                <w:szCs w:val="20"/>
              </w:rPr>
              <w:t>98.900,00</w:t>
            </w:r>
          </w:p>
        </w:tc>
        <w:tc>
          <w:tcPr>
            <w:tcW w:w="1496" w:type="dxa"/>
            <w:tcBorders>
              <w:top w:val="nil"/>
              <w:left w:val="single" w:sz="4" w:space="0" w:color="auto"/>
              <w:bottom w:val="single" w:sz="4" w:space="0" w:color="auto"/>
              <w:right w:val="single" w:sz="4" w:space="0" w:color="auto"/>
            </w:tcBorders>
            <w:vAlign w:val="center"/>
            <w:hideMark/>
          </w:tcPr>
          <w:p w14:paraId="23FDB13C" w14:textId="685AD293" w:rsidR="00AB4247" w:rsidRPr="00DB0966" w:rsidRDefault="00AB4247" w:rsidP="00AB4247">
            <w:pPr>
              <w:jc w:val="right"/>
              <w:rPr>
                <w:rFonts w:ascii="Arial" w:hAnsi="Arial" w:cs="Arial"/>
                <w:sz w:val="20"/>
                <w:szCs w:val="20"/>
              </w:rPr>
            </w:pPr>
            <w:r w:rsidRPr="00DB0966">
              <w:rPr>
                <w:rFonts w:ascii="Arial" w:hAnsi="Arial" w:cs="Arial"/>
                <w:sz w:val="20"/>
                <w:szCs w:val="20"/>
              </w:rPr>
              <w:t>78.900,00</w:t>
            </w:r>
          </w:p>
        </w:tc>
        <w:tc>
          <w:tcPr>
            <w:tcW w:w="775" w:type="dxa"/>
            <w:tcBorders>
              <w:top w:val="nil"/>
              <w:left w:val="single" w:sz="4" w:space="0" w:color="auto"/>
              <w:bottom w:val="single" w:sz="4" w:space="0" w:color="auto"/>
              <w:right w:val="single" w:sz="4" w:space="0" w:color="auto"/>
            </w:tcBorders>
            <w:vAlign w:val="center"/>
            <w:hideMark/>
          </w:tcPr>
          <w:p w14:paraId="56850E9B" w14:textId="6D09A693" w:rsidR="00AB4247" w:rsidRPr="00AB4247" w:rsidRDefault="00AB4247" w:rsidP="00AB4247">
            <w:pPr>
              <w:jc w:val="right"/>
              <w:rPr>
                <w:rFonts w:ascii="Arial" w:hAnsi="Arial" w:cs="Arial"/>
                <w:sz w:val="20"/>
                <w:szCs w:val="20"/>
              </w:rPr>
            </w:pPr>
            <w:r w:rsidRPr="00AB4247">
              <w:rPr>
                <w:rFonts w:ascii="Arial" w:hAnsi="Arial" w:cs="Arial"/>
                <w:sz w:val="20"/>
                <w:szCs w:val="20"/>
              </w:rPr>
              <w:t>231%</w:t>
            </w:r>
          </w:p>
        </w:tc>
        <w:tc>
          <w:tcPr>
            <w:tcW w:w="955" w:type="dxa"/>
            <w:tcBorders>
              <w:top w:val="nil"/>
              <w:left w:val="nil"/>
              <w:bottom w:val="single" w:sz="4" w:space="0" w:color="auto"/>
              <w:right w:val="single" w:sz="4" w:space="0" w:color="auto"/>
            </w:tcBorders>
            <w:vAlign w:val="center"/>
            <w:hideMark/>
          </w:tcPr>
          <w:p w14:paraId="498E38E9" w14:textId="3CE41144" w:rsidR="00AB4247" w:rsidRPr="00AB4247" w:rsidRDefault="00AB4247" w:rsidP="00AB4247">
            <w:pPr>
              <w:jc w:val="center"/>
              <w:rPr>
                <w:rFonts w:ascii="Arial" w:hAnsi="Arial" w:cs="Arial"/>
                <w:sz w:val="20"/>
                <w:szCs w:val="20"/>
              </w:rPr>
            </w:pPr>
            <w:r w:rsidRPr="00AB4247">
              <w:rPr>
                <w:rFonts w:ascii="Arial" w:hAnsi="Arial" w:cs="Arial"/>
                <w:sz w:val="20"/>
                <w:szCs w:val="20"/>
              </w:rPr>
              <w:t>80%</w:t>
            </w:r>
          </w:p>
        </w:tc>
      </w:tr>
      <w:tr w:rsidR="00AB4247" w:rsidRPr="00DB0966" w14:paraId="71FF5331" w14:textId="77777777" w:rsidTr="00CA06BE">
        <w:trPr>
          <w:trHeight w:val="330"/>
          <w:jc w:val="center"/>
        </w:trPr>
        <w:tc>
          <w:tcPr>
            <w:tcW w:w="1555" w:type="dxa"/>
            <w:tcBorders>
              <w:top w:val="nil"/>
              <w:left w:val="single" w:sz="4" w:space="0" w:color="auto"/>
              <w:bottom w:val="single" w:sz="4" w:space="0" w:color="auto"/>
              <w:right w:val="single" w:sz="4" w:space="0" w:color="auto"/>
            </w:tcBorders>
            <w:vAlign w:val="center"/>
            <w:hideMark/>
          </w:tcPr>
          <w:p w14:paraId="181B2F2C" w14:textId="77777777" w:rsidR="00AB4247" w:rsidRPr="00DB0966" w:rsidRDefault="00AB4247" w:rsidP="00AB4247">
            <w:pPr>
              <w:rPr>
                <w:rFonts w:ascii="Arial" w:hAnsi="Arial" w:cs="Arial"/>
                <w:sz w:val="20"/>
                <w:szCs w:val="20"/>
              </w:rPr>
            </w:pPr>
            <w:r w:rsidRPr="00DB0966">
              <w:rPr>
                <w:rFonts w:ascii="Arial" w:hAnsi="Arial" w:cs="Arial"/>
                <w:sz w:val="20"/>
                <w:szCs w:val="20"/>
              </w:rPr>
              <w:t>Funkcijska 07</w:t>
            </w:r>
          </w:p>
        </w:tc>
        <w:tc>
          <w:tcPr>
            <w:tcW w:w="2835" w:type="dxa"/>
            <w:tcBorders>
              <w:top w:val="single" w:sz="4" w:space="0" w:color="auto"/>
              <w:left w:val="nil"/>
              <w:bottom w:val="single" w:sz="4" w:space="0" w:color="auto"/>
              <w:right w:val="single" w:sz="4" w:space="0" w:color="auto"/>
            </w:tcBorders>
            <w:vAlign w:val="center"/>
            <w:hideMark/>
          </w:tcPr>
          <w:p w14:paraId="65ED766F" w14:textId="77777777" w:rsidR="00AB4247" w:rsidRPr="00DB0966" w:rsidRDefault="00AB4247" w:rsidP="00AB4247">
            <w:pPr>
              <w:rPr>
                <w:rFonts w:ascii="Arial" w:hAnsi="Arial" w:cs="Arial"/>
                <w:sz w:val="18"/>
                <w:szCs w:val="18"/>
              </w:rPr>
            </w:pPr>
            <w:r w:rsidRPr="00DB0966">
              <w:rPr>
                <w:rFonts w:ascii="Arial" w:hAnsi="Arial" w:cs="Arial"/>
                <w:sz w:val="18"/>
                <w:szCs w:val="18"/>
              </w:rPr>
              <w:t>ZDRAVSTVO</w:t>
            </w:r>
          </w:p>
        </w:tc>
        <w:tc>
          <w:tcPr>
            <w:tcW w:w="1496" w:type="dxa"/>
            <w:tcBorders>
              <w:top w:val="nil"/>
              <w:left w:val="nil"/>
              <w:bottom w:val="single" w:sz="4" w:space="0" w:color="auto"/>
              <w:right w:val="single" w:sz="4" w:space="0" w:color="auto"/>
            </w:tcBorders>
            <w:vAlign w:val="center"/>
            <w:hideMark/>
          </w:tcPr>
          <w:p w14:paraId="61E57D27" w14:textId="77777777" w:rsidR="00AB4247" w:rsidRPr="00DB0966" w:rsidRDefault="00AB4247" w:rsidP="00AB4247">
            <w:pPr>
              <w:jc w:val="right"/>
              <w:rPr>
                <w:rFonts w:ascii="Arial" w:hAnsi="Arial" w:cs="Arial"/>
                <w:sz w:val="20"/>
                <w:szCs w:val="20"/>
              </w:rPr>
            </w:pPr>
            <w:r w:rsidRPr="00DB0966">
              <w:rPr>
                <w:rFonts w:ascii="Arial" w:hAnsi="Arial" w:cs="Arial"/>
                <w:sz w:val="20"/>
                <w:szCs w:val="20"/>
              </w:rPr>
              <w:t>32.485.775,91</w:t>
            </w:r>
          </w:p>
        </w:tc>
        <w:tc>
          <w:tcPr>
            <w:tcW w:w="1496" w:type="dxa"/>
            <w:tcBorders>
              <w:top w:val="nil"/>
              <w:left w:val="nil"/>
              <w:bottom w:val="single" w:sz="4" w:space="0" w:color="auto"/>
              <w:right w:val="single" w:sz="4" w:space="0" w:color="auto"/>
            </w:tcBorders>
            <w:vAlign w:val="center"/>
            <w:hideMark/>
          </w:tcPr>
          <w:p w14:paraId="3BFF3289" w14:textId="77777777" w:rsidR="00AB4247" w:rsidRPr="00DB0966" w:rsidRDefault="00AB4247" w:rsidP="00AB4247">
            <w:pPr>
              <w:jc w:val="right"/>
              <w:rPr>
                <w:rFonts w:ascii="Arial" w:hAnsi="Arial" w:cs="Arial"/>
                <w:sz w:val="20"/>
                <w:szCs w:val="20"/>
              </w:rPr>
            </w:pPr>
            <w:r w:rsidRPr="00DB0966">
              <w:rPr>
                <w:rFonts w:ascii="Arial" w:hAnsi="Arial" w:cs="Arial"/>
                <w:sz w:val="20"/>
                <w:szCs w:val="20"/>
              </w:rPr>
              <w:t>34.937.051,00</w:t>
            </w:r>
          </w:p>
        </w:tc>
        <w:tc>
          <w:tcPr>
            <w:tcW w:w="1496" w:type="dxa"/>
            <w:tcBorders>
              <w:top w:val="nil"/>
              <w:left w:val="single" w:sz="4" w:space="0" w:color="auto"/>
              <w:bottom w:val="single" w:sz="4" w:space="0" w:color="auto"/>
              <w:right w:val="single" w:sz="4" w:space="0" w:color="auto"/>
            </w:tcBorders>
            <w:vAlign w:val="center"/>
            <w:hideMark/>
          </w:tcPr>
          <w:p w14:paraId="484284CA" w14:textId="50668557" w:rsidR="00AB4247" w:rsidRPr="00DB0966" w:rsidRDefault="00AB4247" w:rsidP="00AB4247">
            <w:pPr>
              <w:jc w:val="right"/>
              <w:rPr>
                <w:rFonts w:ascii="Arial" w:hAnsi="Arial" w:cs="Arial"/>
                <w:sz w:val="20"/>
                <w:szCs w:val="20"/>
              </w:rPr>
            </w:pPr>
            <w:r w:rsidRPr="00DB0966">
              <w:rPr>
                <w:rFonts w:ascii="Arial" w:hAnsi="Arial" w:cs="Arial"/>
                <w:sz w:val="20"/>
                <w:szCs w:val="20"/>
              </w:rPr>
              <w:t>34.725.627,94</w:t>
            </w:r>
          </w:p>
        </w:tc>
        <w:tc>
          <w:tcPr>
            <w:tcW w:w="775" w:type="dxa"/>
            <w:tcBorders>
              <w:top w:val="nil"/>
              <w:left w:val="single" w:sz="4" w:space="0" w:color="auto"/>
              <w:bottom w:val="single" w:sz="4" w:space="0" w:color="auto"/>
              <w:right w:val="single" w:sz="4" w:space="0" w:color="auto"/>
            </w:tcBorders>
            <w:vAlign w:val="center"/>
            <w:hideMark/>
          </w:tcPr>
          <w:p w14:paraId="3AED1D1D" w14:textId="3E07B0BE" w:rsidR="00AB4247" w:rsidRPr="00AB4247" w:rsidRDefault="00AB4247" w:rsidP="00AB4247">
            <w:pPr>
              <w:jc w:val="right"/>
              <w:rPr>
                <w:rFonts w:ascii="Arial" w:hAnsi="Arial" w:cs="Arial"/>
                <w:sz w:val="20"/>
                <w:szCs w:val="20"/>
              </w:rPr>
            </w:pPr>
            <w:r w:rsidRPr="00AB4247">
              <w:rPr>
                <w:rFonts w:ascii="Arial" w:hAnsi="Arial" w:cs="Arial"/>
                <w:sz w:val="20"/>
                <w:szCs w:val="20"/>
              </w:rPr>
              <w:t>107%</w:t>
            </w:r>
          </w:p>
        </w:tc>
        <w:tc>
          <w:tcPr>
            <w:tcW w:w="955" w:type="dxa"/>
            <w:tcBorders>
              <w:top w:val="nil"/>
              <w:left w:val="nil"/>
              <w:bottom w:val="single" w:sz="4" w:space="0" w:color="auto"/>
              <w:right w:val="single" w:sz="4" w:space="0" w:color="auto"/>
            </w:tcBorders>
            <w:vAlign w:val="center"/>
            <w:hideMark/>
          </w:tcPr>
          <w:p w14:paraId="3582B24F" w14:textId="4E52B311" w:rsidR="00AB4247" w:rsidRPr="00AB4247" w:rsidRDefault="00AB4247" w:rsidP="00AB4247">
            <w:pPr>
              <w:jc w:val="center"/>
              <w:rPr>
                <w:rFonts w:ascii="Arial" w:hAnsi="Arial" w:cs="Arial"/>
                <w:sz w:val="20"/>
                <w:szCs w:val="20"/>
              </w:rPr>
            </w:pPr>
            <w:r w:rsidRPr="00AB4247">
              <w:rPr>
                <w:rFonts w:ascii="Arial" w:hAnsi="Arial" w:cs="Arial"/>
                <w:sz w:val="20"/>
                <w:szCs w:val="20"/>
              </w:rPr>
              <w:t>99%</w:t>
            </w:r>
          </w:p>
        </w:tc>
      </w:tr>
      <w:tr w:rsidR="00AB4247" w:rsidRPr="00DB0966" w14:paraId="271DD9D3" w14:textId="77777777" w:rsidTr="00CA06BE">
        <w:trPr>
          <w:trHeight w:val="330"/>
          <w:jc w:val="center"/>
        </w:trPr>
        <w:tc>
          <w:tcPr>
            <w:tcW w:w="1555" w:type="dxa"/>
            <w:tcBorders>
              <w:top w:val="nil"/>
              <w:left w:val="single" w:sz="4" w:space="0" w:color="auto"/>
              <w:bottom w:val="single" w:sz="4" w:space="0" w:color="auto"/>
              <w:right w:val="single" w:sz="4" w:space="0" w:color="auto"/>
            </w:tcBorders>
            <w:vAlign w:val="center"/>
            <w:hideMark/>
          </w:tcPr>
          <w:p w14:paraId="6B277E7A" w14:textId="77777777" w:rsidR="00AB4247" w:rsidRPr="00DB0966" w:rsidRDefault="00AB4247" w:rsidP="00AB4247">
            <w:pPr>
              <w:rPr>
                <w:rFonts w:ascii="Arial" w:hAnsi="Arial" w:cs="Arial"/>
                <w:sz w:val="20"/>
                <w:szCs w:val="20"/>
              </w:rPr>
            </w:pPr>
            <w:r w:rsidRPr="00DB0966">
              <w:rPr>
                <w:rFonts w:ascii="Arial" w:hAnsi="Arial" w:cs="Arial"/>
                <w:sz w:val="20"/>
                <w:szCs w:val="20"/>
              </w:rPr>
              <w:t>Funkcijska 09</w:t>
            </w:r>
          </w:p>
        </w:tc>
        <w:tc>
          <w:tcPr>
            <w:tcW w:w="2835" w:type="dxa"/>
            <w:tcBorders>
              <w:top w:val="single" w:sz="4" w:space="0" w:color="auto"/>
              <w:left w:val="nil"/>
              <w:bottom w:val="single" w:sz="4" w:space="0" w:color="auto"/>
              <w:right w:val="single" w:sz="4" w:space="0" w:color="auto"/>
            </w:tcBorders>
            <w:vAlign w:val="center"/>
            <w:hideMark/>
          </w:tcPr>
          <w:p w14:paraId="652BFBF0" w14:textId="77777777" w:rsidR="00AB4247" w:rsidRPr="00DB0966" w:rsidRDefault="00AB4247" w:rsidP="00AB4247">
            <w:pPr>
              <w:rPr>
                <w:rFonts w:ascii="Arial" w:hAnsi="Arial" w:cs="Arial"/>
                <w:sz w:val="18"/>
                <w:szCs w:val="18"/>
              </w:rPr>
            </w:pPr>
            <w:r w:rsidRPr="00DB0966">
              <w:rPr>
                <w:rFonts w:ascii="Arial" w:hAnsi="Arial" w:cs="Arial"/>
                <w:sz w:val="18"/>
                <w:szCs w:val="18"/>
              </w:rPr>
              <w:t>OBRAZOVANJE</w:t>
            </w:r>
          </w:p>
        </w:tc>
        <w:tc>
          <w:tcPr>
            <w:tcW w:w="1496" w:type="dxa"/>
            <w:tcBorders>
              <w:top w:val="nil"/>
              <w:left w:val="nil"/>
              <w:bottom w:val="single" w:sz="4" w:space="0" w:color="auto"/>
              <w:right w:val="single" w:sz="4" w:space="0" w:color="auto"/>
            </w:tcBorders>
            <w:vAlign w:val="center"/>
            <w:hideMark/>
          </w:tcPr>
          <w:p w14:paraId="636D1C7F" w14:textId="77777777" w:rsidR="00AB4247" w:rsidRPr="00DB0966" w:rsidRDefault="00AB4247" w:rsidP="00AB4247">
            <w:pPr>
              <w:jc w:val="right"/>
              <w:rPr>
                <w:rFonts w:ascii="Arial" w:hAnsi="Arial" w:cs="Arial"/>
                <w:sz w:val="20"/>
                <w:szCs w:val="20"/>
              </w:rPr>
            </w:pPr>
            <w:r w:rsidRPr="00DB0966">
              <w:rPr>
                <w:rFonts w:ascii="Arial" w:hAnsi="Arial" w:cs="Arial"/>
                <w:sz w:val="20"/>
                <w:szCs w:val="20"/>
              </w:rPr>
              <w:t>15.046,22</w:t>
            </w:r>
          </w:p>
        </w:tc>
        <w:tc>
          <w:tcPr>
            <w:tcW w:w="1496" w:type="dxa"/>
            <w:tcBorders>
              <w:top w:val="nil"/>
              <w:left w:val="nil"/>
              <w:bottom w:val="single" w:sz="4" w:space="0" w:color="auto"/>
              <w:right w:val="single" w:sz="4" w:space="0" w:color="auto"/>
            </w:tcBorders>
            <w:vAlign w:val="center"/>
            <w:hideMark/>
          </w:tcPr>
          <w:p w14:paraId="6BEB2D12" w14:textId="77777777" w:rsidR="00AB4247" w:rsidRPr="00DB0966" w:rsidRDefault="00AB4247" w:rsidP="00AB4247">
            <w:pPr>
              <w:jc w:val="right"/>
              <w:rPr>
                <w:rFonts w:ascii="Arial" w:hAnsi="Arial" w:cs="Arial"/>
                <w:sz w:val="20"/>
                <w:szCs w:val="20"/>
              </w:rPr>
            </w:pPr>
            <w:r w:rsidRPr="00DB0966">
              <w:rPr>
                <w:rFonts w:ascii="Arial" w:hAnsi="Arial" w:cs="Arial"/>
                <w:sz w:val="20"/>
                <w:szCs w:val="20"/>
              </w:rPr>
              <w:t>100.549,00</w:t>
            </w:r>
          </w:p>
        </w:tc>
        <w:tc>
          <w:tcPr>
            <w:tcW w:w="1496" w:type="dxa"/>
            <w:tcBorders>
              <w:top w:val="nil"/>
              <w:left w:val="single" w:sz="4" w:space="0" w:color="auto"/>
              <w:bottom w:val="single" w:sz="4" w:space="0" w:color="auto"/>
              <w:right w:val="single" w:sz="4" w:space="0" w:color="auto"/>
            </w:tcBorders>
            <w:vAlign w:val="center"/>
            <w:hideMark/>
          </w:tcPr>
          <w:p w14:paraId="382CEBD3" w14:textId="55F555F3" w:rsidR="00AB4247" w:rsidRPr="00DB0966" w:rsidRDefault="00AB4247" w:rsidP="00AB4247">
            <w:pPr>
              <w:jc w:val="right"/>
              <w:rPr>
                <w:rFonts w:ascii="Arial" w:hAnsi="Arial" w:cs="Arial"/>
                <w:sz w:val="20"/>
                <w:szCs w:val="20"/>
              </w:rPr>
            </w:pPr>
            <w:r w:rsidRPr="00DB0966">
              <w:rPr>
                <w:rFonts w:ascii="Arial" w:hAnsi="Arial" w:cs="Arial"/>
                <w:sz w:val="20"/>
                <w:szCs w:val="20"/>
              </w:rPr>
              <w:t>134.898,70</w:t>
            </w:r>
          </w:p>
        </w:tc>
        <w:tc>
          <w:tcPr>
            <w:tcW w:w="775" w:type="dxa"/>
            <w:tcBorders>
              <w:top w:val="nil"/>
              <w:left w:val="single" w:sz="4" w:space="0" w:color="auto"/>
              <w:bottom w:val="single" w:sz="4" w:space="0" w:color="auto"/>
              <w:right w:val="single" w:sz="4" w:space="0" w:color="auto"/>
            </w:tcBorders>
            <w:vAlign w:val="center"/>
            <w:hideMark/>
          </w:tcPr>
          <w:p w14:paraId="2E5FC0DD" w14:textId="52B9A5CE" w:rsidR="00AB4247" w:rsidRPr="00AB4247" w:rsidRDefault="00AB4247" w:rsidP="00AB4247">
            <w:pPr>
              <w:jc w:val="right"/>
              <w:rPr>
                <w:rFonts w:ascii="Arial" w:hAnsi="Arial" w:cs="Arial"/>
                <w:sz w:val="20"/>
                <w:szCs w:val="20"/>
              </w:rPr>
            </w:pPr>
            <w:r w:rsidRPr="00AB4247">
              <w:rPr>
                <w:rFonts w:ascii="Arial" w:hAnsi="Arial" w:cs="Arial"/>
                <w:sz w:val="20"/>
                <w:szCs w:val="20"/>
              </w:rPr>
              <w:t>897%</w:t>
            </w:r>
          </w:p>
        </w:tc>
        <w:tc>
          <w:tcPr>
            <w:tcW w:w="955" w:type="dxa"/>
            <w:tcBorders>
              <w:top w:val="nil"/>
              <w:left w:val="nil"/>
              <w:bottom w:val="single" w:sz="4" w:space="0" w:color="auto"/>
              <w:right w:val="single" w:sz="4" w:space="0" w:color="auto"/>
            </w:tcBorders>
            <w:vAlign w:val="center"/>
            <w:hideMark/>
          </w:tcPr>
          <w:p w14:paraId="2A76B581" w14:textId="17226A0C" w:rsidR="00AB4247" w:rsidRPr="00AB4247" w:rsidRDefault="00AB4247" w:rsidP="00AB4247">
            <w:pPr>
              <w:jc w:val="center"/>
              <w:rPr>
                <w:rFonts w:ascii="Arial" w:hAnsi="Arial" w:cs="Arial"/>
                <w:sz w:val="20"/>
                <w:szCs w:val="20"/>
              </w:rPr>
            </w:pPr>
            <w:r w:rsidRPr="00AB4247">
              <w:rPr>
                <w:rFonts w:ascii="Arial" w:hAnsi="Arial" w:cs="Arial"/>
                <w:sz w:val="20"/>
                <w:szCs w:val="20"/>
              </w:rPr>
              <w:t>134%</w:t>
            </w:r>
          </w:p>
        </w:tc>
      </w:tr>
      <w:tr w:rsidR="00AB4247" w:rsidRPr="00DB0966" w14:paraId="21BC47AA" w14:textId="77777777" w:rsidTr="00CA06BE">
        <w:trPr>
          <w:trHeight w:val="330"/>
          <w:jc w:val="center"/>
        </w:trPr>
        <w:tc>
          <w:tcPr>
            <w:tcW w:w="1555" w:type="dxa"/>
            <w:tcBorders>
              <w:top w:val="nil"/>
              <w:left w:val="single" w:sz="4" w:space="0" w:color="auto"/>
              <w:bottom w:val="single" w:sz="4" w:space="0" w:color="auto"/>
              <w:right w:val="single" w:sz="4" w:space="0" w:color="auto"/>
            </w:tcBorders>
            <w:vAlign w:val="center"/>
            <w:hideMark/>
          </w:tcPr>
          <w:p w14:paraId="3F3A43D3" w14:textId="77777777" w:rsidR="00AB4247" w:rsidRPr="00DB0966" w:rsidRDefault="00AB4247" w:rsidP="00AB4247">
            <w:pPr>
              <w:rPr>
                <w:rFonts w:ascii="Arial" w:hAnsi="Arial" w:cs="Arial"/>
                <w:sz w:val="20"/>
                <w:szCs w:val="20"/>
              </w:rPr>
            </w:pPr>
            <w:r w:rsidRPr="00DB0966">
              <w:rPr>
                <w:rFonts w:ascii="Arial" w:hAnsi="Arial" w:cs="Arial"/>
                <w:sz w:val="20"/>
                <w:szCs w:val="20"/>
              </w:rPr>
              <w:t>Funkcijska 10</w:t>
            </w:r>
          </w:p>
        </w:tc>
        <w:tc>
          <w:tcPr>
            <w:tcW w:w="2835" w:type="dxa"/>
            <w:tcBorders>
              <w:top w:val="single" w:sz="4" w:space="0" w:color="auto"/>
              <w:left w:val="nil"/>
              <w:bottom w:val="single" w:sz="4" w:space="0" w:color="auto"/>
              <w:right w:val="single" w:sz="4" w:space="0" w:color="auto"/>
            </w:tcBorders>
            <w:vAlign w:val="center"/>
            <w:hideMark/>
          </w:tcPr>
          <w:p w14:paraId="3948DD21" w14:textId="77777777" w:rsidR="00AB4247" w:rsidRPr="00DB0966" w:rsidRDefault="00AB4247" w:rsidP="00AB4247">
            <w:pPr>
              <w:rPr>
                <w:rFonts w:ascii="Arial" w:hAnsi="Arial" w:cs="Arial"/>
                <w:sz w:val="18"/>
                <w:szCs w:val="18"/>
              </w:rPr>
            </w:pPr>
            <w:r w:rsidRPr="00DB0966">
              <w:rPr>
                <w:rFonts w:ascii="Arial" w:hAnsi="Arial" w:cs="Arial"/>
                <w:sz w:val="18"/>
                <w:szCs w:val="18"/>
              </w:rPr>
              <w:t>SOCIJALNA ZAŠTITA</w:t>
            </w:r>
          </w:p>
        </w:tc>
        <w:tc>
          <w:tcPr>
            <w:tcW w:w="1496" w:type="dxa"/>
            <w:tcBorders>
              <w:top w:val="nil"/>
              <w:left w:val="nil"/>
              <w:bottom w:val="single" w:sz="4" w:space="0" w:color="auto"/>
              <w:right w:val="single" w:sz="4" w:space="0" w:color="auto"/>
            </w:tcBorders>
            <w:vAlign w:val="center"/>
            <w:hideMark/>
          </w:tcPr>
          <w:p w14:paraId="3B580EE9" w14:textId="77777777" w:rsidR="00AB4247" w:rsidRPr="00DB0966" w:rsidRDefault="00AB4247" w:rsidP="00AB4247">
            <w:pPr>
              <w:jc w:val="right"/>
              <w:rPr>
                <w:rFonts w:ascii="Arial" w:hAnsi="Arial" w:cs="Arial"/>
                <w:sz w:val="20"/>
                <w:szCs w:val="20"/>
              </w:rPr>
            </w:pPr>
            <w:r w:rsidRPr="00DB0966">
              <w:rPr>
                <w:rFonts w:ascii="Arial" w:hAnsi="Arial" w:cs="Arial"/>
                <w:sz w:val="20"/>
                <w:szCs w:val="20"/>
              </w:rPr>
              <w:t>50.218,12</w:t>
            </w:r>
          </w:p>
        </w:tc>
        <w:tc>
          <w:tcPr>
            <w:tcW w:w="1496" w:type="dxa"/>
            <w:tcBorders>
              <w:top w:val="nil"/>
              <w:left w:val="nil"/>
              <w:bottom w:val="single" w:sz="4" w:space="0" w:color="auto"/>
              <w:right w:val="single" w:sz="4" w:space="0" w:color="auto"/>
            </w:tcBorders>
            <w:vAlign w:val="center"/>
            <w:hideMark/>
          </w:tcPr>
          <w:p w14:paraId="3C40C4E8" w14:textId="77777777" w:rsidR="00AB4247" w:rsidRPr="00DB0966" w:rsidRDefault="00AB4247" w:rsidP="00AB4247">
            <w:pPr>
              <w:jc w:val="right"/>
              <w:rPr>
                <w:rFonts w:ascii="Arial" w:hAnsi="Arial" w:cs="Arial"/>
                <w:sz w:val="20"/>
                <w:szCs w:val="20"/>
              </w:rPr>
            </w:pPr>
            <w:r w:rsidRPr="00DB0966">
              <w:rPr>
                <w:rFonts w:ascii="Arial" w:hAnsi="Arial" w:cs="Arial"/>
                <w:sz w:val="20"/>
                <w:szCs w:val="20"/>
              </w:rPr>
              <w:t>0,00</w:t>
            </w:r>
          </w:p>
        </w:tc>
        <w:tc>
          <w:tcPr>
            <w:tcW w:w="1496" w:type="dxa"/>
            <w:tcBorders>
              <w:top w:val="nil"/>
              <w:left w:val="single" w:sz="4" w:space="0" w:color="auto"/>
              <w:bottom w:val="single" w:sz="4" w:space="0" w:color="auto"/>
              <w:right w:val="single" w:sz="4" w:space="0" w:color="auto"/>
            </w:tcBorders>
            <w:vAlign w:val="center"/>
            <w:hideMark/>
          </w:tcPr>
          <w:p w14:paraId="1BCEBDF8" w14:textId="548100CB" w:rsidR="00AB4247" w:rsidRPr="00DB0966" w:rsidRDefault="00AB4247" w:rsidP="00AB4247">
            <w:pPr>
              <w:jc w:val="right"/>
              <w:rPr>
                <w:rFonts w:ascii="Arial" w:hAnsi="Arial" w:cs="Arial"/>
                <w:sz w:val="20"/>
                <w:szCs w:val="20"/>
              </w:rPr>
            </w:pPr>
            <w:r w:rsidRPr="00DB0966">
              <w:rPr>
                <w:rFonts w:ascii="Arial" w:hAnsi="Arial" w:cs="Arial"/>
                <w:sz w:val="20"/>
                <w:szCs w:val="20"/>
              </w:rPr>
              <w:t>0,00</w:t>
            </w:r>
          </w:p>
        </w:tc>
        <w:tc>
          <w:tcPr>
            <w:tcW w:w="775" w:type="dxa"/>
            <w:tcBorders>
              <w:top w:val="nil"/>
              <w:left w:val="single" w:sz="4" w:space="0" w:color="auto"/>
              <w:bottom w:val="single" w:sz="4" w:space="0" w:color="auto"/>
              <w:right w:val="single" w:sz="4" w:space="0" w:color="auto"/>
            </w:tcBorders>
            <w:vAlign w:val="center"/>
            <w:hideMark/>
          </w:tcPr>
          <w:p w14:paraId="655A83B8" w14:textId="3D926BED" w:rsidR="00AB4247" w:rsidRPr="00AB4247" w:rsidRDefault="00AB4247" w:rsidP="00AB4247">
            <w:pPr>
              <w:jc w:val="right"/>
              <w:rPr>
                <w:rFonts w:ascii="Arial" w:hAnsi="Arial" w:cs="Arial"/>
                <w:sz w:val="20"/>
                <w:szCs w:val="20"/>
              </w:rPr>
            </w:pPr>
            <w:r w:rsidRPr="00AB4247">
              <w:rPr>
                <w:rFonts w:ascii="Arial" w:hAnsi="Arial" w:cs="Arial"/>
                <w:sz w:val="20"/>
                <w:szCs w:val="20"/>
              </w:rPr>
              <w:t> </w:t>
            </w:r>
          </w:p>
        </w:tc>
        <w:tc>
          <w:tcPr>
            <w:tcW w:w="955" w:type="dxa"/>
            <w:tcBorders>
              <w:top w:val="nil"/>
              <w:left w:val="nil"/>
              <w:bottom w:val="single" w:sz="4" w:space="0" w:color="auto"/>
              <w:right w:val="single" w:sz="4" w:space="0" w:color="auto"/>
            </w:tcBorders>
            <w:vAlign w:val="center"/>
            <w:hideMark/>
          </w:tcPr>
          <w:p w14:paraId="5C7C25A0" w14:textId="6CED92BB" w:rsidR="00AB4247" w:rsidRPr="00AB4247" w:rsidRDefault="00AB4247" w:rsidP="00AB4247">
            <w:pPr>
              <w:jc w:val="center"/>
              <w:rPr>
                <w:rFonts w:ascii="Arial" w:hAnsi="Arial" w:cs="Arial"/>
                <w:sz w:val="20"/>
                <w:szCs w:val="20"/>
              </w:rPr>
            </w:pPr>
            <w:r w:rsidRPr="00AB4247">
              <w:rPr>
                <w:rFonts w:ascii="Arial" w:hAnsi="Arial" w:cs="Arial"/>
                <w:sz w:val="20"/>
                <w:szCs w:val="20"/>
              </w:rPr>
              <w:t> </w:t>
            </w:r>
          </w:p>
        </w:tc>
      </w:tr>
    </w:tbl>
    <w:p w14:paraId="1BF54B80" w14:textId="77777777" w:rsidR="000872A6" w:rsidRPr="00121551" w:rsidRDefault="000872A6" w:rsidP="00121551">
      <w:pPr>
        <w:jc w:val="center"/>
        <w:rPr>
          <w:rFonts w:ascii="Calibri" w:hAnsi="Calibri" w:cs="Calibri"/>
        </w:rPr>
      </w:pPr>
    </w:p>
    <w:p w14:paraId="78432AE6" w14:textId="0DE9507B" w:rsidR="00183890" w:rsidRPr="004F3556" w:rsidRDefault="00183890" w:rsidP="007C6BFD">
      <w:pPr>
        <w:spacing w:line="276" w:lineRule="auto"/>
        <w:jc w:val="both"/>
        <w:rPr>
          <w:rFonts w:ascii="Arial" w:hAnsi="Arial" w:cs="Arial"/>
          <w:sz w:val="22"/>
        </w:rPr>
      </w:pPr>
    </w:p>
    <w:p w14:paraId="08C1E24A" w14:textId="2112BA50" w:rsidR="00DF6E08" w:rsidRPr="00AB4247" w:rsidRDefault="00DF6E08" w:rsidP="004E6650">
      <w:pPr>
        <w:spacing w:line="276" w:lineRule="auto"/>
        <w:jc w:val="both"/>
        <w:rPr>
          <w:rFonts w:ascii="Arial" w:hAnsi="Arial" w:cs="Arial"/>
          <w:sz w:val="22"/>
        </w:rPr>
      </w:pPr>
      <w:r w:rsidRPr="00AB4247">
        <w:rPr>
          <w:rFonts w:ascii="Arial" w:hAnsi="Arial" w:cs="Arial"/>
          <w:sz w:val="22"/>
        </w:rPr>
        <w:t xml:space="preserve">U Izvještaju po </w:t>
      </w:r>
      <w:r w:rsidRPr="00AB4247">
        <w:rPr>
          <w:rFonts w:ascii="Arial" w:hAnsi="Arial" w:cs="Arial"/>
          <w:b/>
          <w:bCs/>
          <w:sz w:val="22"/>
          <w:u w:val="single"/>
        </w:rPr>
        <w:t>izvorima financiranja</w:t>
      </w:r>
      <w:r w:rsidRPr="00AB4247">
        <w:rPr>
          <w:rFonts w:ascii="Arial" w:hAnsi="Arial" w:cs="Arial"/>
          <w:sz w:val="22"/>
        </w:rPr>
        <w:t xml:space="preserve"> prikazan je utrošak svih namjenski doznačenih sredstava (Istarska županija, nadležna ministarstva, prihodi po posebnim propisima, donacije te prihodi od prodaje nefinancijske imovine), </w:t>
      </w:r>
      <w:r w:rsidR="00AB4247" w:rsidRPr="00AB4247">
        <w:rPr>
          <w:rFonts w:ascii="Arial" w:hAnsi="Arial" w:cs="Arial"/>
          <w:sz w:val="22"/>
        </w:rPr>
        <w:t>s prikazom realizacije prihoda i rashoda iz navedenih izvora.</w:t>
      </w:r>
      <w:r w:rsidRPr="00AB4247">
        <w:rPr>
          <w:rFonts w:ascii="Arial" w:hAnsi="Arial" w:cs="Arial"/>
          <w:sz w:val="22"/>
        </w:rPr>
        <w:t xml:space="preserve"> </w:t>
      </w:r>
    </w:p>
    <w:p w14:paraId="54FB54D7" w14:textId="222346DF" w:rsidR="00EC5889" w:rsidRPr="00AB4247" w:rsidRDefault="000C34F0" w:rsidP="004E6650">
      <w:pPr>
        <w:spacing w:line="276" w:lineRule="auto"/>
        <w:jc w:val="both"/>
        <w:rPr>
          <w:rFonts w:ascii="Arial" w:hAnsi="Arial" w:cs="Arial"/>
          <w:sz w:val="22"/>
          <w:szCs w:val="22"/>
        </w:rPr>
      </w:pPr>
      <w:r w:rsidRPr="00AB4247">
        <w:rPr>
          <w:rFonts w:ascii="Arial" w:hAnsi="Arial" w:cs="Arial"/>
          <w:sz w:val="22"/>
        </w:rPr>
        <w:t xml:space="preserve">Najveće razlike se očituju na  </w:t>
      </w:r>
      <w:r w:rsidR="00EC5889" w:rsidRPr="00AB4247">
        <w:rPr>
          <w:rFonts w:ascii="Arial" w:hAnsi="Arial" w:cs="Arial"/>
          <w:sz w:val="22"/>
        </w:rPr>
        <w:t>prihodima i rashodima Istarske županije (oznaka 12) koji se odnose na metodološki manjak</w:t>
      </w:r>
      <w:r w:rsidR="00AB4247" w:rsidRPr="00AB4247">
        <w:rPr>
          <w:rFonts w:ascii="Arial" w:hAnsi="Arial" w:cs="Arial"/>
          <w:sz w:val="22"/>
        </w:rPr>
        <w:t xml:space="preserve"> u iznosu 123.537,07 eura</w:t>
      </w:r>
      <w:r w:rsidR="00AB4247" w:rsidRPr="00AB4247">
        <w:rPr>
          <w:rFonts w:ascii="Arial" w:hAnsi="Arial" w:cs="Arial"/>
          <w:sz w:val="22"/>
          <w:szCs w:val="22"/>
        </w:rPr>
        <w:t xml:space="preserve"> radi kasne refundacije pojedinih Zahtjeva iz prosinca 2025. g. čija su sredstva zaprimljena u siječnju 2026. g. </w:t>
      </w:r>
    </w:p>
    <w:p w14:paraId="34DF7B5B" w14:textId="3E62A7FD" w:rsidR="00EC5889" w:rsidRPr="00AB4247" w:rsidRDefault="00EC5889" w:rsidP="004E6650">
      <w:pPr>
        <w:spacing w:line="276" w:lineRule="auto"/>
        <w:jc w:val="both"/>
        <w:rPr>
          <w:rFonts w:ascii="Arial" w:hAnsi="Arial" w:cs="Arial"/>
          <w:sz w:val="22"/>
        </w:rPr>
      </w:pPr>
      <w:r w:rsidRPr="00AB4247">
        <w:rPr>
          <w:rFonts w:ascii="Arial" w:hAnsi="Arial" w:cs="Arial"/>
          <w:sz w:val="22"/>
        </w:rPr>
        <w:t xml:space="preserve">Također razlika je evidentirana i </w:t>
      </w:r>
      <w:r w:rsidR="000C34F0" w:rsidRPr="00AB4247">
        <w:rPr>
          <w:rFonts w:ascii="Arial" w:hAnsi="Arial" w:cs="Arial"/>
          <w:sz w:val="22"/>
        </w:rPr>
        <w:t xml:space="preserve">prihodima i rashodima HZZO </w:t>
      </w:r>
      <w:r w:rsidR="009F4405" w:rsidRPr="00AB4247">
        <w:rPr>
          <w:rFonts w:ascii="Arial" w:hAnsi="Arial" w:cs="Arial"/>
          <w:sz w:val="22"/>
        </w:rPr>
        <w:t xml:space="preserve">(oznaka 47) </w:t>
      </w:r>
      <w:r w:rsidR="000C34F0" w:rsidRPr="00AB4247">
        <w:rPr>
          <w:rFonts w:ascii="Arial" w:hAnsi="Arial" w:cs="Arial"/>
          <w:sz w:val="22"/>
        </w:rPr>
        <w:t>koji nisu bili dovoljni za pokriće rashoda poslovanja zdravstvenih djelatnost</w:t>
      </w:r>
      <w:r w:rsidRPr="00AB4247">
        <w:rPr>
          <w:rFonts w:ascii="Arial" w:hAnsi="Arial" w:cs="Arial"/>
          <w:sz w:val="22"/>
        </w:rPr>
        <w:t>, ali u znatno manjem iznosu u odnosu na 2024. godinu što ide u prilog činjenici da je rast iznosa glavarine i cijene DTP postupaka u</w:t>
      </w:r>
      <w:r w:rsidR="00DF6E08" w:rsidRPr="00AB4247">
        <w:rPr>
          <w:rFonts w:ascii="Arial" w:hAnsi="Arial" w:cs="Arial"/>
          <w:sz w:val="22"/>
        </w:rPr>
        <w:t xml:space="preserve"> 2025. godini usklađen sa </w:t>
      </w:r>
      <w:r w:rsidRPr="00AB4247">
        <w:rPr>
          <w:rFonts w:ascii="Arial" w:hAnsi="Arial" w:cs="Arial"/>
          <w:sz w:val="22"/>
        </w:rPr>
        <w:t>rast</w:t>
      </w:r>
      <w:r w:rsidR="00DF6E08" w:rsidRPr="00AB4247">
        <w:rPr>
          <w:rFonts w:ascii="Arial" w:hAnsi="Arial" w:cs="Arial"/>
          <w:sz w:val="22"/>
        </w:rPr>
        <w:t xml:space="preserve">om osnovice </w:t>
      </w:r>
      <w:r w:rsidRPr="00AB4247">
        <w:rPr>
          <w:rFonts w:ascii="Arial" w:hAnsi="Arial" w:cs="Arial"/>
          <w:sz w:val="22"/>
        </w:rPr>
        <w:t xml:space="preserve">za </w:t>
      </w:r>
      <w:r w:rsidR="00DF6E08" w:rsidRPr="00AB4247">
        <w:rPr>
          <w:rFonts w:ascii="Arial" w:hAnsi="Arial" w:cs="Arial"/>
          <w:sz w:val="22"/>
        </w:rPr>
        <w:t>obračun plaće</w:t>
      </w:r>
      <w:r w:rsidRPr="00AB4247">
        <w:rPr>
          <w:rFonts w:ascii="Arial" w:hAnsi="Arial" w:cs="Arial"/>
          <w:sz w:val="22"/>
        </w:rPr>
        <w:t>, za razliku od 2024. godine kad je evidentiran značajan rast rashoda za plaće sa 01.03.2024. godine temeljem Uredba </w:t>
      </w:r>
      <w:r w:rsidRPr="00AB4247">
        <w:rPr>
          <w:rFonts w:ascii="Arial" w:hAnsi="Arial" w:cs="Arial"/>
          <w:b/>
          <w:bCs/>
          <w:sz w:val="22"/>
        </w:rPr>
        <w:t>o nazivima radnih mjesta</w:t>
      </w:r>
      <w:r w:rsidRPr="00AB4247">
        <w:rPr>
          <w:rFonts w:ascii="Arial" w:hAnsi="Arial" w:cs="Arial"/>
          <w:sz w:val="22"/>
        </w:rPr>
        <w:t xml:space="preserve">, uvjetima za raspored i koeficijentima za obračun plaće u javnim službama dok </w:t>
      </w:r>
      <w:r w:rsidR="00DF6E08" w:rsidRPr="00AB4247">
        <w:rPr>
          <w:rFonts w:ascii="Arial" w:hAnsi="Arial" w:cs="Arial"/>
          <w:sz w:val="22"/>
        </w:rPr>
        <w:t>rast iznosa</w:t>
      </w:r>
      <w:r w:rsidRPr="00AB4247">
        <w:rPr>
          <w:rFonts w:ascii="Arial" w:hAnsi="Arial" w:cs="Arial"/>
          <w:sz w:val="22"/>
        </w:rPr>
        <w:t xml:space="preserve"> glavarine i cijene DTP </w:t>
      </w:r>
      <w:r w:rsidR="00DF6E08" w:rsidRPr="00AB4247">
        <w:rPr>
          <w:rFonts w:ascii="Arial" w:hAnsi="Arial" w:cs="Arial"/>
          <w:sz w:val="22"/>
        </w:rPr>
        <w:t xml:space="preserve">nije bio usklađen sa rastom rashoda za plaće. </w:t>
      </w:r>
      <w:r w:rsidRPr="00AB4247">
        <w:rPr>
          <w:rFonts w:ascii="Arial" w:hAnsi="Arial" w:cs="Arial"/>
          <w:sz w:val="22"/>
        </w:rPr>
        <w:t>Upravo je taj vremenski odmak razlog tako značajnog manjka poslovanja u 2024. godini.</w:t>
      </w:r>
    </w:p>
    <w:p w14:paraId="26E7CDEE" w14:textId="01683EE3" w:rsidR="00EC5889" w:rsidRPr="004E6650" w:rsidRDefault="00EC5889" w:rsidP="004E6650">
      <w:pPr>
        <w:spacing w:line="276" w:lineRule="auto"/>
        <w:jc w:val="both"/>
        <w:rPr>
          <w:rFonts w:ascii="Arial" w:hAnsi="Arial" w:cs="Arial"/>
          <w:sz w:val="22"/>
        </w:rPr>
      </w:pPr>
      <w:r w:rsidRPr="004E6650">
        <w:rPr>
          <w:rFonts w:ascii="Arial" w:hAnsi="Arial" w:cs="Arial"/>
          <w:sz w:val="22"/>
        </w:rPr>
        <w:t xml:space="preserve">Manjak prihoda nad rashodima na </w:t>
      </w:r>
      <w:r w:rsidR="004E6650" w:rsidRPr="004E6650">
        <w:rPr>
          <w:rFonts w:ascii="Arial" w:hAnsi="Arial" w:cs="Arial"/>
          <w:sz w:val="22"/>
        </w:rPr>
        <w:t>izvoru</w:t>
      </w:r>
      <w:r w:rsidRPr="004E6650">
        <w:rPr>
          <w:rFonts w:ascii="Arial" w:hAnsi="Arial" w:cs="Arial"/>
          <w:sz w:val="22"/>
        </w:rPr>
        <w:t xml:space="preserve"> EU fondovi (oznaka 51) nastao je zbog činjenice da se refundacija troškova po ZNS-u traži nakon što su troškovi izvršeni</w:t>
      </w:r>
      <w:r w:rsidR="00D816DF" w:rsidRPr="004E6650">
        <w:rPr>
          <w:rFonts w:ascii="Arial" w:hAnsi="Arial" w:cs="Arial"/>
          <w:sz w:val="22"/>
        </w:rPr>
        <w:t xml:space="preserve"> odnosno </w:t>
      </w:r>
      <w:r w:rsidRPr="004E6650">
        <w:rPr>
          <w:rFonts w:ascii="Arial" w:hAnsi="Arial" w:cs="Arial"/>
          <w:sz w:val="22"/>
        </w:rPr>
        <w:t>svaka tri mjeseca.</w:t>
      </w:r>
      <w:r w:rsidR="00D816DF" w:rsidRPr="004E6650">
        <w:rPr>
          <w:rFonts w:ascii="Arial" w:hAnsi="Arial" w:cs="Arial"/>
          <w:sz w:val="22"/>
        </w:rPr>
        <w:t xml:space="preserve"> </w:t>
      </w:r>
    </w:p>
    <w:p w14:paraId="1988AF93" w14:textId="7E785351" w:rsidR="00D816DF" w:rsidRPr="004E6650" w:rsidRDefault="00D816DF" w:rsidP="004E6650">
      <w:pPr>
        <w:spacing w:line="276" w:lineRule="auto"/>
        <w:jc w:val="both"/>
        <w:rPr>
          <w:rFonts w:ascii="Arial" w:hAnsi="Arial" w:cs="Arial"/>
          <w:sz w:val="22"/>
        </w:rPr>
      </w:pPr>
      <w:r w:rsidRPr="004E6650">
        <w:rPr>
          <w:rFonts w:ascii="Arial" w:hAnsi="Arial" w:cs="Arial"/>
          <w:sz w:val="22"/>
        </w:rPr>
        <w:t xml:space="preserve">Nadalje, na izvoru financiranja jedinice lokalne samouprave (oznaka 55) </w:t>
      </w:r>
      <w:r w:rsidR="00124A79" w:rsidRPr="004E6650">
        <w:rPr>
          <w:rFonts w:ascii="Arial" w:hAnsi="Arial" w:cs="Arial"/>
          <w:sz w:val="22"/>
        </w:rPr>
        <w:t>iskazan je višak</w:t>
      </w:r>
      <w:r w:rsidRPr="004E6650">
        <w:rPr>
          <w:rFonts w:ascii="Arial" w:hAnsi="Arial" w:cs="Arial"/>
          <w:sz w:val="22"/>
        </w:rPr>
        <w:t xml:space="preserve"> </w:t>
      </w:r>
      <w:r w:rsidR="00124A79" w:rsidRPr="004E6650">
        <w:rPr>
          <w:rFonts w:ascii="Arial" w:hAnsi="Arial" w:cs="Arial"/>
          <w:sz w:val="22"/>
        </w:rPr>
        <w:t xml:space="preserve">prihoda </w:t>
      </w:r>
      <w:r w:rsidRPr="004E6650">
        <w:rPr>
          <w:rFonts w:ascii="Arial" w:hAnsi="Arial" w:cs="Arial"/>
          <w:sz w:val="22"/>
        </w:rPr>
        <w:t>zbo</w:t>
      </w:r>
      <w:r w:rsidR="00124A79" w:rsidRPr="004E6650">
        <w:rPr>
          <w:rFonts w:ascii="Arial" w:hAnsi="Arial" w:cs="Arial"/>
          <w:sz w:val="22"/>
        </w:rPr>
        <w:t>g uplate prihoda grada Buzeta u iznosu 6.600,00 eura u siječnju 2025. godine na ime rashoda za sufinanciranje djelatnosti ginekologije i pedijatrije nastalih u 2024. godini te uplate u iznosu 600,00 eura na ime rashoda za stambeno zbrinjavanje deficitarnog kadra nastalog u 2024. godini.</w:t>
      </w:r>
    </w:p>
    <w:p w14:paraId="03622641" w14:textId="5C7EE5F7" w:rsidR="00D816DF" w:rsidRPr="004E6650" w:rsidRDefault="00D816DF" w:rsidP="004E6650">
      <w:pPr>
        <w:spacing w:line="276" w:lineRule="auto"/>
        <w:jc w:val="both"/>
        <w:rPr>
          <w:rFonts w:ascii="Arial" w:hAnsi="Arial" w:cs="Arial"/>
          <w:sz w:val="22"/>
        </w:rPr>
      </w:pPr>
      <w:r w:rsidRPr="004E6650">
        <w:rPr>
          <w:rFonts w:ascii="Arial" w:hAnsi="Arial" w:cs="Arial"/>
          <w:sz w:val="22"/>
        </w:rPr>
        <w:t>Na izvoru financiranja prihodi od donacija iskazan je višak u iznosu 17.731,94 eura zbog zaprimljenih uplata najvećim djelom za opremu i namještaj na djelatnosti stacionara u ispostavama Labin i Pazin te za pedijatrijsku ordinaciju u ispostavi Labin koja će se nabaviti u 2026. godini.</w:t>
      </w:r>
    </w:p>
    <w:p w14:paraId="3D2E7582" w14:textId="77777777" w:rsidR="004E6650" w:rsidRPr="004E6650" w:rsidRDefault="00931C7F" w:rsidP="004E6650">
      <w:pPr>
        <w:spacing w:line="276" w:lineRule="auto"/>
        <w:jc w:val="both"/>
        <w:rPr>
          <w:rFonts w:ascii="Arial" w:hAnsi="Arial" w:cs="Arial"/>
          <w:sz w:val="22"/>
        </w:rPr>
      </w:pPr>
      <w:r w:rsidRPr="004E6650">
        <w:rPr>
          <w:rFonts w:ascii="Arial" w:hAnsi="Arial" w:cs="Arial"/>
          <w:sz w:val="22"/>
        </w:rPr>
        <w:t>Zajedno sa kumuliranim manjkom iz prethodnih godina 2.227.153,44 eura, ukupni kumulirani manjak ustanove na dan 31.12.2025. godine iznosi 2.475.125,14 eura.</w:t>
      </w:r>
      <w:r w:rsidR="00DF6E08" w:rsidRPr="004E6650">
        <w:rPr>
          <w:rFonts w:ascii="Arial" w:hAnsi="Arial" w:cs="Arial"/>
          <w:sz w:val="22"/>
        </w:rPr>
        <w:t xml:space="preserve"> </w:t>
      </w:r>
    </w:p>
    <w:p w14:paraId="3A9F1E34" w14:textId="637689AD" w:rsidR="00E5405A" w:rsidRPr="004E6650" w:rsidRDefault="00E5405A" w:rsidP="004E6650">
      <w:pPr>
        <w:spacing w:line="276" w:lineRule="auto"/>
        <w:jc w:val="both"/>
        <w:rPr>
          <w:rFonts w:ascii="Arial" w:hAnsi="Arial" w:cs="Arial"/>
          <w:sz w:val="22"/>
          <w:szCs w:val="22"/>
        </w:rPr>
      </w:pPr>
      <w:r w:rsidRPr="004E6650">
        <w:rPr>
          <w:rFonts w:ascii="Arial" w:hAnsi="Arial" w:cs="Arial"/>
          <w:sz w:val="22"/>
          <w:szCs w:val="22"/>
        </w:rPr>
        <w:t xml:space="preserve">Stanje novčanih sredstava na računu Ustanove početkom godine iznosio je </w:t>
      </w:r>
      <w:r w:rsidR="00931C7F" w:rsidRPr="004E6650">
        <w:rPr>
          <w:rFonts w:ascii="Arial" w:hAnsi="Arial" w:cs="Arial"/>
          <w:sz w:val="22"/>
          <w:szCs w:val="22"/>
        </w:rPr>
        <w:t>593.914,06</w:t>
      </w:r>
      <w:r w:rsidR="004E6650" w:rsidRPr="004E6650">
        <w:rPr>
          <w:rFonts w:ascii="Arial" w:hAnsi="Arial" w:cs="Arial"/>
          <w:sz w:val="22"/>
          <w:szCs w:val="22"/>
        </w:rPr>
        <w:t xml:space="preserve"> </w:t>
      </w:r>
      <w:r w:rsidRPr="004E6650">
        <w:rPr>
          <w:rFonts w:ascii="Arial" w:hAnsi="Arial" w:cs="Arial"/>
          <w:sz w:val="22"/>
          <w:szCs w:val="22"/>
        </w:rPr>
        <w:t xml:space="preserve">eura, dok je na kraju proračunske godine iznosio </w:t>
      </w:r>
      <w:r w:rsidR="00931C7F" w:rsidRPr="004E6650">
        <w:rPr>
          <w:rFonts w:ascii="Arial" w:hAnsi="Arial" w:cs="Arial"/>
          <w:sz w:val="22"/>
          <w:szCs w:val="22"/>
        </w:rPr>
        <w:t>781.265,11</w:t>
      </w:r>
      <w:r w:rsidR="00931C7F" w:rsidRPr="004E6650">
        <w:rPr>
          <w:rFonts w:ascii="Arial" w:hAnsi="Arial" w:cs="Arial"/>
          <w:b/>
          <w:bCs/>
          <w:sz w:val="16"/>
          <w:szCs w:val="16"/>
        </w:rPr>
        <w:t xml:space="preserve"> </w:t>
      </w:r>
      <w:r w:rsidRPr="004E6650">
        <w:rPr>
          <w:rFonts w:ascii="Arial" w:hAnsi="Arial" w:cs="Arial"/>
          <w:sz w:val="22"/>
          <w:szCs w:val="22"/>
        </w:rPr>
        <w:t>eura.</w:t>
      </w:r>
    </w:p>
    <w:p w14:paraId="25897A54" w14:textId="77777777" w:rsidR="00DF6E08" w:rsidRDefault="00DF6E08" w:rsidP="00FE65ED">
      <w:pPr>
        <w:spacing w:line="360" w:lineRule="auto"/>
        <w:jc w:val="both"/>
        <w:rPr>
          <w:rFonts w:ascii="Arial" w:hAnsi="Arial" w:cs="Arial"/>
          <w:b/>
          <w:bCs/>
          <w:color w:val="548DD4" w:themeColor="text2" w:themeTint="99"/>
          <w:sz w:val="16"/>
          <w:szCs w:val="16"/>
        </w:rPr>
      </w:pPr>
    </w:p>
    <w:p w14:paraId="4395197E" w14:textId="77777777" w:rsidR="004E6650" w:rsidRDefault="004E6650" w:rsidP="00FE65ED">
      <w:pPr>
        <w:spacing w:line="360" w:lineRule="auto"/>
        <w:jc w:val="both"/>
        <w:rPr>
          <w:rFonts w:ascii="Arial" w:hAnsi="Arial" w:cs="Arial"/>
          <w:b/>
          <w:bCs/>
          <w:color w:val="548DD4" w:themeColor="text2" w:themeTint="99"/>
          <w:sz w:val="16"/>
          <w:szCs w:val="16"/>
        </w:rPr>
      </w:pPr>
    </w:p>
    <w:p w14:paraId="776E57A2" w14:textId="77777777" w:rsidR="004E6650" w:rsidRDefault="004E6650" w:rsidP="00FE65ED">
      <w:pPr>
        <w:spacing w:line="360" w:lineRule="auto"/>
        <w:jc w:val="both"/>
        <w:rPr>
          <w:rFonts w:ascii="Arial" w:hAnsi="Arial" w:cs="Arial"/>
          <w:b/>
          <w:bCs/>
          <w:color w:val="548DD4" w:themeColor="text2" w:themeTint="99"/>
          <w:sz w:val="16"/>
          <w:szCs w:val="16"/>
        </w:rPr>
      </w:pPr>
    </w:p>
    <w:p w14:paraId="23E75182" w14:textId="77777777" w:rsidR="004E6650" w:rsidRDefault="004E6650" w:rsidP="00FE65ED">
      <w:pPr>
        <w:spacing w:line="360" w:lineRule="auto"/>
        <w:jc w:val="both"/>
        <w:rPr>
          <w:rFonts w:ascii="Arial" w:hAnsi="Arial" w:cs="Arial"/>
          <w:b/>
          <w:bCs/>
          <w:color w:val="548DD4" w:themeColor="text2" w:themeTint="99"/>
          <w:sz w:val="16"/>
          <w:szCs w:val="16"/>
        </w:rPr>
      </w:pPr>
    </w:p>
    <w:p w14:paraId="271A4BE5" w14:textId="77777777" w:rsidR="004E6650" w:rsidRDefault="004E6650" w:rsidP="00FE65ED">
      <w:pPr>
        <w:spacing w:line="360" w:lineRule="auto"/>
        <w:jc w:val="both"/>
        <w:rPr>
          <w:rFonts w:ascii="Arial" w:hAnsi="Arial" w:cs="Arial"/>
          <w:b/>
          <w:bCs/>
          <w:color w:val="548DD4" w:themeColor="text2" w:themeTint="99"/>
          <w:sz w:val="16"/>
          <w:szCs w:val="16"/>
        </w:rPr>
      </w:pPr>
    </w:p>
    <w:p w14:paraId="0B859E61" w14:textId="77777777" w:rsidR="004E6650" w:rsidRPr="00DF6E08" w:rsidRDefault="004E6650" w:rsidP="00FE65ED">
      <w:pPr>
        <w:spacing w:line="360" w:lineRule="auto"/>
        <w:jc w:val="both"/>
        <w:rPr>
          <w:rFonts w:ascii="Arial" w:hAnsi="Arial" w:cs="Arial"/>
          <w:b/>
          <w:bCs/>
          <w:color w:val="548DD4" w:themeColor="text2" w:themeTint="99"/>
          <w:sz w:val="16"/>
          <w:szCs w:val="16"/>
        </w:rPr>
      </w:pPr>
    </w:p>
    <w:p w14:paraId="5E25E2E6" w14:textId="4F588384" w:rsidR="00AC35FA" w:rsidRPr="00931C7F" w:rsidRDefault="00E90ED9" w:rsidP="00D91103">
      <w:pPr>
        <w:spacing w:line="276" w:lineRule="auto"/>
        <w:jc w:val="both"/>
        <w:rPr>
          <w:rFonts w:ascii="Arial" w:hAnsi="Arial" w:cs="Arial"/>
          <w:color w:val="1F497D" w:themeColor="text2"/>
          <w:sz w:val="22"/>
        </w:rPr>
      </w:pPr>
      <w:r w:rsidRPr="00931C7F">
        <w:rPr>
          <w:rFonts w:ascii="Arial" w:hAnsi="Arial" w:cs="Arial"/>
          <w:color w:val="1F497D" w:themeColor="text2"/>
          <w:sz w:val="22"/>
        </w:rPr>
        <w:lastRenderedPageBreak/>
        <w:t xml:space="preserve"> </w:t>
      </w:r>
    </w:p>
    <w:p w14:paraId="7F3DE5E0" w14:textId="5D340CF3" w:rsidR="0064476E" w:rsidRDefault="00C51651" w:rsidP="00435032">
      <w:pPr>
        <w:jc w:val="both"/>
        <w:rPr>
          <w:rFonts w:ascii="Arial" w:hAnsi="Arial" w:cs="Arial"/>
          <w:b/>
        </w:rPr>
      </w:pPr>
      <w:r w:rsidRPr="004F3556">
        <w:rPr>
          <w:rFonts w:ascii="Arial" w:hAnsi="Arial" w:cs="Arial"/>
          <w:b/>
        </w:rPr>
        <w:t>Račun financiranja</w:t>
      </w:r>
      <w:r w:rsidR="00B01A2D" w:rsidRPr="004F3556">
        <w:rPr>
          <w:rFonts w:ascii="Arial" w:hAnsi="Arial" w:cs="Arial"/>
          <w:b/>
        </w:rPr>
        <w:t xml:space="preserve"> – Izvještaj o zaduživanju</w:t>
      </w:r>
    </w:p>
    <w:p w14:paraId="2264AD20" w14:textId="77777777" w:rsidR="004E6650" w:rsidRDefault="004E6650" w:rsidP="00435032">
      <w:pPr>
        <w:jc w:val="both"/>
        <w:rPr>
          <w:rFonts w:ascii="Arial" w:hAnsi="Arial" w:cs="Arial"/>
          <w:b/>
        </w:rPr>
      </w:pPr>
    </w:p>
    <w:tbl>
      <w:tblPr>
        <w:tblW w:w="10486" w:type="dxa"/>
        <w:jc w:val="center"/>
        <w:tblLook w:val="04A0" w:firstRow="1" w:lastRow="0" w:firstColumn="1" w:lastColumn="0" w:noHBand="0" w:noVBand="1"/>
      </w:tblPr>
      <w:tblGrid>
        <w:gridCol w:w="772"/>
        <w:gridCol w:w="4326"/>
        <w:gridCol w:w="1224"/>
        <w:gridCol w:w="1470"/>
        <w:gridCol w:w="1417"/>
        <w:gridCol w:w="903"/>
        <w:gridCol w:w="236"/>
        <w:gridCol w:w="138"/>
      </w:tblGrid>
      <w:tr w:rsidR="004E6650" w:rsidRPr="004E6650" w14:paraId="132D1260" w14:textId="77777777" w:rsidTr="004E6650">
        <w:trPr>
          <w:gridAfter w:val="2"/>
          <w:wAfter w:w="375" w:type="dxa"/>
          <w:trHeight w:val="517"/>
          <w:jc w:val="center"/>
        </w:trPr>
        <w:tc>
          <w:tcPr>
            <w:tcW w:w="772"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83AD91F" w14:textId="77777777" w:rsidR="000872A6" w:rsidRPr="004E6650" w:rsidRDefault="000872A6">
            <w:pPr>
              <w:jc w:val="center"/>
              <w:rPr>
                <w:rFonts w:ascii="Calibri" w:hAnsi="Calibri" w:cs="Calibri"/>
                <w:b/>
                <w:bCs/>
                <w:sz w:val="18"/>
                <w:szCs w:val="18"/>
              </w:rPr>
            </w:pPr>
            <w:r w:rsidRPr="004E6650">
              <w:rPr>
                <w:rFonts w:ascii="Calibri" w:hAnsi="Calibri" w:cs="Calibri"/>
                <w:b/>
                <w:bCs/>
                <w:sz w:val="18"/>
                <w:szCs w:val="18"/>
              </w:rPr>
              <w:t>KLASA/ KONTO</w:t>
            </w:r>
          </w:p>
        </w:tc>
        <w:tc>
          <w:tcPr>
            <w:tcW w:w="4326"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4A86D21" w14:textId="77777777" w:rsidR="000872A6" w:rsidRPr="004E6650" w:rsidRDefault="000872A6">
            <w:pPr>
              <w:jc w:val="center"/>
              <w:rPr>
                <w:rFonts w:ascii="Calibri" w:hAnsi="Calibri" w:cs="Calibri"/>
                <w:b/>
                <w:bCs/>
                <w:sz w:val="20"/>
                <w:szCs w:val="20"/>
              </w:rPr>
            </w:pPr>
            <w:r w:rsidRPr="004E6650">
              <w:rPr>
                <w:rFonts w:ascii="Calibri" w:hAnsi="Calibri" w:cs="Calibri"/>
                <w:b/>
                <w:bCs/>
                <w:sz w:val="20"/>
                <w:szCs w:val="20"/>
              </w:rPr>
              <w:t>PRIHODI / RASHODI TEKUĆA GODINA</w:t>
            </w:r>
          </w:p>
        </w:tc>
        <w:tc>
          <w:tcPr>
            <w:tcW w:w="1224"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C6F4FEC" w14:textId="77777777" w:rsidR="000872A6" w:rsidRPr="004E6650" w:rsidRDefault="000872A6">
            <w:pPr>
              <w:jc w:val="center"/>
              <w:rPr>
                <w:rFonts w:ascii="Arial" w:hAnsi="Arial" w:cs="Arial"/>
                <w:b/>
                <w:bCs/>
                <w:sz w:val="20"/>
                <w:szCs w:val="20"/>
              </w:rPr>
            </w:pPr>
            <w:r w:rsidRPr="004E6650">
              <w:rPr>
                <w:rFonts w:ascii="Arial" w:hAnsi="Arial" w:cs="Arial"/>
                <w:b/>
                <w:bCs/>
                <w:sz w:val="20"/>
                <w:szCs w:val="20"/>
              </w:rPr>
              <w:t>Izvršenje  2024.</w:t>
            </w:r>
          </w:p>
        </w:tc>
        <w:tc>
          <w:tcPr>
            <w:tcW w:w="147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559EEC6" w14:textId="77777777" w:rsidR="000872A6" w:rsidRPr="004E6650" w:rsidRDefault="000872A6">
            <w:pPr>
              <w:jc w:val="center"/>
              <w:rPr>
                <w:rFonts w:ascii="Arial" w:hAnsi="Arial" w:cs="Arial"/>
                <w:b/>
                <w:bCs/>
                <w:sz w:val="20"/>
                <w:szCs w:val="20"/>
              </w:rPr>
            </w:pPr>
            <w:r w:rsidRPr="004E6650">
              <w:rPr>
                <w:rFonts w:ascii="Arial" w:hAnsi="Arial" w:cs="Arial"/>
                <w:b/>
                <w:bCs/>
                <w:sz w:val="20"/>
                <w:szCs w:val="20"/>
              </w:rPr>
              <w:t>Financijski plan 2025. g.</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629D3D5" w14:textId="77777777" w:rsidR="000872A6" w:rsidRPr="004E6650" w:rsidRDefault="000872A6">
            <w:pPr>
              <w:jc w:val="center"/>
              <w:rPr>
                <w:rFonts w:ascii="Arial" w:hAnsi="Arial" w:cs="Arial"/>
                <w:b/>
                <w:bCs/>
                <w:sz w:val="20"/>
                <w:szCs w:val="20"/>
              </w:rPr>
            </w:pPr>
            <w:r w:rsidRPr="004E6650">
              <w:rPr>
                <w:rFonts w:ascii="Arial" w:hAnsi="Arial" w:cs="Arial"/>
                <w:b/>
                <w:bCs/>
                <w:sz w:val="20"/>
                <w:szCs w:val="20"/>
              </w:rPr>
              <w:t>Izvršenje  01.-12.2025.</w:t>
            </w:r>
          </w:p>
        </w:tc>
        <w:tc>
          <w:tcPr>
            <w:tcW w:w="902"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40C33D3" w14:textId="77777777" w:rsidR="000872A6" w:rsidRPr="004E6650" w:rsidRDefault="000872A6">
            <w:pPr>
              <w:jc w:val="center"/>
              <w:rPr>
                <w:rFonts w:ascii="Arial" w:hAnsi="Arial" w:cs="Arial"/>
                <w:b/>
                <w:bCs/>
                <w:sz w:val="16"/>
                <w:szCs w:val="16"/>
              </w:rPr>
            </w:pPr>
            <w:r w:rsidRPr="004E6650">
              <w:rPr>
                <w:rFonts w:ascii="Arial" w:hAnsi="Arial" w:cs="Arial"/>
                <w:b/>
                <w:bCs/>
                <w:sz w:val="16"/>
                <w:szCs w:val="16"/>
              </w:rPr>
              <w:t>Indeks Plan / izvršenje</w:t>
            </w:r>
          </w:p>
        </w:tc>
      </w:tr>
      <w:tr w:rsidR="004E6650" w:rsidRPr="004E6650" w14:paraId="51BA6301" w14:textId="77777777" w:rsidTr="004E6650">
        <w:trPr>
          <w:gridAfter w:val="1"/>
          <w:wAfter w:w="139" w:type="dxa"/>
          <w:trHeight w:val="183"/>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14:paraId="4326B5EE" w14:textId="77777777" w:rsidR="000872A6" w:rsidRPr="004E6650" w:rsidRDefault="000872A6">
            <w:pPr>
              <w:rPr>
                <w:rFonts w:ascii="Calibri" w:hAnsi="Calibri" w:cs="Calibri"/>
                <w:b/>
                <w:bCs/>
                <w:sz w:val="18"/>
                <w:szCs w:val="18"/>
              </w:rPr>
            </w:pPr>
          </w:p>
        </w:tc>
        <w:tc>
          <w:tcPr>
            <w:tcW w:w="4326" w:type="dxa"/>
            <w:vMerge/>
            <w:tcBorders>
              <w:top w:val="single" w:sz="4" w:space="0" w:color="auto"/>
              <w:left w:val="single" w:sz="4" w:space="0" w:color="auto"/>
              <w:bottom w:val="single" w:sz="4" w:space="0" w:color="auto"/>
              <w:right w:val="single" w:sz="4" w:space="0" w:color="auto"/>
            </w:tcBorders>
            <w:vAlign w:val="center"/>
            <w:hideMark/>
          </w:tcPr>
          <w:p w14:paraId="3F1E491F" w14:textId="77777777" w:rsidR="000872A6" w:rsidRPr="004E6650" w:rsidRDefault="000872A6">
            <w:pPr>
              <w:rPr>
                <w:rFonts w:ascii="Calibri" w:hAnsi="Calibri" w:cs="Calibri"/>
                <w:b/>
                <w:bCs/>
                <w:sz w:val="20"/>
                <w:szCs w:val="20"/>
              </w:rPr>
            </w:pPr>
          </w:p>
        </w:tc>
        <w:tc>
          <w:tcPr>
            <w:tcW w:w="1224" w:type="dxa"/>
            <w:vMerge/>
            <w:tcBorders>
              <w:top w:val="single" w:sz="4" w:space="0" w:color="auto"/>
              <w:left w:val="single" w:sz="4" w:space="0" w:color="auto"/>
              <w:bottom w:val="single" w:sz="4" w:space="0" w:color="auto"/>
              <w:right w:val="single" w:sz="4" w:space="0" w:color="auto"/>
            </w:tcBorders>
            <w:vAlign w:val="center"/>
            <w:hideMark/>
          </w:tcPr>
          <w:p w14:paraId="07E8060D" w14:textId="77777777" w:rsidR="000872A6" w:rsidRPr="004E6650" w:rsidRDefault="000872A6">
            <w:pPr>
              <w:rPr>
                <w:rFonts w:ascii="Arial" w:hAnsi="Arial" w:cs="Arial"/>
                <w:b/>
                <w:bCs/>
                <w:sz w:val="20"/>
                <w:szCs w:val="20"/>
              </w:rPr>
            </w:pPr>
          </w:p>
        </w:tc>
        <w:tc>
          <w:tcPr>
            <w:tcW w:w="1470" w:type="dxa"/>
            <w:vMerge/>
            <w:tcBorders>
              <w:top w:val="single" w:sz="4" w:space="0" w:color="auto"/>
              <w:left w:val="single" w:sz="4" w:space="0" w:color="auto"/>
              <w:bottom w:val="single" w:sz="4" w:space="0" w:color="auto"/>
              <w:right w:val="single" w:sz="4" w:space="0" w:color="auto"/>
            </w:tcBorders>
            <w:vAlign w:val="center"/>
            <w:hideMark/>
          </w:tcPr>
          <w:p w14:paraId="6B3CE7C1" w14:textId="77777777" w:rsidR="000872A6" w:rsidRPr="004E6650" w:rsidRDefault="000872A6">
            <w:pPr>
              <w:rPr>
                <w:rFonts w:ascii="Arial" w:hAnsi="Arial" w:cs="Arial"/>
                <w:b/>
                <w:bCs/>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A93B873" w14:textId="77777777" w:rsidR="000872A6" w:rsidRPr="004E6650" w:rsidRDefault="000872A6">
            <w:pPr>
              <w:rPr>
                <w:rFonts w:ascii="Arial" w:hAnsi="Arial" w:cs="Arial"/>
                <w:b/>
                <w:bCs/>
                <w:sz w:val="18"/>
                <w:szCs w:val="18"/>
              </w:rPr>
            </w:pPr>
          </w:p>
        </w:tc>
        <w:tc>
          <w:tcPr>
            <w:tcW w:w="902" w:type="dxa"/>
            <w:vMerge/>
            <w:tcBorders>
              <w:top w:val="single" w:sz="4" w:space="0" w:color="auto"/>
              <w:left w:val="single" w:sz="4" w:space="0" w:color="auto"/>
              <w:bottom w:val="single" w:sz="4" w:space="0" w:color="auto"/>
              <w:right w:val="single" w:sz="4" w:space="0" w:color="auto"/>
            </w:tcBorders>
            <w:vAlign w:val="center"/>
            <w:hideMark/>
          </w:tcPr>
          <w:p w14:paraId="1AFEDD64" w14:textId="77777777" w:rsidR="000872A6" w:rsidRPr="004E6650" w:rsidRDefault="000872A6">
            <w:pPr>
              <w:rPr>
                <w:rFonts w:ascii="Arial" w:hAnsi="Arial" w:cs="Arial"/>
                <w:b/>
                <w:bCs/>
                <w:sz w:val="16"/>
                <w:szCs w:val="16"/>
              </w:rPr>
            </w:pPr>
          </w:p>
        </w:tc>
        <w:tc>
          <w:tcPr>
            <w:tcW w:w="236" w:type="dxa"/>
            <w:tcBorders>
              <w:top w:val="nil"/>
              <w:left w:val="nil"/>
              <w:bottom w:val="nil"/>
              <w:right w:val="nil"/>
            </w:tcBorders>
            <w:noWrap/>
            <w:vAlign w:val="bottom"/>
            <w:hideMark/>
          </w:tcPr>
          <w:p w14:paraId="3E800E89" w14:textId="77777777" w:rsidR="000872A6" w:rsidRPr="004E6650" w:rsidRDefault="000872A6">
            <w:pPr>
              <w:jc w:val="center"/>
              <w:rPr>
                <w:rFonts w:ascii="Arial" w:hAnsi="Arial" w:cs="Arial"/>
                <w:b/>
                <w:bCs/>
                <w:sz w:val="16"/>
                <w:szCs w:val="16"/>
              </w:rPr>
            </w:pPr>
          </w:p>
        </w:tc>
      </w:tr>
      <w:tr w:rsidR="004E6650" w:rsidRPr="004E6650" w14:paraId="7E842379" w14:textId="77777777" w:rsidTr="004E6650">
        <w:trPr>
          <w:gridAfter w:val="1"/>
          <w:wAfter w:w="139" w:type="dxa"/>
          <w:trHeight w:val="169"/>
          <w:jc w:val="center"/>
        </w:trPr>
        <w:tc>
          <w:tcPr>
            <w:tcW w:w="772" w:type="dxa"/>
            <w:tcBorders>
              <w:top w:val="nil"/>
              <w:left w:val="single" w:sz="4" w:space="0" w:color="auto"/>
              <w:bottom w:val="single" w:sz="4" w:space="0" w:color="auto"/>
              <w:right w:val="single" w:sz="4" w:space="0" w:color="auto"/>
            </w:tcBorders>
            <w:noWrap/>
            <w:vAlign w:val="center"/>
            <w:hideMark/>
          </w:tcPr>
          <w:p w14:paraId="7674F0E8" w14:textId="77777777" w:rsidR="000872A6" w:rsidRPr="004E6650" w:rsidRDefault="000872A6">
            <w:pPr>
              <w:jc w:val="center"/>
              <w:rPr>
                <w:rFonts w:ascii="Calibri" w:hAnsi="Calibri" w:cs="Calibri"/>
                <w:b/>
                <w:bCs/>
                <w:sz w:val="22"/>
                <w:szCs w:val="22"/>
              </w:rPr>
            </w:pPr>
            <w:r w:rsidRPr="004E6650">
              <w:rPr>
                <w:rFonts w:ascii="Calibri" w:hAnsi="Calibri" w:cs="Calibri"/>
                <w:b/>
                <w:bCs/>
                <w:sz w:val="22"/>
                <w:szCs w:val="22"/>
              </w:rPr>
              <w:t>8</w:t>
            </w:r>
          </w:p>
        </w:tc>
        <w:tc>
          <w:tcPr>
            <w:tcW w:w="4326" w:type="dxa"/>
            <w:tcBorders>
              <w:top w:val="nil"/>
              <w:left w:val="nil"/>
              <w:bottom w:val="single" w:sz="4" w:space="0" w:color="auto"/>
              <w:right w:val="single" w:sz="4" w:space="0" w:color="auto"/>
            </w:tcBorders>
            <w:vAlign w:val="center"/>
            <w:hideMark/>
          </w:tcPr>
          <w:p w14:paraId="7F4AE26C" w14:textId="77777777" w:rsidR="000872A6" w:rsidRPr="004E6650" w:rsidRDefault="000872A6">
            <w:pPr>
              <w:rPr>
                <w:rFonts w:ascii="Calibri" w:hAnsi="Calibri" w:cs="Calibri"/>
                <w:b/>
                <w:bCs/>
                <w:sz w:val="22"/>
                <w:szCs w:val="22"/>
              </w:rPr>
            </w:pPr>
            <w:r w:rsidRPr="004E6650">
              <w:rPr>
                <w:rFonts w:ascii="Calibri" w:hAnsi="Calibri" w:cs="Calibri"/>
                <w:b/>
                <w:bCs/>
                <w:sz w:val="22"/>
                <w:szCs w:val="22"/>
              </w:rPr>
              <w:t>Prihodi od financijske imovine i zaduživanja</w:t>
            </w:r>
          </w:p>
        </w:tc>
        <w:tc>
          <w:tcPr>
            <w:tcW w:w="1224" w:type="dxa"/>
            <w:tcBorders>
              <w:top w:val="nil"/>
              <w:left w:val="nil"/>
              <w:bottom w:val="single" w:sz="4" w:space="0" w:color="auto"/>
              <w:right w:val="single" w:sz="4" w:space="0" w:color="auto"/>
            </w:tcBorders>
            <w:noWrap/>
            <w:vAlign w:val="center"/>
            <w:hideMark/>
          </w:tcPr>
          <w:p w14:paraId="76DD4A08" w14:textId="77777777" w:rsidR="000872A6" w:rsidRPr="004E6650" w:rsidRDefault="000872A6">
            <w:pPr>
              <w:jc w:val="right"/>
              <w:rPr>
                <w:rFonts w:ascii="Calibri" w:hAnsi="Calibri" w:cs="Calibri"/>
                <w:b/>
                <w:bCs/>
                <w:sz w:val="22"/>
                <w:szCs w:val="22"/>
              </w:rPr>
            </w:pPr>
            <w:r w:rsidRPr="004E6650">
              <w:rPr>
                <w:rFonts w:ascii="Calibri" w:hAnsi="Calibri" w:cs="Calibri"/>
                <w:b/>
                <w:bCs/>
                <w:sz w:val="22"/>
                <w:szCs w:val="22"/>
              </w:rPr>
              <w:t>0</w:t>
            </w:r>
          </w:p>
        </w:tc>
        <w:tc>
          <w:tcPr>
            <w:tcW w:w="1470" w:type="dxa"/>
            <w:tcBorders>
              <w:top w:val="nil"/>
              <w:left w:val="nil"/>
              <w:bottom w:val="single" w:sz="4" w:space="0" w:color="auto"/>
              <w:right w:val="single" w:sz="4" w:space="0" w:color="auto"/>
            </w:tcBorders>
            <w:noWrap/>
            <w:vAlign w:val="center"/>
            <w:hideMark/>
          </w:tcPr>
          <w:p w14:paraId="226E1E67" w14:textId="77777777" w:rsidR="000872A6" w:rsidRPr="004E6650" w:rsidRDefault="000872A6">
            <w:pPr>
              <w:jc w:val="right"/>
              <w:rPr>
                <w:rFonts w:ascii="Calibri" w:hAnsi="Calibri" w:cs="Calibri"/>
                <w:b/>
                <w:bCs/>
                <w:sz w:val="22"/>
                <w:szCs w:val="22"/>
              </w:rPr>
            </w:pPr>
            <w:r w:rsidRPr="004E6650">
              <w:rPr>
                <w:rFonts w:ascii="Calibri" w:hAnsi="Calibri" w:cs="Calibri"/>
                <w:b/>
                <w:bCs/>
                <w:sz w:val="22"/>
                <w:szCs w:val="22"/>
              </w:rPr>
              <w:t>0</w:t>
            </w:r>
          </w:p>
        </w:tc>
        <w:tc>
          <w:tcPr>
            <w:tcW w:w="1417" w:type="dxa"/>
            <w:tcBorders>
              <w:top w:val="nil"/>
              <w:left w:val="nil"/>
              <w:bottom w:val="single" w:sz="4" w:space="0" w:color="auto"/>
              <w:right w:val="single" w:sz="4" w:space="0" w:color="auto"/>
            </w:tcBorders>
            <w:noWrap/>
            <w:vAlign w:val="center"/>
            <w:hideMark/>
          </w:tcPr>
          <w:p w14:paraId="759114E1" w14:textId="77777777" w:rsidR="000872A6" w:rsidRPr="004E6650" w:rsidRDefault="000872A6">
            <w:pPr>
              <w:jc w:val="right"/>
              <w:rPr>
                <w:rFonts w:ascii="Calibri" w:hAnsi="Calibri" w:cs="Calibri"/>
                <w:b/>
                <w:bCs/>
                <w:sz w:val="22"/>
                <w:szCs w:val="22"/>
              </w:rPr>
            </w:pPr>
            <w:r w:rsidRPr="004E6650">
              <w:rPr>
                <w:rFonts w:ascii="Calibri" w:hAnsi="Calibri" w:cs="Calibri"/>
                <w:b/>
                <w:bCs/>
                <w:sz w:val="22"/>
                <w:szCs w:val="22"/>
              </w:rPr>
              <w:t>0</w:t>
            </w:r>
          </w:p>
        </w:tc>
        <w:tc>
          <w:tcPr>
            <w:tcW w:w="902" w:type="dxa"/>
            <w:tcBorders>
              <w:top w:val="nil"/>
              <w:left w:val="nil"/>
              <w:bottom w:val="single" w:sz="4" w:space="0" w:color="auto"/>
              <w:right w:val="single" w:sz="4" w:space="0" w:color="auto"/>
            </w:tcBorders>
            <w:noWrap/>
            <w:vAlign w:val="center"/>
            <w:hideMark/>
          </w:tcPr>
          <w:p w14:paraId="4022C855" w14:textId="77777777" w:rsidR="000872A6" w:rsidRPr="004E6650" w:rsidRDefault="000872A6">
            <w:pPr>
              <w:jc w:val="right"/>
              <w:rPr>
                <w:rFonts w:ascii="Calibri" w:hAnsi="Calibri" w:cs="Calibri"/>
                <w:b/>
                <w:bCs/>
                <w:sz w:val="22"/>
                <w:szCs w:val="22"/>
              </w:rPr>
            </w:pPr>
            <w:r w:rsidRPr="004E6650">
              <w:rPr>
                <w:rFonts w:ascii="Calibri" w:hAnsi="Calibri" w:cs="Calibri"/>
                <w:b/>
                <w:bCs/>
                <w:sz w:val="22"/>
                <w:szCs w:val="22"/>
              </w:rPr>
              <w:t>0</w:t>
            </w:r>
          </w:p>
        </w:tc>
        <w:tc>
          <w:tcPr>
            <w:tcW w:w="236" w:type="dxa"/>
            <w:vAlign w:val="center"/>
            <w:hideMark/>
          </w:tcPr>
          <w:p w14:paraId="116C3043" w14:textId="77777777" w:rsidR="000872A6" w:rsidRPr="004E6650" w:rsidRDefault="000872A6">
            <w:pPr>
              <w:rPr>
                <w:sz w:val="20"/>
                <w:szCs w:val="20"/>
              </w:rPr>
            </w:pPr>
          </w:p>
        </w:tc>
      </w:tr>
      <w:tr w:rsidR="004E6650" w:rsidRPr="004E6650" w14:paraId="5AAD2CB3" w14:textId="77777777" w:rsidTr="004E6650">
        <w:trPr>
          <w:trHeight w:val="220"/>
          <w:jc w:val="center"/>
        </w:trPr>
        <w:tc>
          <w:tcPr>
            <w:tcW w:w="10112" w:type="dxa"/>
            <w:gridSpan w:val="6"/>
            <w:tcBorders>
              <w:top w:val="single" w:sz="4" w:space="0" w:color="auto"/>
              <w:left w:val="single" w:sz="4" w:space="0" w:color="auto"/>
              <w:bottom w:val="single" w:sz="4" w:space="0" w:color="auto"/>
              <w:right w:val="single" w:sz="4" w:space="0" w:color="auto"/>
            </w:tcBorders>
            <w:noWrap/>
            <w:vAlign w:val="bottom"/>
            <w:hideMark/>
          </w:tcPr>
          <w:p w14:paraId="2E51CE72" w14:textId="77777777" w:rsidR="009E2C84" w:rsidRPr="004E6650" w:rsidRDefault="009E2C84">
            <w:pPr>
              <w:jc w:val="center"/>
              <w:rPr>
                <w:rFonts w:ascii="Calibri" w:hAnsi="Calibri" w:cs="Calibri"/>
                <w:sz w:val="22"/>
                <w:szCs w:val="22"/>
              </w:rPr>
            </w:pPr>
            <w:r w:rsidRPr="004E6650">
              <w:rPr>
                <w:rFonts w:ascii="Calibri" w:hAnsi="Calibri" w:cs="Calibri"/>
                <w:sz w:val="22"/>
                <w:szCs w:val="22"/>
              </w:rPr>
              <w:t> </w:t>
            </w:r>
          </w:p>
        </w:tc>
        <w:tc>
          <w:tcPr>
            <w:tcW w:w="374" w:type="dxa"/>
            <w:gridSpan w:val="2"/>
            <w:vAlign w:val="center"/>
            <w:hideMark/>
          </w:tcPr>
          <w:p w14:paraId="1369BE10" w14:textId="77777777" w:rsidR="009E2C84" w:rsidRPr="004E6650" w:rsidRDefault="009E2C84">
            <w:pPr>
              <w:rPr>
                <w:sz w:val="20"/>
                <w:szCs w:val="20"/>
              </w:rPr>
            </w:pPr>
          </w:p>
        </w:tc>
      </w:tr>
      <w:tr w:rsidR="004E6650" w:rsidRPr="004E6650" w14:paraId="2C2C4397" w14:textId="77777777" w:rsidTr="004E6650">
        <w:trPr>
          <w:gridAfter w:val="1"/>
          <w:wAfter w:w="139" w:type="dxa"/>
          <w:trHeight w:val="319"/>
          <w:jc w:val="center"/>
        </w:trPr>
        <w:tc>
          <w:tcPr>
            <w:tcW w:w="772" w:type="dxa"/>
            <w:tcBorders>
              <w:top w:val="nil"/>
              <w:left w:val="single" w:sz="4" w:space="0" w:color="auto"/>
              <w:bottom w:val="single" w:sz="4" w:space="0" w:color="auto"/>
              <w:right w:val="single" w:sz="4" w:space="0" w:color="auto"/>
            </w:tcBorders>
            <w:noWrap/>
            <w:vAlign w:val="center"/>
            <w:hideMark/>
          </w:tcPr>
          <w:p w14:paraId="4098B468" w14:textId="77777777" w:rsidR="000872A6" w:rsidRPr="004E6650" w:rsidRDefault="000872A6">
            <w:pPr>
              <w:jc w:val="center"/>
              <w:rPr>
                <w:rFonts w:ascii="Calibri" w:hAnsi="Calibri" w:cs="Calibri"/>
                <w:b/>
                <w:bCs/>
                <w:sz w:val="22"/>
                <w:szCs w:val="22"/>
              </w:rPr>
            </w:pPr>
            <w:r w:rsidRPr="004E6650">
              <w:rPr>
                <w:rFonts w:ascii="Calibri" w:hAnsi="Calibri" w:cs="Calibri"/>
                <w:b/>
                <w:bCs/>
                <w:sz w:val="22"/>
                <w:szCs w:val="22"/>
              </w:rPr>
              <w:t>5</w:t>
            </w:r>
          </w:p>
        </w:tc>
        <w:tc>
          <w:tcPr>
            <w:tcW w:w="4326" w:type="dxa"/>
            <w:tcBorders>
              <w:top w:val="nil"/>
              <w:left w:val="nil"/>
              <w:bottom w:val="single" w:sz="4" w:space="0" w:color="auto"/>
              <w:right w:val="single" w:sz="4" w:space="0" w:color="auto"/>
            </w:tcBorders>
            <w:vAlign w:val="center"/>
            <w:hideMark/>
          </w:tcPr>
          <w:p w14:paraId="3D4DCA68" w14:textId="0579331A" w:rsidR="000872A6" w:rsidRPr="004E6650" w:rsidRDefault="000872A6" w:rsidP="000872A6">
            <w:pPr>
              <w:rPr>
                <w:rFonts w:ascii="Calibri" w:hAnsi="Calibri" w:cs="Calibri"/>
                <w:b/>
                <w:bCs/>
                <w:sz w:val="22"/>
                <w:szCs w:val="22"/>
              </w:rPr>
            </w:pPr>
            <w:r w:rsidRPr="004E6650">
              <w:rPr>
                <w:rFonts w:ascii="Calibri" w:hAnsi="Calibri" w:cs="Calibri"/>
                <w:b/>
                <w:bCs/>
                <w:sz w:val="22"/>
                <w:szCs w:val="22"/>
              </w:rPr>
              <w:t xml:space="preserve">Izdaci za </w:t>
            </w:r>
            <w:proofErr w:type="spellStart"/>
            <w:r w:rsidRPr="004E6650">
              <w:rPr>
                <w:rFonts w:ascii="Calibri" w:hAnsi="Calibri" w:cs="Calibri"/>
                <w:b/>
                <w:bCs/>
                <w:sz w:val="22"/>
                <w:szCs w:val="22"/>
              </w:rPr>
              <w:t>financ</w:t>
            </w:r>
            <w:proofErr w:type="spellEnd"/>
            <w:r w:rsidRPr="004E6650">
              <w:rPr>
                <w:rFonts w:ascii="Calibri" w:hAnsi="Calibri" w:cs="Calibri"/>
                <w:b/>
                <w:bCs/>
                <w:sz w:val="22"/>
                <w:szCs w:val="22"/>
              </w:rPr>
              <w:t>. imovinu i otplate zajmova</w:t>
            </w:r>
          </w:p>
        </w:tc>
        <w:tc>
          <w:tcPr>
            <w:tcW w:w="1224" w:type="dxa"/>
            <w:tcBorders>
              <w:top w:val="nil"/>
              <w:left w:val="nil"/>
              <w:bottom w:val="single" w:sz="4" w:space="0" w:color="auto"/>
              <w:right w:val="single" w:sz="4" w:space="0" w:color="auto"/>
            </w:tcBorders>
            <w:noWrap/>
            <w:vAlign w:val="center"/>
            <w:hideMark/>
          </w:tcPr>
          <w:p w14:paraId="6C5ABC57" w14:textId="77777777" w:rsidR="000872A6" w:rsidRPr="004E6650" w:rsidRDefault="000872A6">
            <w:pPr>
              <w:jc w:val="right"/>
              <w:rPr>
                <w:rFonts w:ascii="Calibri" w:hAnsi="Calibri" w:cs="Calibri"/>
                <w:b/>
                <w:bCs/>
                <w:sz w:val="22"/>
                <w:szCs w:val="22"/>
              </w:rPr>
            </w:pPr>
            <w:r w:rsidRPr="004E6650">
              <w:rPr>
                <w:rFonts w:ascii="Calibri" w:hAnsi="Calibri" w:cs="Calibri"/>
                <w:b/>
                <w:bCs/>
                <w:sz w:val="22"/>
                <w:szCs w:val="22"/>
              </w:rPr>
              <w:t>153.683,53</w:t>
            </w:r>
          </w:p>
        </w:tc>
        <w:tc>
          <w:tcPr>
            <w:tcW w:w="1470" w:type="dxa"/>
            <w:tcBorders>
              <w:top w:val="nil"/>
              <w:left w:val="nil"/>
              <w:bottom w:val="single" w:sz="4" w:space="0" w:color="auto"/>
              <w:right w:val="single" w:sz="4" w:space="0" w:color="auto"/>
            </w:tcBorders>
            <w:noWrap/>
            <w:vAlign w:val="center"/>
            <w:hideMark/>
          </w:tcPr>
          <w:p w14:paraId="6FF83729" w14:textId="77777777" w:rsidR="000872A6" w:rsidRPr="004E6650" w:rsidRDefault="000872A6">
            <w:pPr>
              <w:jc w:val="right"/>
              <w:rPr>
                <w:rFonts w:ascii="Calibri" w:hAnsi="Calibri" w:cs="Calibri"/>
                <w:b/>
                <w:bCs/>
                <w:sz w:val="22"/>
                <w:szCs w:val="22"/>
              </w:rPr>
            </w:pPr>
            <w:r w:rsidRPr="004E6650">
              <w:rPr>
                <w:rFonts w:ascii="Calibri" w:hAnsi="Calibri" w:cs="Calibri"/>
                <w:b/>
                <w:bCs/>
                <w:sz w:val="22"/>
                <w:szCs w:val="22"/>
              </w:rPr>
              <w:t>153.550,00</w:t>
            </w:r>
          </w:p>
        </w:tc>
        <w:tc>
          <w:tcPr>
            <w:tcW w:w="1417" w:type="dxa"/>
            <w:tcBorders>
              <w:top w:val="nil"/>
              <w:left w:val="nil"/>
              <w:bottom w:val="single" w:sz="4" w:space="0" w:color="auto"/>
              <w:right w:val="single" w:sz="4" w:space="0" w:color="auto"/>
            </w:tcBorders>
            <w:noWrap/>
            <w:vAlign w:val="center"/>
            <w:hideMark/>
          </w:tcPr>
          <w:p w14:paraId="20690CEB" w14:textId="77777777" w:rsidR="000872A6" w:rsidRPr="004E6650" w:rsidRDefault="000872A6">
            <w:pPr>
              <w:jc w:val="right"/>
              <w:rPr>
                <w:rFonts w:ascii="Calibri" w:hAnsi="Calibri" w:cs="Calibri"/>
                <w:b/>
                <w:bCs/>
                <w:sz w:val="22"/>
                <w:szCs w:val="22"/>
              </w:rPr>
            </w:pPr>
            <w:r w:rsidRPr="004E6650">
              <w:rPr>
                <w:rFonts w:ascii="Calibri" w:hAnsi="Calibri" w:cs="Calibri"/>
                <w:b/>
                <w:bCs/>
                <w:sz w:val="22"/>
                <w:szCs w:val="22"/>
              </w:rPr>
              <w:t>153.533,63</w:t>
            </w:r>
          </w:p>
        </w:tc>
        <w:tc>
          <w:tcPr>
            <w:tcW w:w="902" w:type="dxa"/>
            <w:tcBorders>
              <w:top w:val="nil"/>
              <w:left w:val="nil"/>
              <w:bottom w:val="single" w:sz="4" w:space="0" w:color="auto"/>
              <w:right w:val="single" w:sz="4" w:space="0" w:color="auto"/>
            </w:tcBorders>
            <w:noWrap/>
            <w:vAlign w:val="center"/>
            <w:hideMark/>
          </w:tcPr>
          <w:p w14:paraId="0E51315E" w14:textId="77777777" w:rsidR="000872A6" w:rsidRPr="004E6650" w:rsidRDefault="000872A6">
            <w:pPr>
              <w:jc w:val="right"/>
              <w:rPr>
                <w:rFonts w:ascii="Calibri" w:hAnsi="Calibri" w:cs="Calibri"/>
                <w:b/>
                <w:bCs/>
                <w:sz w:val="22"/>
                <w:szCs w:val="22"/>
              </w:rPr>
            </w:pPr>
            <w:r w:rsidRPr="004E6650">
              <w:rPr>
                <w:rFonts w:ascii="Calibri" w:hAnsi="Calibri" w:cs="Calibri"/>
                <w:b/>
                <w:bCs/>
                <w:sz w:val="22"/>
                <w:szCs w:val="22"/>
              </w:rPr>
              <w:t>100%</w:t>
            </w:r>
          </w:p>
        </w:tc>
        <w:tc>
          <w:tcPr>
            <w:tcW w:w="236" w:type="dxa"/>
            <w:vAlign w:val="center"/>
            <w:hideMark/>
          </w:tcPr>
          <w:p w14:paraId="5BDF9A38" w14:textId="77777777" w:rsidR="000872A6" w:rsidRPr="004E6650" w:rsidRDefault="000872A6">
            <w:pPr>
              <w:rPr>
                <w:sz w:val="20"/>
                <w:szCs w:val="20"/>
              </w:rPr>
            </w:pPr>
          </w:p>
        </w:tc>
      </w:tr>
      <w:tr w:rsidR="004E6650" w:rsidRPr="004E6650" w14:paraId="7D34517E" w14:textId="77777777" w:rsidTr="004E6650">
        <w:trPr>
          <w:gridAfter w:val="1"/>
          <w:wAfter w:w="139" w:type="dxa"/>
          <w:trHeight w:val="380"/>
          <w:jc w:val="center"/>
        </w:trPr>
        <w:tc>
          <w:tcPr>
            <w:tcW w:w="772" w:type="dxa"/>
            <w:tcBorders>
              <w:top w:val="nil"/>
              <w:left w:val="single" w:sz="4" w:space="0" w:color="auto"/>
              <w:bottom w:val="single" w:sz="4" w:space="0" w:color="auto"/>
              <w:right w:val="single" w:sz="4" w:space="0" w:color="auto"/>
            </w:tcBorders>
            <w:noWrap/>
            <w:vAlign w:val="center"/>
            <w:hideMark/>
          </w:tcPr>
          <w:p w14:paraId="3929CB40" w14:textId="77777777" w:rsidR="000872A6" w:rsidRPr="004E6650" w:rsidRDefault="000872A6">
            <w:pPr>
              <w:jc w:val="center"/>
              <w:rPr>
                <w:rFonts w:ascii="Calibri" w:hAnsi="Calibri" w:cs="Calibri"/>
                <w:sz w:val="22"/>
                <w:szCs w:val="22"/>
              </w:rPr>
            </w:pPr>
            <w:r w:rsidRPr="004E6650">
              <w:rPr>
                <w:rFonts w:ascii="Calibri" w:hAnsi="Calibri" w:cs="Calibri"/>
                <w:sz w:val="22"/>
                <w:szCs w:val="22"/>
              </w:rPr>
              <w:t>5443</w:t>
            </w:r>
          </w:p>
        </w:tc>
        <w:tc>
          <w:tcPr>
            <w:tcW w:w="4326" w:type="dxa"/>
            <w:tcBorders>
              <w:top w:val="nil"/>
              <w:left w:val="nil"/>
              <w:bottom w:val="single" w:sz="4" w:space="0" w:color="auto"/>
              <w:right w:val="single" w:sz="4" w:space="0" w:color="auto"/>
            </w:tcBorders>
            <w:noWrap/>
            <w:vAlign w:val="center"/>
            <w:hideMark/>
          </w:tcPr>
          <w:p w14:paraId="13673676" w14:textId="77777777" w:rsidR="000872A6" w:rsidRPr="004E6650" w:rsidRDefault="000872A6">
            <w:pPr>
              <w:rPr>
                <w:rFonts w:ascii="Calibri" w:hAnsi="Calibri" w:cs="Calibri"/>
                <w:sz w:val="22"/>
                <w:szCs w:val="22"/>
              </w:rPr>
            </w:pPr>
            <w:r w:rsidRPr="004E6650">
              <w:rPr>
                <w:rFonts w:ascii="Calibri" w:hAnsi="Calibri" w:cs="Calibri"/>
                <w:sz w:val="22"/>
                <w:szCs w:val="22"/>
              </w:rPr>
              <w:t>IF 12 - Istarska županija</w:t>
            </w:r>
          </w:p>
        </w:tc>
        <w:tc>
          <w:tcPr>
            <w:tcW w:w="1224" w:type="dxa"/>
            <w:tcBorders>
              <w:top w:val="nil"/>
              <w:left w:val="nil"/>
              <w:bottom w:val="single" w:sz="4" w:space="0" w:color="auto"/>
              <w:right w:val="single" w:sz="4" w:space="0" w:color="auto"/>
            </w:tcBorders>
            <w:noWrap/>
            <w:vAlign w:val="center"/>
            <w:hideMark/>
          </w:tcPr>
          <w:p w14:paraId="79A10908" w14:textId="77777777" w:rsidR="000872A6" w:rsidRPr="004E6650" w:rsidRDefault="000872A6">
            <w:pPr>
              <w:jc w:val="right"/>
              <w:rPr>
                <w:rFonts w:ascii="Calibri" w:hAnsi="Calibri" w:cs="Calibri"/>
                <w:sz w:val="22"/>
                <w:szCs w:val="22"/>
              </w:rPr>
            </w:pPr>
            <w:r w:rsidRPr="004E6650">
              <w:rPr>
                <w:rFonts w:ascii="Calibri" w:hAnsi="Calibri" w:cs="Calibri"/>
                <w:sz w:val="22"/>
                <w:szCs w:val="22"/>
              </w:rPr>
              <w:t>32.882,05</w:t>
            </w:r>
          </w:p>
        </w:tc>
        <w:tc>
          <w:tcPr>
            <w:tcW w:w="1470" w:type="dxa"/>
            <w:tcBorders>
              <w:top w:val="nil"/>
              <w:left w:val="nil"/>
              <w:bottom w:val="single" w:sz="4" w:space="0" w:color="auto"/>
              <w:right w:val="single" w:sz="4" w:space="0" w:color="auto"/>
            </w:tcBorders>
            <w:noWrap/>
            <w:vAlign w:val="center"/>
            <w:hideMark/>
          </w:tcPr>
          <w:p w14:paraId="31E472A4" w14:textId="77777777" w:rsidR="000872A6" w:rsidRPr="004E6650" w:rsidRDefault="000872A6">
            <w:pPr>
              <w:jc w:val="right"/>
              <w:rPr>
                <w:rFonts w:ascii="Calibri" w:hAnsi="Calibri" w:cs="Calibri"/>
                <w:sz w:val="22"/>
                <w:szCs w:val="22"/>
              </w:rPr>
            </w:pPr>
            <w:r w:rsidRPr="004E6650">
              <w:rPr>
                <w:rFonts w:ascii="Calibri" w:hAnsi="Calibri" w:cs="Calibri"/>
                <w:sz w:val="22"/>
                <w:szCs w:val="22"/>
              </w:rPr>
              <w:t>32.885,00</w:t>
            </w:r>
          </w:p>
        </w:tc>
        <w:tc>
          <w:tcPr>
            <w:tcW w:w="1417" w:type="dxa"/>
            <w:tcBorders>
              <w:top w:val="nil"/>
              <w:left w:val="nil"/>
              <w:bottom w:val="single" w:sz="4" w:space="0" w:color="auto"/>
              <w:right w:val="single" w:sz="4" w:space="0" w:color="auto"/>
            </w:tcBorders>
            <w:noWrap/>
            <w:vAlign w:val="center"/>
            <w:hideMark/>
          </w:tcPr>
          <w:p w14:paraId="240EC570" w14:textId="77777777" w:rsidR="000872A6" w:rsidRPr="004E6650" w:rsidRDefault="000872A6">
            <w:pPr>
              <w:jc w:val="right"/>
              <w:rPr>
                <w:rFonts w:ascii="Calibri" w:hAnsi="Calibri" w:cs="Calibri"/>
                <w:sz w:val="22"/>
                <w:szCs w:val="22"/>
              </w:rPr>
            </w:pPr>
            <w:r w:rsidRPr="004E6650">
              <w:rPr>
                <w:rFonts w:ascii="Calibri" w:hAnsi="Calibri" w:cs="Calibri"/>
                <w:sz w:val="22"/>
                <w:szCs w:val="22"/>
              </w:rPr>
              <w:t>30.141,80</w:t>
            </w:r>
          </w:p>
        </w:tc>
        <w:tc>
          <w:tcPr>
            <w:tcW w:w="902" w:type="dxa"/>
            <w:tcBorders>
              <w:top w:val="nil"/>
              <w:left w:val="nil"/>
              <w:bottom w:val="single" w:sz="4" w:space="0" w:color="auto"/>
              <w:right w:val="single" w:sz="4" w:space="0" w:color="auto"/>
            </w:tcBorders>
            <w:noWrap/>
            <w:vAlign w:val="center"/>
            <w:hideMark/>
          </w:tcPr>
          <w:p w14:paraId="08576921" w14:textId="77777777" w:rsidR="000872A6" w:rsidRPr="004E6650" w:rsidRDefault="000872A6">
            <w:pPr>
              <w:jc w:val="right"/>
              <w:rPr>
                <w:rFonts w:ascii="Calibri" w:hAnsi="Calibri" w:cs="Calibri"/>
                <w:sz w:val="22"/>
                <w:szCs w:val="22"/>
              </w:rPr>
            </w:pPr>
            <w:r w:rsidRPr="004E6650">
              <w:rPr>
                <w:rFonts w:ascii="Calibri" w:hAnsi="Calibri" w:cs="Calibri"/>
                <w:sz w:val="22"/>
                <w:szCs w:val="22"/>
              </w:rPr>
              <w:t>92%</w:t>
            </w:r>
          </w:p>
        </w:tc>
        <w:tc>
          <w:tcPr>
            <w:tcW w:w="236" w:type="dxa"/>
            <w:vAlign w:val="center"/>
            <w:hideMark/>
          </w:tcPr>
          <w:p w14:paraId="1C68D807" w14:textId="77777777" w:rsidR="000872A6" w:rsidRPr="004E6650" w:rsidRDefault="000872A6">
            <w:pPr>
              <w:rPr>
                <w:sz w:val="20"/>
                <w:szCs w:val="20"/>
              </w:rPr>
            </w:pPr>
          </w:p>
        </w:tc>
      </w:tr>
      <w:tr w:rsidR="004E6650" w:rsidRPr="004E6650" w14:paraId="10E85259" w14:textId="77777777" w:rsidTr="004E6650">
        <w:trPr>
          <w:gridAfter w:val="1"/>
          <w:wAfter w:w="139" w:type="dxa"/>
          <w:trHeight w:val="390"/>
          <w:jc w:val="center"/>
        </w:trPr>
        <w:tc>
          <w:tcPr>
            <w:tcW w:w="772" w:type="dxa"/>
            <w:tcBorders>
              <w:top w:val="nil"/>
              <w:left w:val="single" w:sz="4" w:space="0" w:color="auto"/>
              <w:bottom w:val="single" w:sz="4" w:space="0" w:color="auto"/>
              <w:right w:val="single" w:sz="4" w:space="0" w:color="auto"/>
            </w:tcBorders>
            <w:noWrap/>
            <w:vAlign w:val="bottom"/>
            <w:hideMark/>
          </w:tcPr>
          <w:p w14:paraId="5B273D84" w14:textId="77777777" w:rsidR="000872A6" w:rsidRPr="004E6650" w:rsidRDefault="000872A6">
            <w:pPr>
              <w:jc w:val="center"/>
              <w:rPr>
                <w:rFonts w:ascii="Calibri" w:hAnsi="Calibri" w:cs="Calibri"/>
                <w:sz w:val="22"/>
                <w:szCs w:val="22"/>
              </w:rPr>
            </w:pPr>
            <w:r w:rsidRPr="004E6650">
              <w:rPr>
                <w:rFonts w:ascii="Calibri" w:hAnsi="Calibri" w:cs="Calibri"/>
                <w:sz w:val="22"/>
                <w:szCs w:val="22"/>
              </w:rPr>
              <w:t>5443</w:t>
            </w:r>
          </w:p>
        </w:tc>
        <w:tc>
          <w:tcPr>
            <w:tcW w:w="4326" w:type="dxa"/>
            <w:tcBorders>
              <w:top w:val="nil"/>
              <w:left w:val="nil"/>
              <w:bottom w:val="single" w:sz="4" w:space="0" w:color="auto"/>
              <w:right w:val="single" w:sz="4" w:space="0" w:color="auto"/>
            </w:tcBorders>
            <w:noWrap/>
            <w:vAlign w:val="center"/>
            <w:hideMark/>
          </w:tcPr>
          <w:p w14:paraId="0B6FDCC7" w14:textId="77777777" w:rsidR="000872A6" w:rsidRPr="004E6650" w:rsidRDefault="000872A6">
            <w:pPr>
              <w:rPr>
                <w:rFonts w:ascii="Calibri" w:hAnsi="Calibri" w:cs="Calibri"/>
                <w:sz w:val="22"/>
                <w:szCs w:val="22"/>
              </w:rPr>
            </w:pPr>
            <w:r w:rsidRPr="004E6650">
              <w:rPr>
                <w:rFonts w:ascii="Calibri" w:hAnsi="Calibri" w:cs="Calibri"/>
                <w:sz w:val="22"/>
                <w:szCs w:val="22"/>
              </w:rPr>
              <w:t>IF 30 - vlastiti prihodi</w:t>
            </w:r>
          </w:p>
        </w:tc>
        <w:tc>
          <w:tcPr>
            <w:tcW w:w="1224" w:type="dxa"/>
            <w:tcBorders>
              <w:top w:val="nil"/>
              <w:left w:val="nil"/>
              <w:bottom w:val="single" w:sz="4" w:space="0" w:color="auto"/>
              <w:right w:val="single" w:sz="4" w:space="0" w:color="auto"/>
            </w:tcBorders>
            <w:noWrap/>
            <w:vAlign w:val="center"/>
            <w:hideMark/>
          </w:tcPr>
          <w:p w14:paraId="5D758061" w14:textId="77777777" w:rsidR="000872A6" w:rsidRPr="004E6650" w:rsidRDefault="000872A6">
            <w:pPr>
              <w:jc w:val="right"/>
              <w:rPr>
                <w:rFonts w:ascii="Calibri" w:hAnsi="Calibri" w:cs="Calibri"/>
                <w:sz w:val="22"/>
                <w:szCs w:val="22"/>
              </w:rPr>
            </w:pPr>
            <w:r w:rsidRPr="004E6650">
              <w:rPr>
                <w:rFonts w:ascii="Calibri" w:hAnsi="Calibri" w:cs="Calibri"/>
                <w:sz w:val="22"/>
                <w:szCs w:val="22"/>
              </w:rPr>
              <w:t>120.801,48</w:t>
            </w:r>
          </w:p>
        </w:tc>
        <w:tc>
          <w:tcPr>
            <w:tcW w:w="1470" w:type="dxa"/>
            <w:tcBorders>
              <w:top w:val="nil"/>
              <w:left w:val="nil"/>
              <w:bottom w:val="single" w:sz="4" w:space="0" w:color="auto"/>
              <w:right w:val="single" w:sz="4" w:space="0" w:color="auto"/>
            </w:tcBorders>
            <w:noWrap/>
            <w:vAlign w:val="center"/>
            <w:hideMark/>
          </w:tcPr>
          <w:p w14:paraId="7FCAEB04" w14:textId="77777777" w:rsidR="000872A6" w:rsidRPr="004E6650" w:rsidRDefault="000872A6">
            <w:pPr>
              <w:jc w:val="right"/>
              <w:rPr>
                <w:rFonts w:ascii="Calibri" w:hAnsi="Calibri" w:cs="Calibri"/>
                <w:sz w:val="22"/>
                <w:szCs w:val="22"/>
              </w:rPr>
            </w:pPr>
            <w:r w:rsidRPr="004E6650">
              <w:rPr>
                <w:rFonts w:ascii="Calibri" w:hAnsi="Calibri" w:cs="Calibri"/>
                <w:sz w:val="22"/>
                <w:szCs w:val="22"/>
              </w:rPr>
              <w:t>120.665,00</w:t>
            </w:r>
          </w:p>
        </w:tc>
        <w:tc>
          <w:tcPr>
            <w:tcW w:w="1417" w:type="dxa"/>
            <w:tcBorders>
              <w:top w:val="nil"/>
              <w:left w:val="nil"/>
              <w:bottom w:val="single" w:sz="4" w:space="0" w:color="auto"/>
              <w:right w:val="single" w:sz="4" w:space="0" w:color="auto"/>
            </w:tcBorders>
            <w:noWrap/>
            <w:vAlign w:val="center"/>
            <w:hideMark/>
          </w:tcPr>
          <w:p w14:paraId="26A6FA3B" w14:textId="77777777" w:rsidR="000872A6" w:rsidRPr="004E6650" w:rsidRDefault="000872A6">
            <w:pPr>
              <w:jc w:val="right"/>
              <w:rPr>
                <w:rFonts w:ascii="Calibri" w:hAnsi="Calibri" w:cs="Calibri"/>
                <w:sz w:val="22"/>
                <w:szCs w:val="22"/>
              </w:rPr>
            </w:pPr>
            <w:r w:rsidRPr="004E6650">
              <w:rPr>
                <w:rFonts w:ascii="Calibri" w:hAnsi="Calibri" w:cs="Calibri"/>
                <w:sz w:val="22"/>
                <w:szCs w:val="22"/>
              </w:rPr>
              <w:t>123.391,83</w:t>
            </w:r>
          </w:p>
        </w:tc>
        <w:tc>
          <w:tcPr>
            <w:tcW w:w="902" w:type="dxa"/>
            <w:tcBorders>
              <w:top w:val="nil"/>
              <w:left w:val="nil"/>
              <w:bottom w:val="single" w:sz="4" w:space="0" w:color="auto"/>
              <w:right w:val="single" w:sz="4" w:space="0" w:color="auto"/>
            </w:tcBorders>
            <w:noWrap/>
            <w:vAlign w:val="center"/>
            <w:hideMark/>
          </w:tcPr>
          <w:p w14:paraId="4DA0807C" w14:textId="77777777" w:rsidR="000872A6" w:rsidRPr="004E6650" w:rsidRDefault="000872A6">
            <w:pPr>
              <w:jc w:val="right"/>
              <w:rPr>
                <w:rFonts w:ascii="Calibri" w:hAnsi="Calibri" w:cs="Calibri"/>
                <w:sz w:val="22"/>
                <w:szCs w:val="22"/>
              </w:rPr>
            </w:pPr>
            <w:r w:rsidRPr="004E6650">
              <w:rPr>
                <w:rFonts w:ascii="Calibri" w:hAnsi="Calibri" w:cs="Calibri"/>
                <w:sz w:val="22"/>
                <w:szCs w:val="22"/>
              </w:rPr>
              <w:t>102%</w:t>
            </w:r>
          </w:p>
        </w:tc>
        <w:tc>
          <w:tcPr>
            <w:tcW w:w="236" w:type="dxa"/>
            <w:vAlign w:val="center"/>
            <w:hideMark/>
          </w:tcPr>
          <w:p w14:paraId="216DEB4B" w14:textId="77777777" w:rsidR="000872A6" w:rsidRPr="004E6650" w:rsidRDefault="000872A6">
            <w:pPr>
              <w:rPr>
                <w:sz w:val="20"/>
                <w:szCs w:val="20"/>
              </w:rPr>
            </w:pPr>
          </w:p>
        </w:tc>
      </w:tr>
    </w:tbl>
    <w:p w14:paraId="16B75B15" w14:textId="77777777" w:rsidR="009E2C84" w:rsidRDefault="009E2C84" w:rsidP="00435032">
      <w:pPr>
        <w:jc w:val="both"/>
        <w:rPr>
          <w:rFonts w:ascii="Arial" w:hAnsi="Arial" w:cs="Arial"/>
          <w:b/>
        </w:rPr>
      </w:pPr>
    </w:p>
    <w:p w14:paraId="019C5DA1" w14:textId="0AD9D3D5" w:rsidR="0064476E" w:rsidRPr="004E6650" w:rsidRDefault="0064476E" w:rsidP="00435032">
      <w:pPr>
        <w:jc w:val="both"/>
        <w:rPr>
          <w:rFonts w:ascii="Arial" w:hAnsi="Arial" w:cs="Arial"/>
          <w:sz w:val="22"/>
        </w:rPr>
      </w:pPr>
    </w:p>
    <w:p w14:paraId="0497D0A1" w14:textId="4DFE69C3" w:rsidR="00D6048E" w:rsidRPr="004E6650" w:rsidRDefault="0045215C" w:rsidP="0045215C">
      <w:pPr>
        <w:spacing w:line="276" w:lineRule="auto"/>
        <w:jc w:val="both"/>
        <w:rPr>
          <w:rFonts w:ascii="Arial" w:hAnsi="Arial" w:cs="Arial"/>
          <w:sz w:val="22"/>
        </w:rPr>
      </w:pPr>
      <w:r w:rsidRPr="004E6650">
        <w:rPr>
          <w:rFonts w:ascii="Arial" w:hAnsi="Arial" w:cs="Arial"/>
          <w:sz w:val="22"/>
        </w:rPr>
        <w:t xml:space="preserve">Tijekom 2024. i 2025 godine </w:t>
      </w:r>
      <w:r w:rsidR="00C51651" w:rsidRPr="004E6650">
        <w:rPr>
          <w:rFonts w:ascii="Arial" w:hAnsi="Arial" w:cs="Arial"/>
          <w:sz w:val="22"/>
        </w:rPr>
        <w:t>Istarski domovi zdravlja</w:t>
      </w:r>
      <w:r w:rsidR="00D6048E" w:rsidRPr="004E6650">
        <w:rPr>
          <w:rFonts w:ascii="Arial" w:hAnsi="Arial" w:cs="Arial"/>
          <w:sz w:val="22"/>
        </w:rPr>
        <w:t xml:space="preserve"> nisu ostvarili pri</w:t>
      </w:r>
      <w:r w:rsidR="00C51651" w:rsidRPr="004E6650">
        <w:rPr>
          <w:rFonts w:ascii="Arial" w:hAnsi="Arial" w:cs="Arial"/>
          <w:sz w:val="22"/>
        </w:rPr>
        <w:t xml:space="preserve">hode </w:t>
      </w:r>
      <w:r w:rsidRPr="004E6650">
        <w:rPr>
          <w:rFonts w:ascii="Arial" w:hAnsi="Arial" w:cs="Arial"/>
          <w:sz w:val="22"/>
        </w:rPr>
        <w:t xml:space="preserve">po osnovi </w:t>
      </w:r>
      <w:r w:rsidR="00C51651" w:rsidRPr="004E6650">
        <w:rPr>
          <w:rFonts w:ascii="Arial" w:hAnsi="Arial" w:cs="Arial"/>
          <w:sz w:val="22"/>
        </w:rPr>
        <w:t xml:space="preserve">financijske imovine i zaduživanja. </w:t>
      </w:r>
      <w:r w:rsidRPr="004E6650">
        <w:rPr>
          <w:rFonts w:ascii="Arial" w:hAnsi="Arial" w:cs="Arial"/>
          <w:sz w:val="22"/>
        </w:rPr>
        <w:t xml:space="preserve">Na </w:t>
      </w:r>
      <w:r w:rsidR="00C51651" w:rsidRPr="004E6650">
        <w:rPr>
          <w:rFonts w:ascii="Arial" w:hAnsi="Arial" w:cs="Arial"/>
          <w:sz w:val="22"/>
        </w:rPr>
        <w:t>Izdaci</w:t>
      </w:r>
      <w:r w:rsidRPr="004E6650">
        <w:rPr>
          <w:rFonts w:ascii="Arial" w:hAnsi="Arial" w:cs="Arial"/>
          <w:sz w:val="22"/>
        </w:rPr>
        <w:t>ma</w:t>
      </w:r>
      <w:r w:rsidR="00C51651" w:rsidRPr="004E6650">
        <w:rPr>
          <w:rFonts w:ascii="Arial" w:hAnsi="Arial" w:cs="Arial"/>
          <w:sz w:val="22"/>
        </w:rPr>
        <w:t xml:space="preserve"> za financijsku imovinu</w:t>
      </w:r>
      <w:r w:rsidRPr="004E6650">
        <w:rPr>
          <w:rFonts w:ascii="Arial" w:hAnsi="Arial" w:cs="Arial"/>
          <w:sz w:val="22"/>
        </w:rPr>
        <w:t xml:space="preserve"> </w:t>
      </w:r>
      <w:r w:rsidR="004E6650" w:rsidRPr="004E6650">
        <w:rPr>
          <w:rFonts w:ascii="Arial" w:hAnsi="Arial" w:cs="Arial"/>
          <w:sz w:val="22"/>
        </w:rPr>
        <w:t>i</w:t>
      </w:r>
      <w:r w:rsidRPr="004E6650">
        <w:rPr>
          <w:rFonts w:ascii="Arial" w:hAnsi="Arial" w:cs="Arial"/>
          <w:sz w:val="22"/>
        </w:rPr>
        <w:t xml:space="preserve"> otplate</w:t>
      </w:r>
      <w:r w:rsidR="004E6650" w:rsidRPr="004E6650">
        <w:rPr>
          <w:rFonts w:ascii="Arial" w:hAnsi="Arial" w:cs="Arial"/>
          <w:sz w:val="22"/>
        </w:rPr>
        <w:t xml:space="preserve"> zajmova</w:t>
      </w:r>
      <w:r w:rsidRPr="004E6650">
        <w:rPr>
          <w:rFonts w:ascii="Arial" w:hAnsi="Arial" w:cs="Arial"/>
          <w:sz w:val="22"/>
        </w:rPr>
        <w:t xml:space="preserve"> evidentirani su</w:t>
      </w:r>
      <w:r w:rsidR="00C51651" w:rsidRPr="004E6650">
        <w:rPr>
          <w:rFonts w:ascii="Arial" w:hAnsi="Arial" w:cs="Arial"/>
          <w:sz w:val="22"/>
        </w:rPr>
        <w:t xml:space="preserve"> rashod</w:t>
      </w:r>
      <w:r w:rsidRPr="004E6650">
        <w:rPr>
          <w:rFonts w:ascii="Arial" w:hAnsi="Arial" w:cs="Arial"/>
          <w:sz w:val="22"/>
        </w:rPr>
        <w:t>i</w:t>
      </w:r>
      <w:r w:rsidR="00C51651" w:rsidRPr="004E6650">
        <w:rPr>
          <w:rFonts w:ascii="Arial" w:hAnsi="Arial" w:cs="Arial"/>
          <w:sz w:val="22"/>
        </w:rPr>
        <w:t xml:space="preserve"> na ime kreditnog zaduženja prethodnih godina za izgradnju zdravstvene stanice u Vodnjanu</w:t>
      </w:r>
      <w:r w:rsidRPr="004E6650">
        <w:rPr>
          <w:rFonts w:ascii="Arial" w:hAnsi="Arial" w:cs="Arial"/>
          <w:sz w:val="22"/>
        </w:rPr>
        <w:t xml:space="preserve"> te na ime kredita za obnovu radiološke dijagnostike s digitalizacijom. U otplati kredita za izgradnju zdravstvene stanice Vodnjan sudjeluje Istarska županija </w:t>
      </w:r>
      <w:r w:rsidR="004E6650" w:rsidRPr="004E6650">
        <w:rPr>
          <w:rFonts w:ascii="Arial" w:hAnsi="Arial" w:cs="Arial"/>
          <w:sz w:val="22"/>
        </w:rPr>
        <w:t xml:space="preserve">u </w:t>
      </w:r>
      <w:r w:rsidR="007123B9" w:rsidRPr="004E6650">
        <w:rPr>
          <w:rFonts w:ascii="Arial" w:hAnsi="Arial" w:cs="Arial"/>
          <w:sz w:val="22"/>
        </w:rPr>
        <w:t>jednakom omjeru</w:t>
      </w:r>
      <w:r w:rsidRPr="004E6650">
        <w:rPr>
          <w:rFonts w:ascii="Arial" w:hAnsi="Arial" w:cs="Arial"/>
          <w:sz w:val="22"/>
        </w:rPr>
        <w:t xml:space="preserve"> kao i Istarski domovi zdravlja</w:t>
      </w:r>
      <w:r w:rsidR="007123B9" w:rsidRPr="004E6650">
        <w:rPr>
          <w:rFonts w:ascii="Arial" w:hAnsi="Arial" w:cs="Arial"/>
          <w:sz w:val="22"/>
        </w:rPr>
        <w:t xml:space="preserve"> (50:50)</w:t>
      </w:r>
      <w:r w:rsidRPr="004E6650">
        <w:rPr>
          <w:rFonts w:ascii="Arial" w:hAnsi="Arial" w:cs="Arial"/>
          <w:sz w:val="22"/>
        </w:rPr>
        <w:t xml:space="preserve"> dok rashode za otplatu </w:t>
      </w:r>
      <w:r w:rsidR="00C51651" w:rsidRPr="004E6650">
        <w:rPr>
          <w:rFonts w:ascii="Arial" w:hAnsi="Arial" w:cs="Arial"/>
          <w:sz w:val="22"/>
        </w:rPr>
        <w:t xml:space="preserve">kredita </w:t>
      </w:r>
      <w:r w:rsidRPr="004E6650">
        <w:rPr>
          <w:rFonts w:ascii="Arial" w:hAnsi="Arial" w:cs="Arial"/>
          <w:sz w:val="22"/>
        </w:rPr>
        <w:t xml:space="preserve">za </w:t>
      </w:r>
      <w:r w:rsidR="00C51651" w:rsidRPr="004E6650">
        <w:rPr>
          <w:rFonts w:ascii="Arial" w:hAnsi="Arial" w:cs="Arial"/>
          <w:sz w:val="22"/>
        </w:rPr>
        <w:t>obnov</w:t>
      </w:r>
      <w:r w:rsidRPr="004E6650">
        <w:rPr>
          <w:rFonts w:ascii="Arial" w:hAnsi="Arial" w:cs="Arial"/>
          <w:sz w:val="22"/>
        </w:rPr>
        <w:t>u</w:t>
      </w:r>
      <w:r w:rsidR="00C51651" w:rsidRPr="004E6650">
        <w:rPr>
          <w:rFonts w:ascii="Arial" w:hAnsi="Arial" w:cs="Arial"/>
          <w:sz w:val="22"/>
        </w:rPr>
        <w:t xml:space="preserve"> radiološke dijagnostike </w:t>
      </w:r>
      <w:r w:rsidR="00D6048E" w:rsidRPr="004E6650">
        <w:rPr>
          <w:rFonts w:ascii="Arial" w:hAnsi="Arial" w:cs="Arial"/>
          <w:sz w:val="22"/>
        </w:rPr>
        <w:t xml:space="preserve">s digitalizacijom </w:t>
      </w:r>
      <w:r w:rsidRPr="004E6650">
        <w:rPr>
          <w:rFonts w:ascii="Arial" w:hAnsi="Arial" w:cs="Arial"/>
          <w:sz w:val="22"/>
        </w:rPr>
        <w:t>ustanova otplaćuje isključivo iz vlastitih prihoda.</w:t>
      </w:r>
    </w:p>
    <w:p w14:paraId="1666D9FF" w14:textId="77777777" w:rsidR="004E6650" w:rsidRDefault="004E6650" w:rsidP="0045215C">
      <w:pPr>
        <w:spacing w:line="276" w:lineRule="auto"/>
        <w:jc w:val="both"/>
        <w:rPr>
          <w:rFonts w:ascii="Arial" w:hAnsi="Arial" w:cs="Arial"/>
          <w:color w:val="1F497D" w:themeColor="text2"/>
          <w:sz w:val="22"/>
        </w:rPr>
      </w:pPr>
    </w:p>
    <w:p w14:paraId="76501811" w14:textId="77777777" w:rsidR="004E6650" w:rsidRPr="0045215C" w:rsidRDefault="004E6650" w:rsidP="0045215C">
      <w:pPr>
        <w:spacing w:line="276" w:lineRule="auto"/>
        <w:jc w:val="both"/>
        <w:rPr>
          <w:rFonts w:ascii="Arial" w:hAnsi="Arial" w:cs="Arial"/>
          <w:color w:val="1F497D" w:themeColor="text2"/>
          <w:sz w:val="22"/>
        </w:rPr>
      </w:pPr>
    </w:p>
    <w:p w14:paraId="067D9F78" w14:textId="0500F628" w:rsidR="00B01A2D" w:rsidRDefault="00B01A2D" w:rsidP="00435032">
      <w:pPr>
        <w:jc w:val="both"/>
        <w:rPr>
          <w:rFonts w:ascii="Arial" w:hAnsi="Arial" w:cs="Arial"/>
          <w:b/>
        </w:rPr>
      </w:pPr>
      <w:r w:rsidRPr="004F3556">
        <w:rPr>
          <w:rFonts w:ascii="Arial" w:hAnsi="Arial" w:cs="Arial"/>
          <w:b/>
        </w:rPr>
        <w:t>Izvještaj o korištenju sredstava europske unije</w:t>
      </w:r>
    </w:p>
    <w:p w14:paraId="46FD8E3F" w14:textId="77777777" w:rsidR="008C45A0" w:rsidRDefault="008C45A0" w:rsidP="00435032">
      <w:pPr>
        <w:jc w:val="both"/>
        <w:rPr>
          <w:rFonts w:ascii="Arial" w:hAnsi="Arial" w:cs="Arial"/>
          <w:b/>
        </w:rPr>
      </w:pPr>
    </w:p>
    <w:tbl>
      <w:tblPr>
        <w:tblW w:w="7480" w:type="dxa"/>
        <w:jc w:val="center"/>
        <w:tblLook w:val="04A0" w:firstRow="1" w:lastRow="0" w:firstColumn="1" w:lastColumn="0" w:noHBand="0" w:noVBand="1"/>
      </w:tblPr>
      <w:tblGrid>
        <w:gridCol w:w="1587"/>
        <w:gridCol w:w="1457"/>
        <w:gridCol w:w="1620"/>
        <w:gridCol w:w="1680"/>
        <w:gridCol w:w="1100"/>
        <w:gridCol w:w="222"/>
      </w:tblGrid>
      <w:tr w:rsidR="004E6650" w:rsidRPr="004E6650" w14:paraId="27802C0A" w14:textId="77777777" w:rsidTr="008C45A0">
        <w:trPr>
          <w:gridAfter w:val="1"/>
          <w:wAfter w:w="36" w:type="dxa"/>
          <w:trHeight w:val="517"/>
          <w:jc w:val="center"/>
        </w:trPr>
        <w:tc>
          <w:tcPr>
            <w:tcW w:w="3044" w:type="dxa"/>
            <w:gridSpan w:val="2"/>
            <w:vMerge w:val="restart"/>
            <w:tcBorders>
              <w:top w:val="single" w:sz="4" w:space="0" w:color="auto"/>
              <w:left w:val="single" w:sz="4" w:space="0" w:color="auto"/>
              <w:bottom w:val="single" w:sz="4" w:space="0" w:color="000000"/>
              <w:right w:val="single" w:sz="4" w:space="0" w:color="000000"/>
            </w:tcBorders>
            <w:shd w:val="clear" w:color="000000" w:fill="D9D9D9"/>
            <w:vAlign w:val="center"/>
            <w:hideMark/>
          </w:tcPr>
          <w:p w14:paraId="3F4F942C" w14:textId="3A9AC476" w:rsidR="008C45A0" w:rsidRPr="004E6650" w:rsidRDefault="00C6047C">
            <w:pPr>
              <w:jc w:val="center"/>
              <w:rPr>
                <w:rFonts w:ascii="Arial" w:hAnsi="Arial" w:cs="Arial"/>
                <w:sz w:val="20"/>
                <w:szCs w:val="20"/>
              </w:rPr>
            </w:pPr>
            <w:r w:rsidRPr="004E6650">
              <w:rPr>
                <w:rFonts w:ascii="Arial" w:hAnsi="Arial" w:cs="Arial"/>
                <w:sz w:val="20"/>
                <w:szCs w:val="20"/>
              </w:rPr>
              <w:t>NAZIV PROJEKTA</w:t>
            </w:r>
          </w:p>
        </w:tc>
        <w:tc>
          <w:tcPr>
            <w:tcW w:w="162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AF42E2E" w14:textId="77777777" w:rsidR="008C45A0" w:rsidRPr="004E6650" w:rsidRDefault="008C45A0">
            <w:pPr>
              <w:jc w:val="center"/>
              <w:rPr>
                <w:rFonts w:ascii="Arial" w:hAnsi="Arial" w:cs="Arial"/>
                <w:sz w:val="20"/>
                <w:szCs w:val="20"/>
              </w:rPr>
            </w:pPr>
            <w:r w:rsidRPr="004E6650">
              <w:rPr>
                <w:rFonts w:ascii="Arial" w:hAnsi="Arial" w:cs="Arial"/>
                <w:sz w:val="20"/>
                <w:szCs w:val="20"/>
              </w:rPr>
              <w:t>Financijski plan 2025.</w:t>
            </w:r>
          </w:p>
        </w:tc>
        <w:tc>
          <w:tcPr>
            <w:tcW w:w="168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49C7E84" w14:textId="5DE3A721" w:rsidR="008C45A0" w:rsidRPr="004E6650" w:rsidRDefault="008C45A0">
            <w:pPr>
              <w:jc w:val="center"/>
              <w:rPr>
                <w:rFonts w:ascii="Arial" w:hAnsi="Arial" w:cs="Arial"/>
                <w:sz w:val="20"/>
                <w:szCs w:val="20"/>
              </w:rPr>
            </w:pPr>
            <w:r w:rsidRPr="004E6650">
              <w:rPr>
                <w:rFonts w:ascii="Arial" w:hAnsi="Arial" w:cs="Arial"/>
                <w:sz w:val="20"/>
                <w:szCs w:val="20"/>
              </w:rPr>
              <w:t xml:space="preserve">Ostvarenje/ Izvršenje </w:t>
            </w:r>
            <w:r w:rsidR="00695859" w:rsidRPr="004E6650">
              <w:rPr>
                <w:rFonts w:ascii="Arial" w:hAnsi="Arial" w:cs="Arial"/>
                <w:sz w:val="20"/>
                <w:szCs w:val="20"/>
              </w:rPr>
              <w:t xml:space="preserve">     </w:t>
            </w:r>
            <w:r w:rsidRPr="004E6650">
              <w:rPr>
                <w:rFonts w:ascii="Arial" w:hAnsi="Arial" w:cs="Arial"/>
                <w:sz w:val="20"/>
                <w:szCs w:val="20"/>
              </w:rPr>
              <w:t>01.-12.2025.</w:t>
            </w:r>
          </w:p>
        </w:tc>
        <w:tc>
          <w:tcPr>
            <w:tcW w:w="110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2AE65B1" w14:textId="77777777" w:rsidR="008C45A0" w:rsidRPr="004E6650" w:rsidRDefault="008C45A0">
            <w:pPr>
              <w:jc w:val="center"/>
              <w:rPr>
                <w:rFonts w:ascii="Arial" w:hAnsi="Arial" w:cs="Arial"/>
                <w:sz w:val="16"/>
                <w:szCs w:val="16"/>
              </w:rPr>
            </w:pPr>
            <w:r w:rsidRPr="004E6650">
              <w:rPr>
                <w:rFonts w:ascii="Arial" w:hAnsi="Arial" w:cs="Arial"/>
                <w:sz w:val="18"/>
                <w:szCs w:val="18"/>
              </w:rPr>
              <w:t>Indeks Plan / izvršenje</w:t>
            </w:r>
          </w:p>
        </w:tc>
      </w:tr>
      <w:tr w:rsidR="004E6650" w:rsidRPr="004E6650" w14:paraId="5E7A522B" w14:textId="77777777" w:rsidTr="008C45A0">
        <w:trPr>
          <w:trHeight w:val="390"/>
          <w:jc w:val="center"/>
        </w:trPr>
        <w:tc>
          <w:tcPr>
            <w:tcW w:w="3044" w:type="dxa"/>
            <w:gridSpan w:val="2"/>
            <w:vMerge/>
            <w:tcBorders>
              <w:top w:val="single" w:sz="4" w:space="0" w:color="auto"/>
              <w:left w:val="single" w:sz="4" w:space="0" w:color="auto"/>
              <w:bottom w:val="single" w:sz="4" w:space="0" w:color="000000"/>
              <w:right w:val="single" w:sz="4" w:space="0" w:color="000000"/>
            </w:tcBorders>
            <w:vAlign w:val="center"/>
            <w:hideMark/>
          </w:tcPr>
          <w:p w14:paraId="7B265578" w14:textId="77777777" w:rsidR="008C45A0" w:rsidRPr="004E6650" w:rsidRDefault="008C45A0">
            <w:pPr>
              <w:rPr>
                <w:rFonts w:ascii="Arial" w:hAnsi="Arial" w:cs="Arial"/>
                <w:sz w:val="20"/>
                <w:szCs w:val="20"/>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08A9D4A2" w14:textId="77777777" w:rsidR="008C45A0" w:rsidRPr="004E6650" w:rsidRDefault="008C45A0">
            <w:pPr>
              <w:rPr>
                <w:rFonts w:ascii="Arial" w:hAnsi="Arial" w:cs="Arial"/>
                <w:sz w:val="18"/>
                <w:szCs w:val="18"/>
              </w:rPr>
            </w:pPr>
          </w:p>
        </w:tc>
        <w:tc>
          <w:tcPr>
            <w:tcW w:w="1680" w:type="dxa"/>
            <w:vMerge/>
            <w:tcBorders>
              <w:top w:val="single" w:sz="4" w:space="0" w:color="auto"/>
              <w:left w:val="single" w:sz="4" w:space="0" w:color="auto"/>
              <w:bottom w:val="single" w:sz="4" w:space="0" w:color="auto"/>
              <w:right w:val="single" w:sz="4" w:space="0" w:color="auto"/>
            </w:tcBorders>
            <w:vAlign w:val="center"/>
            <w:hideMark/>
          </w:tcPr>
          <w:p w14:paraId="764EFE06" w14:textId="77777777" w:rsidR="008C45A0" w:rsidRPr="004E6650" w:rsidRDefault="008C45A0">
            <w:pPr>
              <w:rPr>
                <w:rFonts w:ascii="Arial" w:hAnsi="Arial" w:cs="Arial"/>
                <w:sz w:val="18"/>
                <w:szCs w:val="18"/>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4F742EB4" w14:textId="77777777" w:rsidR="008C45A0" w:rsidRPr="004E6650" w:rsidRDefault="008C45A0">
            <w:pPr>
              <w:rPr>
                <w:rFonts w:ascii="Arial" w:hAnsi="Arial" w:cs="Arial"/>
                <w:sz w:val="16"/>
                <w:szCs w:val="16"/>
              </w:rPr>
            </w:pPr>
          </w:p>
        </w:tc>
        <w:tc>
          <w:tcPr>
            <w:tcW w:w="36" w:type="dxa"/>
            <w:tcBorders>
              <w:top w:val="nil"/>
              <w:left w:val="nil"/>
              <w:bottom w:val="nil"/>
              <w:right w:val="nil"/>
            </w:tcBorders>
            <w:noWrap/>
            <w:vAlign w:val="bottom"/>
            <w:hideMark/>
          </w:tcPr>
          <w:p w14:paraId="3730996A" w14:textId="77777777" w:rsidR="008C45A0" w:rsidRPr="004E6650" w:rsidRDefault="008C45A0">
            <w:pPr>
              <w:jc w:val="center"/>
              <w:rPr>
                <w:rFonts w:ascii="Arial" w:hAnsi="Arial" w:cs="Arial"/>
                <w:sz w:val="16"/>
                <w:szCs w:val="16"/>
              </w:rPr>
            </w:pPr>
          </w:p>
        </w:tc>
      </w:tr>
      <w:tr w:rsidR="004E6650" w:rsidRPr="004E6650" w14:paraId="1AC0CC92" w14:textId="77777777" w:rsidTr="008C45A0">
        <w:trPr>
          <w:trHeight w:val="540"/>
          <w:jc w:val="center"/>
        </w:trPr>
        <w:tc>
          <w:tcPr>
            <w:tcW w:w="7444" w:type="dxa"/>
            <w:gridSpan w:val="5"/>
            <w:tcBorders>
              <w:top w:val="single" w:sz="4" w:space="0" w:color="auto"/>
              <w:left w:val="single" w:sz="4" w:space="0" w:color="auto"/>
              <w:bottom w:val="single" w:sz="4" w:space="0" w:color="auto"/>
              <w:right w:val="single" w:sz="4" w:space="0" w:color="000000"/>
            </w:tcBorders>
            <w:shd w:val="clear" w:color="000000" w:fill="F2F2F2"/>
            <w:vAlign w:val="center"/>
            <w:hideMark/>
          </w:tcPr>
          <w:p w14:paraId="15AF3396" w14:textId="22C5F7E7" w:rsidR="008C45A0" w:rsidRPr="004E6650" w:rsidRDefault="008C45A0">
            <w:pPr>
              <w:jc w:val="center"/>
              <w:rPr>
                <w:rFonts w:ascii="Arial" w:hAnsi="Arial" w:cs="Arial"/>
                <w:b/>
                <w:bCs/>
                <w:sz w:val="20"/>
                <w:szCs w:val="20"/>
              </w:rPr>
            </w:pPr>
            <w:r w:rsidRPr="004E6650">
              <w:rPr>
                <w:rFonts w:ascii="Arial" w:hAnsi="Arial" w:cs="Arial"/>
                <w:b/>
                <w:bCs/>
                <w:sz w:val="20"/>
                <w:szCs w:val="20"/>
              </w:rPr>
              <w:t xml:space="preserve">Istarski domovi zdravlja </w:t>
            </w:r>
            <w:r w:rsidR="00C6047C" w:rsidRPr="004E6650">
              <w:rPr>
                <w:rFonts w:ascii="Arial" w:hAnsi="Arial" w:cs="Arial"/>
                <w:b/>
                <w:bCs/>
                <w:sz w:val="20"/>
                <w:szCs w:val="20"/>
              </w:rPr>
              <w:t xml:space="preserve">- </w:t>
            </w:r>
            <w:r w:rsidRPr="004E6650">
              <w:rPr>
                <w:rFonts w:ascii="Arial" w:hAnsi="Arial" w:cs="Arial"/>
                <w:b/>
                <w:bCs/>
                <w:sz w:val="20"/>
                <w:szCs w:val="20"/>
              </w:rPr>
              <w:t>Specijalističko usavršavanje doktora medicine</w:t>
            </w:r>
          </w:p>
        </w:tc>
        <w:tc>
          <w:tcPr>
            <w:tcW w:w="36" w:type="dxa"/>
            <w:vAlign w:val="center"/>
            <w:hideMark/>
          </w:tcPr>
          <w:p w14:paraId="7D5AAD8C" w14:textId="77777777" w:rsidR="008C45A0" w:rsidRPr="004E6650" w:rsidRDefault="008C45A0">
            <w:pPr>
              <w:rPr>
                <w:sz w:val="20"/>
                <w:szCs w:val="20"/>
              </w:rPr>
            </w:pPr>
          </w:p>
        </w:tc>
      </w:tr>
      <w:tr w:rsidR="004E6650" w:rsidRPr="004E6650" w14:paraId="2F44F5AE" w14:textId="77777777" w:rsidTr="008C45A0">
        <w:trPr>
          <w:trHeight w:val="650"/>
          <w:jc w:val="center"/>
        </w:trPr>
        <w:tc>
          <w:tcPr>
            <w:tcW w:w="7444" w:type="dxa"/>
            <w:gridSpan w:val="5"/>
            <w:tcBorders>
              <w:top w:val="single" w:sz="4" w:space="0" w:color="auto"/>
              <w:left w:val="single" w:sz="4" w:space="0" w:color="auto"/>
              <w:bottom w:val="single" w:sz="4" w:space="0" w:color="auto"/>
              <w:right w:val="single" w:sz="4" w:space="0" w:color="000000"/>
            </w:tcBorders>
            <w:vAlign w:val="center"/>
            <w:hideMark/>
          </w:tcPr>
          <w:p w14:paraId="7174C87D" w14:textId="18814CB9" w:rsidR="008C45A0" w:rsidRPr="004E6650" w:rsidRDefault="008C45A0" w:rsidP="008C45A0">
            <w:pPr>
              <w:jc w:val="center"/>
              <w:rPr>
                <w:rFonts w:ascii="Arial" w:hAnsi="Arial" w:cs="Arial"/>
                <w:sz w:val="20"/>
                <w:szCs w:val="20"/>
              </w:rPr>
            </w:pPr>
            <w:r w:rsidRPr="004E6650">
              <w:rPr>
                <w:rFonts w:ascii="Arial" w:hAnsi="Arial" w:cs="Arial"/>
                <w:sz w:val="20"/>
                <w:szCs w:val="20"/>
              </w:rPr>
              <w:t>"Jačanje otpornosti zdravstvenog sustava" Nacionalnog plana oporavka i otpornosti 2021. -2026. (19 specijalizanata)</w:t>
            </w:r>
          </w:p>
        </w:tc>
        <w:tc>
          <w:tcPr>
            <w:tcW w:w="36" w:type="dxa"/>
            <w:vAlign w:val="center"/>
            <w:hideMark/>
          </w:tcPr>
          <w:p w14:paraId="283C603E" w14:textId="77777777" w:rsidR="008C45A0" w:rsidRPr="004E6650" w:rsidRDefault="008C45A0">
            <w:pPr>
              <w:rPr>
                <w:sz w:val="20"/>
                <w:szCs w:val="20"/>
              </w:rPr>
            </w:pPr>
          </w:p>
        </w:tc>
      </w:tr>
      <w:tr w:rsidR="004E6650" w:rsidRPr="004E6650" w14:paraId="2271D72F" w14:textId="77777777" w:rsidTr="008C45A0">
        <w:trPr>
          <w:trHeight w:val="290"/>
          <w:jc w:val="center"/>
        </w:trPr>
        <w:tc>
          <w:tcPr>
            <w:tcW w:w="1587" w:type="dxa"/>
            <w:tcBorders>
              <w:top w:val="nil"/>
              <w:left w:val="single" w:sz="4" w:space="0" w:color="auto"/>
              <w:bottom w:val="single" w:sz="4" w:space="0" w:color="auto"/>
              <w:right w:val="nil"/>
            </w:tcBorders>
            <w:noWrap/>
            <w:vAlign w:val="bottom"/>
            <w:hideMark/>
          </w:tcPr>
          <w:p w14:paraId="0391CECF" w14:textId="77777777" w:rsidR="008C45A0" w:rsidRPr="004E6650" w:rsidRDefault="008C45A0">
            <w:pPr>
              <w:rPr>
                <w:rFonts w:ascii="Arial" w:hAnsi="Arial" w:cs="Arial"/>
                <w:sz w:val="20"/>
                <w:szCs w:val="20"/>
              </w:rPr>
            </w:pPr>
            <w:r w:rsidRPr="004E6650">
              <w:rPr>
                <w:rFonts w:ascii="Arial" w:hAnsi="Arial" w:cs="Arial"/>
                <w:sz w:val="20"/>
                <w:szCs w:val="20"/>
              </w:rPr>
              <w:t>PRIHODI</w:t>
            </w:r>
          </w:p>
        </w:tc>
        <w:tc>
          <w:tcPr>
            <w:tcW w:w="1457" w:type="dxa"/>
            <w:tcBorders>
              <w:top w:val="nil"/>
              <w:left w:val="nil"/>
              <w:bottom w:val="single" w:sz="4" w:space="0" w:color="auto"/>
              <w:right w:val="single" w:sz="4" w:space="0" w:color="auto"/>
            </w:tcBorders>
            <w:noWrap/>
            <w:vAlign w:val="bottom"/>
            <w:hideMark/>
          </w:tcPr>
          <w:p w14:paraId="0BB79054" w14:textId="77777777" w:rsidR="008C45A0" w:rsidRPr="004E6650" w:rsidRDefault="008C45A0">
            <w:pPr>
              <w:rPr>
                <w:rFonts w:ascii="Arial" w:hAnsi="Arial" w:cs="Arial"/>
                <w:sz w:val="20"/>
                <w:szCs w:val="20"/>
              </w:rPr>
            </w:pPr>
            <w:r w:rsidRPr="004E6650">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1C2891AD" w14:textId="77777777" w:rsidR="008C45A0" w:rsidRPr="004E6650" w:rsidRDefault="008C45A0">
            <w:pPr>
              <w:jc w:val="right"/>
              <w:rPr>
                <w:rFonts w:ascii="Arial" w:hAnsi="Arial" w:cs="Arial"/>
                <w:sz w:val="20"/>
                <w:szCs w:val="20"/>
              </w:rPr>
            </w:pPr>
            <w:r w:rsidRPr="004E6650">
              <w:rPr>
                <w:rFonts w:ascii="Arial" w:hAnsi="Arial" w:cs="Arial"/>
                <w:sz w:val="20"/>
                <w:szCs w:val="20"/>
              </w:rPr>
              <w:t>752.000,00</w:t>
            </w:r>
          </w:p>
        </w:tc>
        <w:tc>
          <w:tcPr>
            <w:tcW w:w="1680" w:type="dxa"/>
            <w:tcBorders>
              <w:top w:val="nil"/>
              <w:left w:val="nil"/>
              <w:bottom w:val="single" w:sz="4" w:space="0" w:color="auto"/>
              <w:right w:val="single" w:sz="4" w:space="0" w:color="auto"/>
            </w:tcBorders>
            <w:noWrap/>
            <w:vAlign w:val="bottom"/>
            <w:hideMark/>
          </w:tcPr>
          <w:p w14:paraId="5B69654D" w14:textId="77777777" w:rsidR="008C45A0" w:rsidRPr="004E6650" w:rsidRDefault="008C45A0">
            <w:pPr>
              <w:jc w:val="right"/>
              <w:rPr>
                <w:rFonts w:ascii="Arial" w:hAnsi="Arial" w:cs="Arial"/>
                <w:sz w:val="20"/>
                <w:szCs w:val="20"/>
              </w:rPr>
            </w:pPr>
            <w:r w:rsidRPr="004E6650">
              <w:rPr>
                <w:rFonts w:ascii="Arial" w:hAnsi="Arial" w:cs="Arial"/>
                <w:sz w:val="20"/>
                <w:szCs w:val="20"/>
              </w:rPr>
              <w:t>752.103,24</w:t>
            </w:r>
          </w:p>
        </w:tc>
        <w:tc>
          <w:tcPr>
            <w:tcW w:w="1100" w:type="dxa"/>
            <w:tcBorders>
              <w:top w:val="nil"/>
              <w:left w:val="nil"/>
              <w:bottom w:val="single" w:sz="4" w:space="0" w:color="auto"/>
              <w:right w:val="single" w:sz="4" w:space="0" w:color="auto"/>
            </w:tcBorders>
            <w:noWrap/>
            <w:vAlign w:val="bottom"/>
            <w:hideMark/>
          </w:tcPr>
          <w:p w14:paraId="75601170" w14:textId="77777777" w:rsidR="008C45A0" w:rsidRPr="004E6650" w:rsidRDefault="008C45A0">
            <w:pPr>
              <w:jc w:val="right"/>
              <w:rPr>
                <w:rFonts w:ascii="Arial" w:hAnsi="Arial" w:cs="Arial"/>
                <w:sz w:val="20"/>
                <w:szCs w:val="20"/>
              </w:rPr>
            </w:pPr>
            <w:r w:rsidRPr="004E6650">
              <w:rPr>
                <w:rFonts w:ascii="Arial" w:hAnsi="Arial" w:cs="Arial"/>
                <w:sz w:val="20"/>
                <w:szCs w:val="20"/>
              </w:rPr>
              <w:t>100%</w:t>
            </w:r>
          </w:p>
        </w:tc>
        <w:tc>
          <w:tcPr>
            <w:tcW w:w="36" w:type="dxa"/>
            <w:vAlign w:val="center"/>
            <w:hideMark/>
          </w:tcPr>
          <w:p w14:paraId="0189E70F" w14:textId="77777777" w:rsidR="008C45A0" w:rsidRPr="004E6650" w:rsidRDefault="008C45A0">
            <w:pPr>
              <w:rPr>
                <w:sz w:val="20"/>
                <w:szCs w:val="20"/>
              </w:rPr>
            </w:pPr>
          </w:p>
        </w:tc>
      </w:tr>
      <w:tr w:rsidR="004E6650" w:rsidRPr="004E6650" w14:paraId="006BAFCF" w14:textId="77777777" w:rsidTr="008C45A0">
        <w:trPr>
          <w:trHeight w:val="290"/>
          <w:jc w:val="center"/>
        </w:trPr>
        <w:tc>
          <w:tcPr>
            <w:tcW w:w="1587" w:type="dxa"/>
            <w:tcBorders>
              <w:top w:val="nil"/>
              <w:left w:val="single" w:sz="4" w:space="0" w:color="auto"/>
              <w:bottom w:val="single" w:sz="4" w:space="0" w:color="auto"/>
              <w:right w:val="nil"/>
            </w:tcBorders>
            <w:noWrap/>
            <w:vAlign w:val="bottom"/>
            <w:hideMark/>
          </w:tcPr>
          <w:p w14:paraId="0458EA6A" w14:textId="77777777" w:rsidR="008C45A0" w:rsidRPr="004E6650" w:rsidRDefault="008C45A0">
            <w:pPr>
              <w:rPr>
                <w:rFonts w:ascii="Arial" w:hAnsi="Arial" w:cs="Arial"/>
                <w:sz w:val="20"/>
                <w:szCs w:val="20"/>
              </w:rPr>
            </w:pPr>
            <w:r w:rsidRPr="004E6650">
              <w:rPr>
                <w:rFonts w:ascii="Arial" w:hAnsi="Arial" w:cs="Arial"/>
                <w:sz w:val="20"/>
                <w:szCs w:val="20"/>
              </w:rPr>
              <w:t>RASHODI</w:t>
            </w:r>
          </w:p>
        </w:tc>
        <w:tc>
          <w:tcPr>
            <w:tcW w:w="1457" w:type="dxa"/>
            <w:tcBorders>
              <w:top w:val="nil"/>
              <w:left w:val="nil"/>
              <w:bottom w:val="single" w:sz="4" w:space="0" w:color="auto"/>
              <w:right w:val="single" w:sz="4" w:space="0" w:color="auto"/>
            </w:tcBorders>
            <w:noWrap/>
            <w:vAlign w:val="bottom"/>
            <w:hideMark/>
          </w:tcPr>
          <w:p w14:paraId="6225964C" w14:textId="77777777" w:rsidR="008C45A0" w:rsidRPr="004E6650" w:rsidRDefault="008C45A0">
            <w:pPr>
              <w:rPr>
                <w:rFonts w:ascii="Arial" w:hAnsi="Arial" w:cs="Arial"/>
                <w:sz w:val="20"/>
                <w:szCs w:val="20"/>
              </w:rPr>
            </w:pPr>
            <w:r w:rsidRPr="004E6650">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5703C321" w14:textId="77777777" w:rsidR="008C45A0" w:rsidRPr="004E6650" w:rsidRDefault="008C45A0">
            <w:pPr>
              <w:jc w:val="right"/>
              <w:rPr>
                <w:rFonts w:ascii="Arial" w:hAnsi="Arial" w:cs="Arial"/>
                <w:sz w:val="20"/>
                <w:szCs w:val="20"/>
              </w:rPr>
            </w:pPr>
            <w:r w:rsidRPr="004E6650">
              <w:rPr>
                <w:rFonts w:ascii="Arial" w:hAnsi="Arial" w:cs="Arial"/>
                <w:sz w:val="20"/>
                <w:szCs w:val="20"/>
              </w:rPr>
              <w:t>752.000,00</w:t>
            </w:r>
          </w:p>
        </w:tc>
        <w:tc>
          <w:tcPr>
            <w:tcW w:w="1680" w:type="dxa"/>
            <w:tcBorders>
              <w:top w:val="nil"/>
              <w:left w:val="nil"/>
              <w:bottom w:val="single" w:sz="4" w:space="0" w:color="auto"/>
              <w:right w:val="single" w:sz="4" w:space="0" w:color="auto"/>
            </w:tcBorders>
            <w:noWrap/>
            <w:vAlign w:val="bottom"/>
            <w:hideMark/>
          </w:tcPr>
          <w:p w14:paraId="46619F28" w14:textId="77777777" w:rsidR="008C45A0" w:rsidRPr="004E6650" w:rsidRDefault="008C45A0">
            <w:pPr>
              <w:jc w:val="right"/>
              <w:rPr>
                <w:rFonts w:ascii="Arial" w:hAnsi="Arial" w:cs="Arial"/>
                <w:sz w:val="20"/>
                <w:szCs w:val="20"/>
              </w:rPr>
            </w:pPr>
            <w:r w:rsidRPr="004E6650">
              <w:rPr>
                <w:rFonts w:ascii="Arial" w:hAnsi="Arial" w:cs="Arial"/>
                <w:sz w:val="20"/>
                <w:szCs w:val="20"/>
              </w:rPr>
              <w:t>825.201,90</w:t>
            </w:r>
          </w:p>
        </w:tc>
        <w:tc>
          <w:tcPr>
            <w:tcW w:w="1100" w:type="dxa"/>
            <w:tcBorders>
              <w:top w:val="nil"/>
              <w:left w:val="nil"/>
              <w:bottom w:val="single" w:sz="4" w:space="0" w:color="auto"/>
              <w:right w:val="single" w:sz="4" w:space="0" w:color="auto"/>
            </w:tcBorders>
            <w:noWrap/>
            <w:vAlign w:val="bottom"/>
            <w:hideMark/>
          </w:tcPr>
          <w:p w14:paraId="2A239707" w14:textId="77777777" w:rsidR="008C45A0" w:rsidRPr="004E6650" w:rsidRDefault="008C45A0">
            <w:pPr>
              <w:jc w:val="right"/>
              <w:rPr>
                <w:rFonts w:ascii="Arial" w:hAnsi="Arial" w:cs="Arial"/>
                <w:sz w:val="20"/>
                <w:szCs w:val="20"/>
              </w:rPr>
            </w:pPr>
            <w:r w:rsidRPr="004E6650">
              <w:rPr>
                <w:rFonts w:ascii="Arial" w:hAnsi="Arial" w:cs="Arial"/>
                <w:sz w:val="20"/>
                <w:szCs w:val="20"/>
              </w:rPr>
              <w:t>110%</w:t>
            </w:r>
          </w:p>
        </w:tc>
        <w:tc>
          <w:tcPr>
            <w:tcW w:w="36" w:type="dxa"/>
            <w:vAlign w:val="center"/>
            <w:hideMark/>
          </w:tcPr>
          <w:p w14:paraId="3265A4B0" w14:textId="77777777" w:rsidR="008C45A0" w:rsidRPr="004E6650" w:rsidRDefault="008C45A0">
            <w:pPr>
              <w:rPr>
                <w:sz w:val="20"/>
                <w:szCs w:val="20"/>
              </w:rPr>
            </w:pPr>
          </w:p>
        </w:tc>
      </w:tr>
      <w:tr w:rsidR="004E6650" w:rsidRPr="004E6650" w14:paraId="176AFDF3" w14:textId="77777777" w:rsidTr="008C45A0">
        <w:trPr>
          <w:trHeight w:val="290"/>
          <w:jc w:val="center"/>
        </w:trPr>
        <w:tc>
          <w:tcPr>
            <w:tcW w:w="1587" w:type="dxa"/>
            <w:tcBorders>
              <w:top w:val="nil"/>
              <w:left w:val="single" w:sz="4" w:space="0" w:color="auto"/>
              <w:bottom w:val="single" w:sz="4" w:space="0" w:color="auto"/>
              <w:right w:val="nil"/>
            </w:tcBorders>
            <w:noWrap/>
            <w:vAlign w:val="bottom"/>
            <w:hideMark/>
          </w:tcPr>
          <w:p w14:paraId="3E4450B2" w14:textId="77777777" w:rsidR="008C45A0" w:rsidRPr="004E6650" w:rsidRDefault="008C45A0">
            <w:pPr>
              <w:rPr>
                <w:rFonts w:ascii="Arial" w:hAnsi="Arial" w:cs="Arial"/>
                <w:sz w:val="20"/>
                <w:szCs w:val="20"/>
              </w:rPr>
            </w:pPr>
            <w:r w:rsidRPr="004E6650">
              <w:rPr>
                <w:rFonts w:ascii="Arial" w:hAnsi="Arial" w:cs="Arial"/>
                <w:sz w:val="20"/>
                <w:szCs w:val="20"/>
              </w:rPr>
              <w:t> </w:t>
            </w:r>
          </w:p>
        </w:tc>
        <w:tc>
          <w:tcPr>
            <w:tcW w:w="1457" w:type="dxa"/>
            <w:tcBorders>
              <w:top w:val="nil"/>
              <w:left w:val="nil"/>
              <w:bottom w:val="single" w:sz="4" w:space="0" w:color="auto"/>
              <w:right w:val="single" w:sz="4" w:space="0" w:color="auto"/>
            </w:tcBorders>
            <w:noWrap/>
            <w:vAlign w:val="bottom"/>
            <w:hideMark/>
          </w:tcPr>
          <w:p w14:paraId="5DD894DB" w14:textId="77777777" w:rsidR="008C45A0" w:rsidRPr="004E6650" w:rsidRDefault="008C45A0">
            <w:pPr>
              <w:jc w:val="right"/>
              <w:rPr>
                <w:rFonts w:ascii="Arial" w:hAnsi="Arial" w:cs="Arial"/>
                <w:sz w:val="20"/>
                <w:szCs w:val="20"/>
              </w:rPr>
            </w:pPr>
            <w:r w:rsidRPr="004E6650">
              <w:rPr>
                <w:rFonts w:ascii="Arial" w:hAnsi="Arial" w:cs="Arial"/>
                <w:sz w:val="20"/>
                <w:szCs w:val="20"/>
              </w:rPr>
              <w:t>RAZLIKA</w:t>
            </w:r>
          </w:p>
        </w:tc>
        <w:tc>
          <w:tcPr>
            <w:tcW w:w="1620" w:type="dxa"/>
            <w:tcBorders>
              <w:top w:val="nil"/>
              <w:left w:val="nil"/>
              <w:bottom w:val="single" w:sz="4" w:space="0" w:color="auto"/>
              <w:right w:val="single" w:sz="4" w:space="0" w:color="auto"/>
            </w:tcBorders>
            <w:vAlign w:val="center"/>
            <w:hideMark/>
          </w:tcPr>
          <w:p w14:paraId="58D372D8" w14:textId="77777777" w:rsidR="008C45A0" w:rsidRPr="004E6650" w:rsidRDefault="008C45A0">
            <w:pPr>
              <w:jc w:val="right"/>
              <w:rPr>
                <w:rFonts w:ascii="Arial" w:hAnsi="Arial" w:cs="Arial"/>
                <w:sz w:val="20"/>
                <w:szCs w:val="20"/>
              </w:rPr>
            </w:pPr>
            <w:r w:rsidRPr="004E6650">
              <w:rPr>
                <w:rFonts w:ascii="Arial" w:hAnsi="Arial" w:cs="Arial"/>
                <w:sz w:val="20"/>
                <w:szCs w:val="20"/>
              </w:rPr>
              <w:t>0,00</w:t>
            </w:r>
          </w:p>
        </w:tc>
        <w:tc>
          <w:tcPr>
            <w:tcW w:w="1680" w:type="dxa"/>
            <w:tcBorders>
              <w:top w:val="nil"/>
              <w:left w:val="nil"/>
              <w:bottom w:val="single" w:sz="4" w:space="0" w:color="auto"/>
              <w:right w:val="single" w:sz="4" w:space="0" w:color="auto"/>
            </w:tcBorders>
            <w:vAlign w:val="center"/>
            <w:hideMark/>
          </w:tcPr>
          <w:p w14:paraId="42E9A7C7" w14:textId="77777777" w:rsidR="008C45A0" w:rsidRPr="004E6650" w:rsidRDefault="008C45A0">
            <w:pPr>
              <w:jc w:val="right"/>
              <w:rPr>
                <w:rFonts w:ascii="Arial" w:hAnsi="Arial" w:cs="Arial"/>
                <w:sz w:val="20"/>
                <w:szCs w:val="20"/>
              </w:rPr>
            </w:pPr>
            <w:r w:rsidRPr="004E6650">
              <w:rPr>
                <w:rFonts w:ascii="Arial" w:hAnsi="Arial" w:cs="Arial"/>
                <w:sz w:val="20"/>
                <w:szCs w:val="20"/>
              </w:rPr>
              <w:t>-73.098,66</w:t>
            </w:r>
          </w:p>
        </w:tc>
        <w:tc>
          <w:tcPr>
            <w:tcW w:w="1100" w:type="dxa"/>
            <w:tcBorders>
              <w:top w:val="nil"/>
              <w:left w:val="nil"/>
              <w:bottom w:val="single" w:sz="4" w:space="0" w:color="auto"/>
              <w:right w:val="single" w:sz="4" w:space="0" w:color="auto"/>
            </w:tcBorders>
            <w:noWrap/>
            <w:vAlign w:val="bottom"/>
            <w:hideMark/>
          </w:tcPr>
          <w:p w14:paraId="18D658EF" w14:textId="77777777" w:rsidR="008C45A0" w:rsidRPr="004E6650" w:rsidRDefault="008C45A0">
            <w:pPr>
              <w:rPr>
                <w:rFonts w:ascii="Arial" w:hAnsi="Arial" w:cs="Arial"/>
                <w:sz w:val="20"/>
                <w:szCs w:val="20"/>
              </w:rPr>
            </w:pPr>
            <w:r w:rsidRPr="004E6650">
              <w:rPr>
                <w:rFonts w:ascii="Arial" w:hAnsi="Arial" w:cs="Arial"/>
                <w:sz w:val="20"/>
                <w:szCs w:val="20"/>
              </w:rPr>
              <w:t> </w:t>
            </w:r>
          </w:p>
        </w:tc>
        <w:tc>
          <w:tcPr>
            <w:tcW w:w="36" w:type="dxa"/>
            <w:vAlign w:val="center"/>
            <w:hideMark/>
          </w:tcPr>
          <w:p w14:paraId="721E81EB" w14:textId="77777777" w:rsidR="008C45A0" w:rsidRPr="004E6650" w:rsidRDefault="008C45A0">
            <w:pPr>
              <w:rPr>
                <w:sz w:val="20"/>
                <w:szCs w:val="20"/>
              </w:rPr>
            </w:pPr>
          </w:p>
        </w:tc>
      </w:tr>
    </w:tbl>
    <w:p w14:paraId="1F791027" w14:textId="77777777" w:rsidR="008C45A0" w:rsidRDefault="008C45A0" w:rsidP="00435032">
      <w:pPr>
        <w:jc w:val="both"/>
        <w:rPr>
          <w:rFonts w:ascii="Arial" w:hAnsi="Arial" w:cs="Arial"/>
          <w:b/>
        </w:rPr>
      </w:pPr>
    </w:p>
    <w:p w14:paraId="3E82FDB9" w14:textId="77777777" w:rsidR="0034553E" w:rsidRPr="004E6650" w:rsidRDefault="0034553E" w:rsidP="00435032">
      <w:pPr>
        <w:jc w:val="both"/>
        <w:rPr>
          <w:rFonts w:ascii="Arial" w:hAnsi="Arial" w:cs="Arial"/>
          <w:b/>
        </w:rPr>
      </w:pPr>
    </w:p>
    <w:p w14:paraId="474AB1F2" w14:textId="0C4A2BE5" w:rsidR="007123B9" w:rsidRPr="004E6650" w:rsidRDefault="00D81A2A" w:rsidP="00C82A0B">
      <w:pPr>
        <w:spacing w:line="276" w:lineRule="auto"/>
        <w:jc w:val="both"/>
        <w:rPr>
          <w:rFonts w:ascii="Arial" w:hAnsi="Arial" w:cs="Arial"/>
          <w:sz w:val="22"/>
        </w:rPr>
      </w:pPr>
      <w:r w:rsidRPr="004E6650">
        <w:rPr>
          <w:rFonts w:ascii="Arial" w:hAnsi="Arial" w:cs="Arial"/>
          <w:sz w:val="22"/>
        </w:rPr>
        <w:t xml:space="preserve">Istarski domovi zdravlja </w:t>
      </w:r>
      <w:r w:rsidR="00C82A0B" w:rsidRPr="004E6650">
        <w:rPr>
          <w:rFonts w:ascii="Arial" w:hAnsi="Arial" w:cs="Arial"/>
          <w:sz w:val="22"/>
        </w:rPr>
        <w:t xml:space="preserve">u 2025. godini </w:t>
      </w:r>
      <w:r w:rsidRPr="004E6650">
        <w:rPr>
          <w:rFonts w:ascii="Arial" w:hAnsi="Arial" w:cs="Arial"/>
          <w:sz w:val="22"/>
        </w:rPr>
        <w:t xml:space="preserve">imaju </w:t>
      </w:r>
      <w:r w:rsidR="00C82A0B" w:rsidRPr="004E6650">
        <w:rPr>
          <w:rFonts w:ascii="Arial" w:hAnsi="Arial" w:cs="Arial"/>
          <w:sz w:val="22"/>
        </w:rPr>
        <w:t>1</w:t>
      </w:r>
      <w:r w:rsidRPr="004E6650">
        <w:rPr>
          <w:rFonts w:ascii="Arial" w:hAnsi="Arial" w:cs="Arial"/>
          <w:sz w:val="22"/>
        </w:rPr>
        <w:t xml:space="preserve"> projekt</w:t>
      </w:r>
      <w:r w:rsidR="00C82A0B" w:rsidRPr="004E6650">
        <w:rPr>
          <w:rFonts w:ascii="Arial" w:hAnsi="Arial" w:cs="Arial"/>
          <w:sz w:val="22"/>
        </w:rPr>
        <w:t xml:space="preserve"> </w:t>
      </w:r>
      <w:r w:rsidRPr="004E6650">
        <w:rPr>
          <w:rFonts w:ascii="Arial" w:hAnsi="Arial" w:cs="Arial"/>
          <w:sz w:val="22"/>
        </w:rPr>
        <w:t>koj</w:t>
      </w:r>
      <w:r w:rsidR="00C82A0B" w:rsidRPr="004E6650">
        <w:rPr>
          <w:rFonts w:ascii="Arial" w:hAnsi="Arial" w:cs="Arial"/>
          <w:sz w:val="22"/>
        </w:rPr>
        <w:t>i</w:t>
      </w:r>
      <w:r w:rsidRPr="004E6650">
        <w:rPr>
          <w:rFonts w:ascii="Arial" w:hAnsi="Arial" w:cs="Arial"/>
          <w:sz w:val="22"/>
        </w:rPr>
        <w:t xml:space="preserve"> </w:t>
      </w:r>
      <w:r w:rsidR="00C82A0B" w:rsidRPr="004E6650">
        <w:rPr>
          <w:rFonts w:ascii="Arial" w:hAnsi="Arial" w:cs="Arial"/>
          <w:sz w:val="22"/>
        </w:rPr>
        <w:t>je</w:t>
      </w:r>
      <w:r w:rsidRPr="004E6650">
        <w:rPr>
          <w:rFonts w:ascii="Arial" w:hAnsi="Arial" w:cs="Arial"/>
          <w:sz w:val="22"/>
        </w:rPr>
        <w:t xml:space="preserve"> sufinanciran sredstvima EU</w:t>
      </w:r>
      <w:r w:rsidR="00C82A0B" w:rsidRPr="004E6650">
        <w:rPr>
          <w:rFonts w:ascii="Arial" w:hAnsi="Arial" w:cs="Arial"/>
          <w:sz w:val="22"/>
        </w:rPr>
        <w:t>, a</w:t>
      </w:r>
      <w:r w:rsidRPr="004E6650">
        <w:rPr>
          <w:rFonts w:ascii="Arial" w:hAnsi="Arial" w:cs="Arial"/>
          <w:sz w:val="22"/>
        </w:rPr>
        <w:t xml:space="preserve"> odnos</w:t>
      </w:r>
      <w:r w:rsidR="00C82A0B" w:rsidRPr="004E6650">
        <w:rPr>
          <w:rFonts w:ascii="Arial" w:hAnsi="Arial" w:cs="Arial"/>
          <w:sz w:val="22"/>
        </w:rPr>
        <w:t>i se</w:t>
      </w:r>
      <w:r w:rsidRPr="004E6650">
        <w:rPr>
          <w:rFonts w:ascii="Arial" w:hAnsi="Arial" w:cs="Arial"/>
          <w:sz w:val="22"/>
        </w:rPr>
        <w:t xml:space="preserve"> na specijalističko usavršavanje </w:t>
      </w:r>
      <w:r w:rsidR="004E6650" w:rsidRPr="004E6650">
        <w:rPr>
          <w:rFonts w:ascii="Arial" w:hAnsi="Arial" w:cs="Arial"/>
          <w:sz w:val="22"/>
        </w:rPr>
        <w:t>doktora medicine</w:t>
      </w:r>
      <w:r w:rsidRPr="004E6650">
        <w:rPr>
          <w:rFonts w:ascii="Arial" w:hAnsi="Arial" w:cs="Arial"/>
          <w:sz w:val="22"/>
        </w:rPr>
        <w:t xml:space="preserve">. </w:t>
      </w:r>
      <w:r w:rsidR="00C82A0B" w:rsidRPr="004E6650">
        <w:rPr>
          <w:rFonts w:ascii="Arial" w:hAnsi="Arial" w:cs="Arial"/>
          <w:sz w:val="22"/>
        </w:rPr>
        <w:t>P</w:t>
      </w:r>
      <w:r w:rsidRPr="004E6650">
        <w:rPr>
          <w:rFonts w:ascii="Arial" w:hAnsi="Arial" w:cs="Arial"/>
          <w:sz w:val="22"/>
        </w:rPr>
        <w:t xml:space="preserve">rojekt </w:t>
      </w:r>
      <w:r w:rsidR="00C82A0B" w:rsidRPr="004E6650">
        <w:rPr>
          <w:rFonts w:ascii="Arial" w:hAnsi="Arial" w:cs="Arial"/>
          <w:sz w:val="22"/>
        </w:rPr>
        <w:t xml:space="preserve">je </w:t>
      </w:r>
      <w:r w:rsidRPr="004E6650">
        <w:rPr>
          <w:rFonts w:ascii="Arial" w:hAnsi="Arial" w:cs="Arial"/>
          <w:sz w:val="22"/>
        </w:rPr>
        <w:t>započeo u 2023. godini i obuhvaća specijalizacije za 19 liječnika deficitarnih zanimanja</w:t>
      </w:r>
      <w:r w:rsidR="00947103" w:rsidRPr="004E6650">
        <w:rPr>
          <w:rFonts w:ascii="Arial" w:hAnsi="Arial" w:cs="Arial"/>
          <w:sz w:val="22"/>
        </w:rPr>
        <w:t xml:space="preserve"> </w:t>
      </w:r>
      <w:r w:rsidR="00C82A0B" w:rsidRPr="004E6650">
        <w:rPr>
          <w:rFonts w:ascii="Arial" w:hAnsi="Arial" w:cs="Arial"/>
          <w:sz w:val="22"/>
        </w:rPr>
        <w:t>koje su još</w:t>
      </w:r>
      <w:r w:rsidR="00947103" w:rsidRPr="004E6650">
        <w:rPr>
          <w:rFonts w:ascii="Arial" w:hAnsi="Arial" w:cs="Arial"/>
          <w:sz w:val="22"/>
        </w:rPr>
        <w:t xml:space="preserve"> uvijek sve u tijeku</w:t>
      </w:r>
      <w:r w:rsidRPr="004E6650">
        <w:rPr>
          <w:rFonts w:ascii="Arial" w:hAnsi="Arial" w:cs="Arial"/>
          <w:sz w:val="22"/>
        </w:rPr>
        <w:t xml:space="preserve">. </w:t>
      </w:r>
      <w:r w:rsidR="00C82A0B" w:rsidRPr="004E6650">
        <w:rPr>
          <w:rFonts w:ascii="Arial" w:hAnsi="Arial" w:cs="Arial"/>
          <w:sz w:val="22"/>
        </w:rPr>
        <w:t>Zbog dinamike izrade zahtjeva za refundaciju sredstava (ZNS) koji se izrađuje</w:t>
      </w:r>
      <w:r w:rsidR="00CE7715" w:rsidRPr="004E6650">
        <w:rPr>
          <w:rFonts w:ascii="Arial" w:hAnsi="Arial" w:cs="Arial"/>
          <w:sz w:val="22"/>
        </w:rPr>
        <w:t xml:space="preserve"> </w:t>
      </w:r>
      <w:r w:rsidR="001D0C4B" w:rsidRPr="004E6650">
        <w:rPr>
          <w:rFonts w:ascii="Arial" w:hAnsi="Arial" w:cs="Arial"/>
          <w:sz w:val="22"/>
        </w:rPr>
        <w:t>svaka tri mjeseca</w:t>
      </w:r>
      <w:r w:rsidR="00C82A0B" w:rsidRPr="004E6650">
        <w:rPr>
          <w:rFonts w:ascii="Arial" w:hAnsi="Arial" w:cs="Arial"/>
          <w:sz w:val="22"/>
        </w:rPr>
        <w:t xml:space="preserve"> u 2025. godini došlo je do razlike između ukupno evidentiranih prihoda i ukupno evidentiranih rashoda po osnovi projekta Specijalističko usavršavanje doktora medicine, odnosno na 31.12.2025. godine evidentiran je manjak prihoda nad rashodima u iznosu 73.098,66 eura. </w:t>
      </w:r>
    </w:p>
    <w:p w14:paraId="0CB0C9F5" w14:textId="06173B86" w:rsidR="00947103" w:rsidRPr="004E6650" w:rsidRDefault="00947103" w:rsidP="001D0C4B">
      <w:pPr>
        <w:spacing w:line="276" w:lineRule="auto"/>
        <w:jc w:val="both"/>
        <w:rPr>
          <w:rFonts w:ascii="Arial" w:hAnsi="Arial" w:cs="Arial"/>
          <w:sz w:val="22"/>
        </w:rPr>
      </w:pPr>
    </w:p>
    <w:p w14:paraId="45BD91C9" w14:textId="785AC0EC" w:rsidR="00A70898" w:rsidRPr="004E6650" w:rsidRDefault="00A70898" w:rsidP="001D0C4B">
      <w:pPr>
        <w:spacing w:line="276" w:lineRule="auto"/>
        <w:jc w:val="both"/>
        <w:rPr>
          <w:rFonts w:ascii="Arial" w:hAnsi="Arial" w:cs="Arial"/>
          <w:sz w:val="22"/>
        </w:rPr>
      </w:pPr>
    </w:p>
    <w:p w14:paraId="68C54671" w14:textId="77777777" w:rsidR="00876FF4" w:rsidRDefault="00876FF4" w:rsidP="00435032">
      <w:pPr>
        <w:jc w:val="both"/>
        <w:rPr>
          <w:rFonts w:ascii="Arial" w:hAnsi="Arial" w:cs="Arial"/>
          <w:b/>
        </w:rPr>
      </w:pPr>
    </w:p>
    <w:p w14:paraId="0381AC26" w14:textId="77777777" w:rsidR="00876FF4" w:rsidRDefault="00876FF4" w:rsidP="00435032">
      <w:pPr>
        <w:jc w:val="both"/>
        <w:rPr>
          <w:rFonts w:ascii="Arial" w:hAnsi="Arial" w:cs="Arial"/>
          <w:b/>
        </w:rPr>
      </w:pPr>
    </w:p>
    <w:p w14:paraId="7CF2146D" w14:textId="77777777" w:rsidR="00876FF4" w:rsidRDefault="00876FF4" w:rsidP="00435032">
      <w:pPr>
        <w:jc w:val="both"/>
        <w:rPr>
          <w:rFonts w:ascii="Arial" w:hAnsi="Arial" w:cs="Arial"/>
          <w:b/>
        </w:rPr>
      </w:pPr>
    </w:p>
    <w:p w14:paraId="103588FB" w14:textId="77777777" w:rsidR="00876FF4" w:rsidRDefault="00876FF4" w:rsidP="00435032">
      <w:pPr>
        <w:jc w:val="both"/>
        <w:rPr>
          <w:rFonts w:ascii="Arial" w:hAnsi="Arial" w:cs="Arial"/>
          <w:b/>
        </w:rPr>
      </w:pPr>
    </w:p>
    <w:p w14:paraId="649D3A24" w14:textId="2F0BF765" w:rsidR="0099091E" w:rsidRDefault="0099091E" w:rsidP="00435032">
      <w:pPr>
        <w:jc w:val="both"/>
        <w:rPr>
          <w:rFonts w:ascii="Arial" w:hAnsi="Arial" w:cs="Arial"/>
          <w:b/>
        </w:rPr>
      </w:pPr>
      <w:r w:rsidRPr="004F3556">
        <w:rPr>
          <w:rFonts w:ascii="Arial" w:hAnsi="Arial" w:cs="Arial"/>
          <w:b/>
        </w:rPr>
        <w:lastRenderedPageBreak/>
        <w:t>Izvještaj o stanju potraživanja i dospjelim obvezama</w:t>
      </w:r>
    </w:p>
    <w:p w14:paraId="265E3228" w14:textId="77777777" w:rsidR="00104998" w:rsidRDefault="00104998" w:rsidP="00435032">
      <w:pPr>
        <w:jc w:val="both"/>
        <w:rPr>
          <w:rFonts w:ascii="Arial" w:hAnsi="Arial" w:cs="Arial"/>
          <w:b/>
        </w:rPr>
      </w:pPr>
    </w:p>
    <w:p w14:paraId="3161D9B7" w14:textId="77777777" w:rsidR="00725A13" w:rsidRPr="004F3556" w:rsidRDefault="00725A13" w:rsidP="00435032">
      <w:pPr>
        <w:jc w:val="both"/>
        <w:rPr>
          <w:rFonts w:ascii="Arial" w:hAnsi="Arial" w:cs="Arial"/>
          <w:b/>
        </w:rPr>
      </w:pPr>
    </w:p>
    <w:p w14:paraId="7ECC5808" w14:textId="61151E9E" w:rsidR="0099091E" w:rsidRDefault="00725A13" w:rsidP="00435032">
      <w:pPr>
        <w:jc w:val="both"/>
        <w:rPr>
          <w:rFonts w:ascii="Arial" w:hAnsi="Arial" w:cs="Arial"/>
          <w:sz w:val="22"/>
        </w:rPr>
      </w:pPr>
      <w:r w:rsidRPr="004F3556">
        <w:rPr>
          <w:rFonts w:ascii="Arial" w:hAnsi="Arial" w:cs="Arial"/>
          <w:sz w:val="22"/>
        </w:rPr>
        <w:t>POTRAŽIVANJA</w:t>
      </w:r>
    </w:p>
    <w:tbl>
      <w:tblPr>
        <w:tblW w:w="9100" w:type="dxa"/>
        <w:tblLook w:val="04A0" w:firstRow="1" w:lastRow="0" w:firstColumn="1" w:lastColumn="0" w:noHBand="0" w:noVBand="1"/>
      </w:tblPr>
      <w:tblGrid>
        <w:gridCol w:w="5360"/>
        <w:gridCol w:w="1420"/>
        <w:gridCol w:w="1420"/>
        <w:gridCol w:w="900"/>
      </w:tblGrid>
      <w:tr w:rsidR="004E6650" w:rsidRPr="004E6650" w14:paraId="0296B89D" w14:textId="77777777" w:rsidTr="00657075">
        <w:trPr>
          <w:trHeight w:val="290"/>
        </w:trPr>
        <w:tc>
          <w:tcPr>
            <w:tcW w:w="5360"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3BEB1F2" w14:textId="77777777" w:rsidR="00657075" w:rsidRPr="004E6650" w:rsidRDefault="00657075">
            <w:pPr>
              <w:jc w:val="center"/>
              <w:rPr>
                <w:rFonts w:ascii="Calibri" w:hAnsi="Calibri" w:cs="Calibri"/>
                <w:b/>
                <w:bCs/>
                <w:sz w:val="22"/>
                <w:szCs w:val="22"/>
              </w:rPr>
            </w:pPr>
            <w:r w:rsidRPr="004E6650">
              <w:rPr>
                <w:rFonts w:ascii="Calibri" w:hAnsi="Calibri" w:cs="Calibri"/>
                <w:b/>
                <w:bCs/>
                <w:sz w:val="22"/>
                <w:szCs w:val="22"/>
              </w:rPr>
              <w:t>OPIS</w:t>
            </w:r>
          </w:p>
        </w:tc>
        <w:tc>
          <w:tcPr>
            <w:tcW w:w="2840" w:type="dxa"/>
            <w:gridSpan w:val="2"/>
            <w:tcBorders>
              <w:top w:val="single" w:sz="4" w:space="0" w:color="auto"/>
              <w:left w:val="nil"/>
              <w:bottom w:val="single" w:sz="4" w:space="0" w:color="auto"/>
              <w:right w:val="single" w:sz="4" w:space="0" w:color="000000"/>
            </w:tcBorders>
            <w:shd w:val="clear" w:color="000000" w:fill="D9D9D9"/>
            <w:vAlign w:val="center"/>
            <w:hideMark/>
          </w:tcPr>
          <w:p w14:paraId="45BD4909" w14:textId="77777777" w:rsidR="00657075" w:rsidRPr="004E6650" w:rsidRDefault="00657075">
            <w:pPr>
              <w:jc w:val="center"/>
              <w:rPr>
                <w:rFonts w:ascii="Calibri" w:hAnsi="Calibri" w:cs="Calibri"/>
                <w:b/>
                <w:bCs/>
                <w:sz w:val="22"/>
                <w:szCs w:val="22"/>
              </w:rPr>
            </w:pPr>
            <w:r w:rsidRPr="004E6650">
              <w:rPr>
                <w:rFonts w:ascii="Calibri" w:hAnsi="Calibri" w:cs="Calibri"/>
                <w:b/>
                <w:bCs/>
                <w:sz w:val="22"/>
                <w:szCs w:val="22"/>
              </w:rPr>
              <w:t>STANJE</w:t>
            </w:r>
          </w:p>
        </w:tc>
        <w:tc>
          <w:tcPr>
            <w:tcW w:w="900"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9A7B9FC" w14:textId="77777777" w:rsidR="00657075" w:rsidRPr="004E6650" w:rsidRDefault="00657075">
            <w:pPr>
              <w:jc w:val="center"/>
              <w:rPr>
                <w:rFonts w:ascii="Calibri" w:hAnsi="Calibri" w:cs="Calibri"/>
                <w:b/>
                <w:bCs/>
                <w:sz w:val="22"/>
                <w:szCs w:val="22"/>
              </w:rPr>
            </w:pPr>
            <w:r w:rsidRPr="004E6650">
              <w:rPr>
                <w:rFonts w:ascii="Calibri" w:hAnsi="Calibri" w:cs="Calibri"/>
                <w:b/>
                <w:bCs/>
                <w:sz w:val="22"/>
                <w:szCs w:val="22"/>
              </w:rPr>
              <w:t>Indeks</w:t>
            </w:r>
          </w:p>
        </w:tc>
      </w:tr>
      <w:tr w:rsidR="004E6650" w:rsidRPr="004E6650" w14:paraId="1CD16326" w14:textId="77777777" w:rsidTr="00657075">
        <w:trPr>
          <w:trHeight w:val="340"/>
        </w:trPr>
        <w:tc>
          <w:tcPr>
            <w:tcW w:w="5360" w:type="dxa"/>
            <w:vMerge/>
            <w:tcBorders>
              <w:top w:val="single" w:sz="4" w:space="0" w:color="auto"/>
              <w:left w:val="single" w:sz="4" w:space="0" w:color="auto"/>
              <w:bottom w:val="single" w:sz="4" w:space="0" w:color="auto"/>
              <w:right w:val="single" w:sz="4" w:space="0" w:color="auto"/>
            </w:tcBorders>
            <w:vAlign w:val="center"/>
            <w:hideMark/>
          </w:tcPr>
          <w:p w14:paraId="6B351E1F" w14:textId="77777777" w:rsidR="00657075" w:rsidRPr="004E6650" w:rsidRDefault="00657075">
            <w:pPr>
              <w:rPr>
                <w:rFonts w:ascii="Calibri" w:hAnsi="Calibri" w:cs="Calibri"/>
                <w:b/>
                <w:bCs/>
                <w:sz w:val="22"/>
                <w:szCs w:val="22"/>
              </w:rPr>
            </w:pPr>
          </w:p>
        </w:tc>
        <w:tc>
          <w:tcPr>
            <w:tcW w:w="1420" w:type="dxa"/>
            <w:tcBorders>
              <w:top w:val="nil"/>
              <w:left w:val="nil"/>
              <w:bottom w:val="single" w:sz="4" w:space="0" w:color="auto"/>
              <w:right w:val="single" w:sz="4" w:space="0" w:color="auto"/>
            </w:tcBorders>
            <w:shd w:val="clear" w:color="000000" w:fill="D9D9D9"/>
            <w:vAlign w:val="center"/>
            <w:hideMark/>
          </w:tcPr>
          <w:p w14:paraId="6FD18937" w14:textId="77777777" w:rsidR="00657075" w:rsidRPr="004E6650" w:rsidRDefault="00657075">
            <w:pPr>
              <w:jc w:val="center"/>
              <w:rPr>
                <w:rFonts w:ascii="Calibri" w:hAnsi="Calibri" w:cs="Calibri"/>
                <w:b/>
                <w:bCs/>
                <w:sz w:val="22"/>
                <w:szCs w:val="22"/>
              </w:rPr>
            </w:pPr>
            <w:r w:rsidRPr="004E6650">
              <w:rPr>
                <w:rFonts w:ascii="Calibri" w:hAnsi="Calibri" w:cs="Calibri"/>
                <w:b/>
                <w:bCs/>
                <w:sz w:val="22"/>
                <w:szCs w:val="22"/>
              </w:rPr>
              <w:t>31.12.2024.</w:t>
            </w:r>
          </w:p>
        </w:tc>
        <w:tc>
          <w:tcPr>
            <w:tcW w:w="1420" w:type="dxa"/>
            <w:tcBorders>
              <w:top w:val="nil"/>
              <w:left w:val="nil"/>
              <w:bottom w:val="single" w:sz="4" w:space="0" w:color="auto"/>
              <w:right w:val="single" w:sz="4" w:space="0" w:color="auto"/>
            </w:tcBorders>
            <w:shd w:val="clear" w:color="000000" w:fill="D9D9D9"/>
            <w:vAlign w:val="center"/>
            <w:hideMark/>
          </w:tcPr>
          <w:p w14:paraId="548A00C9" w14:textId="77777777" w:rsidR="00657075" w:rsidRPr="004E6650" w:rsidRDefault="00657075">
            <w:pPr>
              <w:jc w:val="center"/>
              <w:rPr>
                <w:rFonts w:ascii="Calibri" w:hAnsi="Calibri" w:cs="Calibri"/>
                <w:b/>
                <w:bCs/>
                <w:sz w:val="22"/>
                <w:szCs w:val="22"/>
              </w:rPr>
            </w:pPr>
            <w:r w:rsidRPr="004E6650">
              <w:rPr>
                <w:rFonts w:ascii="Calibri" w:hAnsi="Calibri" w:cs="Calibri"/>
                <w:b/>
                <w:bCs/>
                <w:sz w:val="22"/>
                <w:szCs w:val="22"/>
              </w:rPr>
              <w:t>31.12.2025.</w:t>
            </w: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4D4CF7F5" w14:textId="77777777" w:rsidR="00657075" w:rsidRPr="004E6650" w:rsidRDefault="00657075">
            <w:pPr>
              <w:rPr>
                <w:rFonts w:ascii="Calibri" w:hAnsi="Calibri" w:cs="Calibri"/>
                <w:b/>
                <w:bCs/>
                <w:sz w:val="22"/>
                <w:szCs w:val="22"/>
              </w:rPr>
            </w:pPr>
          </w:p>
        </w:tc>
      </w:tr>
      <w:tr w:rsidR="004E6650" w:rsidRPr="004E6650" w14:paraId="17DD13E1" w14:textId="77777777" w:rsidTr="00657075">
        <w:trPr>
          <w:trHeight w:val="450"/>
        </w:trPr>
        <w:tc>
          <w:tcPr>
            <w:tcW w:w="5360" w:type="dxa"/>
            <w:tcBorders>
              <w:top w:val="nil"/>
              <w:left w:val="single" w:sz="4" w:space="0" w:color="auto"/>
              <w:bottom w:val="single" w:sz="4" w:space="0" w:color="auto"/>
              <w:right w:val="single" w:sz="4" w:space="0" w:color="auto"/>
            </w:tcBorders>
            <w:shd w:val="clear" w:color="000000" w:fill="F2F2F2"/>
            <w:noWrap/>
            <w:vAlign w:val="center"/>
            <w:hideMark/>
          </w:tcPr>
          <w:p w14:paraId="27D566EC" w14:textId="77777777" w:rsidR="00657075" w:rsidRPr="004E6650" w:rsidRDefault="00657075">
            <w:pPr>
              <w:rPr>
                <w:rFonts w:ascii="Calibri" w:hAnsi="Calibri" w:cs="Calibri"/>
                <w:b/>
                <w:bCs/>
                <w:sz w:val="22"/>
                <w:szCs w:val="22"/>
              </w:rPr>
            </w:pPr>
            <w:r w:rsidRPr="004E6650">
              <w:rPr>
                <w:rFonts w:ascii="Calibri" w:hAnsi="Calibri" w:cs="Calibri"/>
                <w:b/>
                <w:bCs/>
                <w:sz w:val="22"/>
                <w:szCs w:val="22"/>
              </w:rPr>
              <w:t xml:space="preserve">Potraživanja </w:t>
            </w:r>
          </w:p>
        </w:tc>
        <w:tc>
          <w:tcPr>
            <w:tcW w:w="1420" w:type="dxa"/>
            <w:tcBorders>
              <w:top w:val="nil"/>
              <w:left w:val="nil"/>
              <w:bottom w:val="single" w:sz="4" w:space="0" w:color="auto"/>
              <w:right w:val="single" w:sz="4" w:space="0" w:color="auto"/>
            </w:tcBorders>
            <w:shd w:val="clear" w:color="000000" w:fill="F2F2F2"/>
            <w:noWrap/>
            <w:vAlign w:val="center"/>
            <w:hideMark/>
          </w:tcPr>
          <w:p w14:paraId="40DA3577" w14:textId="77777777" w:rsidR="00657075" w:rsidRPr="004E6650" w:rsidRDefault="00657075">
            <w:pPr>
              <w:jc w:val="right"/>
              <w:rPr>
                <w:rFonts w:ascii="Calibri" w:hAnsi="Calibri" w:cs="Calibri"/>
                <w:b/>
                <w:bCs/>
                <w:sz w:val="22"/>
                <w:szCs w:val="22"/>
              </w:rPr>
            </w:pPr>
            <w:r w:rsidRPr="004E6650">
              <w:rPr>
                <w:rFonts w:ascii="Calibri" w:hAnsi="Calibri" w:cs="Calibri"/>
                <w:b/>
                <w:bCs/>
                <w:sz w:val="22"/>
                <w:szCs w:val="22"/>
              </w:rPr>
              <w:t>4.227.856,74</w:t>
            </w:r>
          </w:p>
        </w:tc>
        <w:tc>
          <w:tcPr>
            <w:tcW w:w="1420" w:type="dxa"/>
            <w:tcBorders>
              <w:top w:val="nil"/>
              <w:left w:val="nil"/>
              <w:bottom w:val="single" w:sz="4" w:space="0" w:color="auto"/>
              <w:right w:val="single" w:sz="4" w:space="0" w:color="auto"/>
            </w:tcBorders>
            <w:shd w:val="clear" w:color="000000" w:fill="F2F2F2"/>
            <w:noWrap/>
            <w:vAlign w:val="center"/>
            <w:hideMark/>
          </w:tcPr>
          <w:p w14:paraId="0E41E5E2" w14:textId="77777777" w:rsidR="00657075" w:rsidRPr="004E6650" w:rsidRDefault="00657075">
            <w:pPr>
              <w:jc w:val="right"/>
              <w:rPr>
                <w:rFonts w:ascii="Calibri" w:hAnsi="Calibri" w:cs="Calibri"/>
                <w:b/>
                <w:bCs/>
                <w:sz w:val="22"/>
                <w:szCs w:val="22"/>
              </w:rPr>
            </w:pPr>
            <w:r w:rsidRPr="004E6650">
              <w:rPr>
                <w:rFonts w:ascii="Calibri" w:hAnsi="Calibri" w:cs="Calibri"/>
                <w:b/>
                <w:bCs/>
                <w:sz w:val="22"/>
                <w:szCs w:val="22"/>
              </w:rPr>
              <w:t>4.982.262,88</w:t>
            </w:r>
          </w:p>
        </w:tc>
        <w:tc>
          <w:tcPr>
            <w:tcW w:w="900" w:type="dxa"/>
            <w:tcBorders>
              <w:top w:val="nil"/>
              <w:left w:val="nil"/>
              <w:bottom w:val="single" w:sz="4" w:space="0" w:color="auto"/>
              <w:right w:val="single" w:sz="4" w:space="0" w:color="auto"/>
            </w:tcBorders>
            <w:shd w:val="clear" w:color="000000" w:fill="F2F2F2"/>
            <w:noWrap/>
            <w:vAlign w:val="center"/>
            <w:hideMark/>
          </w:tcPr>
          <w:p w14:paraId="111CC5CD" w14:textId="77777777" w:rsidR="00657075" w:rsidRPr="004E6650" w:rsidRDefault="00657075">
            <w:pPr>
              <w:jc w:val="center"/>
              <w:rPr>
                <w:rFonts w:ascii="Calibri" w:hAnsi="Calibri" w:cs="Calibri"/>
                <w:b/>
                <w:bCs/>
                <w:sz w:val="22"/>
                <w:szCs w:val="22"/>
              </w:rPr>
            </w:pPr>
            <w:r w:rsidRPr="004E6650">
              <w:rPr>
                <w:rFonts w:ascii="Calibri" w:hAnsi="Calibri" w:cs="Calibri"/>
                <w:b/>
                <w:bCs/>
                <w:sz w:val="22"/>
                <w:szCs w:val="22"/>
              </w:rPr>
              <w:t>118%</w:t>
            </w:r>
          </w:p>
        </w:tc>
      </w:tr>
      <w:tr w:rsidR="004E6650" w:rsidRPr="004E6650" w14:paraId="691A9ACD" w14:textId="77777777" w:rsidTr="00657075">
        <w:trPr>
          <w:trHeight w:val="580"/>
        </w:trPr>
        <w:tc>
          <w:tcPr>
            <w:tcW w:w="5360" w:type="dxa"/>
            <w:tcBorders>
              <w:top w:val="nil"/>
              <w:left w:val="single" w:sz="4" w:space="0" w:color="auto"/>
              <w:bottom w:val="single" w:sz="4" w:space="0" w:color="auto"/>
              <w:right w:val="single" w:sz="4" w:space="0" w:color="auto"/>
            </w:tcBorders>
            <w:vAlign w:val="center"/>
            <w:hideMark/>
          </w:tcPr>
          <w:p w14:paraId="17506061" w14:textId="0972C0FC" w:rsidR="00657075" w:rsidRPr="004E6650" w:rsidRDefault="00657075">
            <w:pPr>
              <w:rPr>
                <w:rFonts w:ascii="Calibri" w:hAnsi="Calibri" w:cs="Calibri"/>
                <w:sz w:val="22"/>
                <w:szCs w:val="22"/>
              </w:rPr>
            </w:pPr>
            <w:r w:rsidRPr="004E6650">
              <w:rPr>
                <w:rFonts w:ascii="Calibri" w:hAnsi="Calibri" w:cs="Calibri"/>
                <w:sz w:val="22"/>
                <w:szCs w:val="22"/>
              </w:rPr>
              <w:t>Potraživanja za pomoći iz inozemstva i od subjekata unutar općeg proračuna (EU specijalizacije i dr.)</w:t>
            </w:r>
          </w:p>
        </w:tc>
        <w:tc>
          <w:tcPr>
            <w:tcW w:w="1420" w:type="dxa"/>
            <w:tcBorders>
              <w:top w:val="nil"/>
              <w:left w:val="nil"/>
              <w:bottom w:val="single" w:sz="4" w:space="0" w:color="auto"/>
              <w:right w:val="single" w:sz="4" w:space="0" w:color="auto"/>
            </w:tcBorders>
            <w:noWrap/>
            <w:vAlign w:val="center"/>
            <w:hideMark/>
          </w:tcPr>
          <w:p w14:paraId="018E2137" w14:textId="77777777" w:rsidR="00657075" w:rsidRPr="004E6650" w:rsidRDefault="00657075">
            <w:pPr>
              <w:jc w:val="right"/>
              <w:rPr>
                <w:rFonts w:ascii="Calibri" w:hAnsi="Calibri" w:cs="Calibri"/>
                <w:sz w:val="22"/>
                <w:szCs w:val="22"/>
              </w:rPr>
            </w:pPr>
            <w:r w:rsidRPr="004E6650">
              <w:rPr>
                <w:rFonts w:ascii="Calibri" w:hAnsi="Calibri" w:cs="Calibri"/>
                <w:sz w:val="22"/>
                <w:szCs w:val="22"/>
              </w:rPr>
              <w:t>236.743,70</w:t>
            </w:r>
          </w:p>
        </w:tc>
        <w:tc>
          <w:tcPr>
            <w:tcW w:w="1420" w:type="dxa"/>
            <w:tcBorders>
              <w:top w:val="nil"/>
              <w:left w:val="nil"/>
              <w:bottom w:val="single" w:sz="4" w:space="0" w:color="auto"/>
              <w:right w:val="single" w:sz="4" w:space="0" w:color="auto"/>
            </w:tcBorders>
            <w:noWrap/>
            <w:vAlign w:val="center"/>
            <w:hideMark/>
          </w:tcPr>
          <w:p w14:paraId="449CE265" w14:textId="77777777" w:rsidR="00657075" w:rsidRPr="004E6650" w:rsidRDefault="00657075">
            <w:pPr>
              <w:jc w:val="right"/>
              <w:rPr>
                <w:rFonts w:ascii="Calibri" w:hAnsi="Calibri" w:cs="Calibri"/>
                <w:sz w:val="22"/>
                <w:szCs w:val="22"/>
              </w:rPr>
            </w:pPr>
            <w:r w:rsidRPr="004E6650">
              <w:rPr>
                <w:rFonts w:ascii="Calibri" w:hAnsi="Calibri" w:cs="Calibri"/>
                <w:sz w:val="22"/>
                <w:szCs w:val="22"/>
              </w:rPr>
              <w:t>213.634,30</w:t>
            </w:r>
          </w:p>
        </w:tc>
        <w:tc>
          <w:tcPr>
            <w:tcW w:w="900" w:type="dxa"/>
            <w:tcBorders>
              <w:top w:val="nil"/>
              <w:left w:val="nil"/>
              <w:bottom w:val="single" w:sz="4" w:space="0" w:color="auto"/>
              <w:right w:val="single" w:sz="4" w:space="0" w:color="auto"/>
            </w:tcBorders>
            <w:shd w:val="clear" w:color="000000" w:fill="F2F2F2"/>
            <w:noWrap/>
            <w:vAlign w:val="center"/>
            <w:hideMark/>
          </w:tcPr>
          <w:p w14:paraId="51A604FF" w14:textId="77777777" w:rsidR="00657075" w:rsidRPr="004E6650" w:rsidRDefault="00657075">
            <w:pPr>
              <w:jc w:val="center"/>
              <w:rPr>
                <w:rFonts w:ascii="Calibri" w:hAnsi="Calibri" w:cs="Calibri"/>
                <w:sz w:val="22"/>
                <w:szCs w:val="22"/>
              </w:rPr>
            </w:pPr>
            <w:r w:rsidRPr="004E6650">
              <w:rPr>
                <w:rFonts w:ascii="Calibri" w:hAnsi="Calibri" w:cs="Calibri"/>
                <w:sz w:val="22"/>
                <w:szCs w:val="22"/>
              </w:rPr>
              <w:t>90%</w:t>
            </w:r>
          </w:p>
        </w:tc>
      </w:tr>
      <w:tr w:rsidR="004E6650" w:rsidRPr="004E6650" w14:paraId="70281411" w14:textId="77777777" w:rsidTr="00657075">
        <w:trPr>
          <w:trHeight w:val="290"/>
        </w:trPr>
        <w:tc>
          <w:tcPr>
            <w:tcW w:w="5360" w:type="dxa"/>
            <w:tcBorders>
              <w:top w:val="nil"/>
              <w:left w:val="single" w:sz="4" w:space="0" w:color="auto"/>
              <w:bottom w:val="single" w:sz="4" w:space="0" w:color="auto"/>
              <w:right w:val="single" w:sz="4" w:space="0" w:color="auto"/>
            </w:tcBorders>
            <w:noWrap/>
            <w:vAlign w:val="center"/>
            <w:hideMark/>
          </w:tcPr>
          <w:p w14:paraId="3CB1A774" w14:textId="77777777" w:rsidR="00657075" w:rsidRPr="004E6650" w:rsidRDefault="00657075">
            <w:pPr>
              <w:rPr>
                <w:rFonts w:ascii="Calibri" w:hAnsi="Calibri" w:cs="Calibri"/>
                <w:sz w:val="22"/>
                <w:szCs w:val="22"/>
              </w:rPr>
            </w:pPr>
            <w:r w:rsidRPr="004E6650">
              <w:rPr>
                <w:rFonts w:ascii="Calibri" w:hAnsi="Calibri" w:cs="Calibri"/>
                <w:sz w:val="22"/>
                <w:szCs w:val="22"/>
              </w:rPr>
              <w:t>Potraživanja za prihode od imovine</w:t>
            </w:r>
          </w:p>
        </w:tc>
        <w:tc>
          <w:tcPr>
            <w:tcW w:w="1420" w:type="dxa"/>
            <w:tcBorders>
              <w:top w:val="nil"/>
              <w:left w:val="nil"/>
              <w:bottom w:val="single" w:sz="4" w:space="0" w:color="auto"/>
              <w:right w:val="single" w:sz="4" w:space="0" w:color="auto"/>
            </w:tcBorders>
            <w:noWrap/>
            <w:vAlign w:val="center"/>
            <w:hideMark/>
          </w:tcPr>
          <w:p w14:paraId="0671E616" w14:textId="77777777" w:rsidR="00657075" w:rsidRPr="004E6650" w:rsidRDefault="00657075">
            <w:pPr>
              <w:jc w:val="right"/>
              <w:rPr>
                <w:rFonts w:ascii="Calibri" w:hAnsi="Calibri" w:cs="Calibri"/>
                <w:sz w:val="22"/>
                <w:szCs w:val="22"/>
              </w:rPr>
            </w:pPr>
            <w:r w:rsidRPr="004E6650">
              <w:rPr>
                <w:rFonts w:ascii="Calibri" w:hAnsi="Calibri" w:cs="Calibri"/>
                <w:sz w:val="22"/>
                <w:szCs w:val="22"/>
              </w:rPr>
              <w:t>64,45</w:t>
            </w:r>
          </w:p>
        </w:tc>
        <w:tc>
          <w:tcPr>
            <w:tcW w:w="1420" w:type="dxa"/>
            <w:tcBorders>
              <w:top w:val="nil"/>
              <w:left w:val="nil"/>
              <w:bottom w:val="single" w:sz="4" w:space="0" w:color="auto"/>
              <w:right w:val="single" w:sz="4" w:space="0" w:color="auto"/>
            </w:tcBorders>
            <w:noWrap/>
            <w:vAlign w:val="center"/>
            <w:hideMark/>
          </w:tcPr>
          <w:p w14:paraId="5A947E68" w14:textId="77777777" w:rsidR="00657075" w:rsidRPr="004E6650" w:rsidRDefault="00657075">
            <w:pPr>
              <w:jc w:val="right"/>
              <w:rPr>
                <w:rFonts w:ascii="Calibri" w:hAnsi="Calibri" w:cs="Calibri"/>
                <w:sz w:val="22"/>
                <w:szCs w:val="22"/>
              </w:rPr>
            </w:pPr>
            <w:r w:rsidRPr="004E6650">
              <w:rPr>
                <w:rFonts w:ascii="Calibri" w:hAnsi="Calibri" w:cs="Calibri"/>
                <w:sz w:val="22"/>
                <w:szCs w:val="22"/>
              </w:rPr>
              <w:t>0,00</w:t>
            </w:r>
          </w:p>
        </w:tc>
        <w:tc>
          <w:tcPr>
            <w:tcW w:w="900" w:type="dxa"/>
            <w:tcBorders>
              <w:top w:val="nil"/>
              <w:left w:val="nil"/>
              <w:bottom w:val="single" w:sz="4" w:space="0" w:color="auto"/>
              <w:right w:val="single" w:sz="4" w:space="0" w:color="auto"/>
            </w:tcBorders>
            <w:shd w:val="clear" w:color="000000" w:fill="F2F2F2"/>
            <w:noWrap/>
            <w:vAlign w:val="center"/>
            <w:hideMark/>
          </w:tcPr>
          <w:p w14:paraId="0DC24043" w14:textId="77777777" w:rsidR="00657075" w:rsidRPr="004E6650" w:rsidRDefault="00657075">
            <w:pPr>
              <w:jc w:val="center"/>
              <w:rPr>
                <w:rFonts w:ascii="Calibri" w:hAnsi="Calibri" w:cs="Calibri"/>
                <w:sz w:val="22"/>
                <w:szCs w:val="22"/>
              </w:rPr>
            </w:pPr>
            <w:r w:rsidRPr="004E6650">
              <w:rPr>
                <w:rFonts w:ascii="Calibri" w:hAnsi="Calibri" w:cs="Calibri"/>
                <w:sz w:val="22"/>
                <w:szCs w:val="22"/>
              </w:rPr>
              <w:t>0%</w:t>
            </w:r>
          </w:p>
        </w:tc>
      </w:tr>
      <w:tr w:rsidR="004E6650" w:rsidRPr="004E6650" w14:paraId="27C55AE9" w14:textId="77777777" w:rsidTr="00657075">
        <w:trPr>
          <w:trHeight w:val="580"/>
        </w:trPr>
        <w:tc>
          <w:tcPr>
            <w:tcW w:w="5360" w:type="dxa"/>
            <w:tcBorders>
              <w:top w:val="nil"/>
              <w:left w:val="single" w:sz="4" w:space="0" w:color="auto"/>
              <w:bottom w:val="single" w:sz="4" w:space="0" w:color="auto"/>
              <w:right w:val="single" w:sz="4" w:space="0" w:color="auto"/>
            </w:tcBorders>
            <w:vAlign w:val="center"/>
            <w:hideMark/>
          </w:tcPr>
          <w:p w14:paraId="4C96C630" w14:textId="066B062C" w:rsidR="00657075" w:rsidRPr="004E6650" w:rsidRDefault="00657075">
            <w:pPr>
              <w:rPr>
                <w:rFonts w:ascii="Calibri" w:hAnsi="Calibri" w:cs="Calibri"/>
                <w:sz w:val="22"/>
                <w:szCs w:val="22"/>
              </w:rPr>
            </w:pPr>
            <w:r w:rsidRPr="004E6650">
              <w:rPr>
                <w:rFonts w:ascii="Calibri" w:hAnsi="Calibri" w:cs="Calibri"/>
                <w:sz w:val="22"/>
                <w:szCs w:val="22"/>
              </w:rPr>
              <w:t xml:space="preserve">Potraživanja za upravne i </w:t>
            </w:r>
            <w:proofErr w:type="spellStart"/>
            <w:r w:rsidRPr="004E6650">
              <w:rPr>
                <w:rFonts w:ascii="Calibri" w:hAnsi="Calibri" w:cs="Calibri"/>
                <w:sz w:val="22"/>
                <w:szCs w:val="22"/>
              </w:rPr>
              <w:t>administr</w:t>
            </w:r>
            <w:proofErr w:type="spellEnd"/>
            <w:r w:rsidRPr="004E6650">
              <w:rPr>
                <w:rFonts w:ascii="Calibri" w:hAnsi="Calibri" w:cs="Calibri"/>
                <w:sz w:val="22"/>
                <w:szCs w:val="22"/>
              </w:rPr>
              <w:t>. pristojbe, pristojbe po posebnim propisima i naknade (dopunsko)</w:t>
            </w:r>
          </w:p>
        </w:tc>
        <w:tc>
          <w:tcPr>
            <w:tcW w:w="1420" w:type="dxa"/>
            <w:tcBorders>
              <w:top w:val="nil"/>
              <w:left w:val="nil"/>
              <w:bottom w:val="single" w:sz="4" w:space="0" w:color="auto"/>
              <w:right w:val="single" w:sz="4" w:space="0" w:color="auto"/>
            </w:tcBorders>
            <w:noWrap/>
            <w:vAlign w:val="center"/>
            <w:hideMark/>
          </w:tcPr>
          <w:p w14:paraId="4F3DFC93" w14:textId="77777777" w:rsidR="00657075" w:rsidRPr="004E6650" w:rsidRDefault="00657075">
            <w:pPr>
              <w:jc w:val="right"/>
              <w:rPr>
                <w:rFonts w:ascii="Calibri" w:hAnsi="Calibri" w:cs="Calibri"/>
                <w:sz w:val="22"/>
                <w:szCs w:val="22"/>
              </w:rPr>
            </w:pPr>
            <w:r w:rsidRPr="004E6650">
              <w:rPr>
                <w:rFonts w:ascii="Calibri" w:hAnsi="Calibri" w:cs="Calibri"/>
                <w:sz w:val="22"/>
                <w:szCs w:val="22"/>
              </w:rPr>
              <w:t>236.479,19</w:t>
            </w:r>
          </w:p>
        </w:tc>
        <w:tc>
          <w:tcPr>
            <w:tcW w:w="1420" w:type="dxa"/>
            <w:tcBorders>
              <w:top w:val="nil"/>
              <w:left w:val="nil"/>
              <w:bottom w:val="single" w:sz="4" w:space="0" w:color="auto"/>
              <w:right w:val="single" w:sz="4" w:space="0" w:color="auto"/>
            </w:tcBorders>
            <w:noWrap/>
            <w:vAlign w:val="center"/>
            <w:hideMark/>
          </w:tcPr>
          <w:p w14:paraId="180F64C7" w14:textId="77777777" w:rsidR="00657075" w:rsidRPr="004E6650" w:rsidRDefault="00657075">
            <w:pPr>
              <w:jc w:val="right"/>
              <w:rPr>
                <w:rFonts w:ascii="Calibri" w:hAnsi="Calibri" w:cs="Calibri"/>
                <w:sz w:val="22"/>
                <w:szCs w:val="22"/>
              </w:rPr>
            </w:pPr>
            <w:r w:rsidRPr="004E6650">
              <w:rPr>
                <w:rFonts w:ascii="Calibri" w:hAnsi="Calibri" w:cs="Calibri"/>
                <w:sz w:val="22"/>
                <w:szCs w:val="22"/>
              </w:rPr>
              <w:t>262.167,97</w:t>
            </w:r>
          </w:p>
        </w:tc>
        <w:tc>
          <w:tcPr>
            <w:tcW w:w="900" w:type="dxa"/>
            <w:tcBorders>
              <w:top w:val="nil"/>
              <w:left w:val="nil"/>
              <w:bottom w:val="single" w:sz="4" w:space="0" w:color="auto"/>
              <w:right w:val="single" w:sz="4" w:space="0" w:color="auto"/>
            </w:tcBorders>
            <w:shd w:val="clear" w:color="000000" w:fill="F2F2F2"/>
            <w:noWrap/>
            <w:vAlign w:val="center"/>
            <w:hideMark/>
          </w:tcPr>
          <w:p w14:paraId="2199E3D0" w14:textId="77777777" w:rsidR="00657075" w:rsidRPr="004E6650" w:rsidRDefault="00657075">
            <w:pPr>
              <w:jc w:val="center"/>
              <w:rPr>
                <w:rFonts w:ascii="Calibri" w:hAnsi="Calibri" w:cs="Calibri"/>
                <w:sz w:val="22"/>
                <w:szCs w:val="22"/>
              </w:rPr>
            </w:pPr>
            <w:r w:rsidRPr="004E6650">
              <w:rPr>
                <w:rFonts w:ascii="Calibri" w:hAnsi="Calibri" w:cs="Calibri"/>
                <w:sz w:val="22"/>
                <w:szCs w:val="22"/>
              </w:rPr>
              <w:t>111%</w:t>
            </w:r>
          </w:p>
        </w:tc>
      </w:tr>
      <w:tr w:rsidR="004E6650" w:rsidRPr="004E6650" w14:paraId="00FEF130" w14:textId="77777777" w:rsidTr="00657075">
        <w:trPr>
          <w:trHeight w:val="580"/>
        </w:trPr>
        <w:tc>
          <w:tcPr>
            <w:tcW w:w="5360" w:type="dxa"/>
            <w:tcBorders>
              <w:top w:val="nil"/>
              <w:left w:val="single" w:sz="4" w:space="0" w:color="auto"/>
              <w:bottom w:val="single" w:sz="4" w:space="0" w:color="auto"/>
              <w:right w:val="single" w:sz="4" w:space="0" w:color="auto"/>
            </w:tcBorders>
            <w:vAlign w:val="center"/>
            <w:hideMark/>
          </w:tcPr>
          <w:p w14:paraId="593D66E6" w14:textId="77777777" w:rsidR="00657075" w:rsidRPr="004E6650" w:rsidRDefault="00657075">
            <w:pPr>
              <w:rPr>
                <w:rFonts w:ascii="Calibri" w:hAnsi="Calibri" w:cs="Calibri"/>
                <w:sz w:val="22"/>
                <w:szCs w:val="22"/>
              </w:rPr>
            </w:pPr>
            <w:r w:rsidRPr="004E6650">
              <w:rPr>
                <w:rFonts w:ascii="Calibri" w:hAnsi="Calibri" w:cs="Calibri"/>
                <w:sz w:val="22"/>
                <w:szCs w:val="22"/>
              </w:rPr>
              <w:t>Potraživanje za prihode od prodaje proizvoda i robe te pruženih usluga</w:t>
            </w:r>
          </w:p>
        </w:tc>
        <w:tc>
          <w:tcPr>
            <w:tcW w:w="1420" w:type="dxa"/>
            <w:tcBorders>
              <w:top w:val="nil"/>
              <w:left w:val="nil"/>
              <w:bottom w:val="single" w:sz="4" w:space="0" w:color="auto"/>
              <w:right w:val="single" w:sz="4" w:space="0" w:color="auto"/>
            </w:tcBorders>
            <w:noWrap/>
            <w:vAlign w:val="center"/>
            <w:hideMark/>
          </w:tcPr>
          <w:p w14:paraId="23A15F9F" w14:textId="77777777" w:rsidR="00657075" w:rsidRPr="004E6650" w:rsidRDefault="00657075">
            <w:pPr>
              <w:jc w:val="right"/>
              <w:rPr>
                <w:rFonts w:ascii="Calibri" w:hAnsi="Calibri" w:cs="Calibri"/>
                <w:sz w:val="22"/>
                <w:szCs w:val="22"/>
              </w:rPr>
            </w:pPr>
            <w:r w:rsidRPr="004E6650">
              <w:rPr>
                <w:rFonts w:ascii="Calibri" w:hAnsi="Calibri" w:cs="Calibri"/>
                <w:sz w:val="22"/>
                <w:szCs w:val="22"/>
              </w:rPr>
              <w:t>156.726,79</w:t>
            </w:r>
          </w:p>
        </w:tc>
        <w:tc>
          <w:tcPr>
            <w:tcW w:w="1420" w:type="dxa"/>
            <w:tcBorders>
              <w:top w:val="nil"/>
              <w:left w:val="nil"/>
              <w:bottom w:val="single" w:sz="4" w:space="0" w:color="auto"/>
              <w:right w:val="single" w:sz="4" w:space="0" w:color="auto"/>
            </w:tcBorders>
            <w:noWrap/>
            <w:vAlign w:val="center"/>
            <w:hideMark/>
          </w:tcPr>
          <w:p w14:paraId="00DE16FB" w14:textId="77777777" w:rsidR="00657075" w:rsidRPr="004E6650" w:rsidRDefault="00657075">
            <w:pPr>
              <w:jc w:val="right"/>
              <w:rPr>
                <w:rFonts w:ascii="Calibri" w:hAnsi="Calibri" w:cs="Calibri"/>
                <w:sz w:val="22"/>
                <w:szCs w:val="22"/>
              </w:rPr>
            </w:pPr>
            <w:r w:rsidRPr="004E6650">
              <w:rPr>
                <w:rFonts w:ascii="Calibri" w:hAnsi="Calibri" w:cs="Calibri"/>
                <w:sz w:val="22"/>
                <w:szCs w:val="22"/>
              </w:rPr>
              <w:t>134.673,63</w:t>
            </w:r>
          </w:p>
        </w:tc>
        <w:tc>
          <w:tcPr>
            <w:tcW w:w="900" w:type="dxa"/>
            <w:tcBorders>
              <w:top w:val="nil"/>
              <w:left w:val="nil"/>
              <w:bottom w:val="single" w:sz="4" w:space="0" w:color="auto"/>
              <w:right w:val="single" w:sz="4" w:space="0" w:color="auto"/>
            </w:tcBorders>
            <w:shd w:val="clear" w:color="000000" w:fill="F2F2F2"/>
            <w:noWrap/>
            <w:vAlign w:val="center"/>
            <w:hideMark/>
          </w:tcPr>
          <w:p w14:paraId="632441D8" w14:textId="77777777" w:rsidR="00657075" w:rsidRPr="004E6650" w:rsidRDefault="00657075">
            <w:pPr>
              <w:jc w:val="center"/>
              <w:rPr>
                <w:rFonts w:ascii="Calibri" w:hAnsi="Calibri" w:cs="Calibri"/>
                <w:sz w:val="22"/>
                <w:szCs w:val="22"/>
              </w:rPr>
            </w:pPr>
            <w:r w:rsidRPr="004E6650">
              <w:rPr>
                <w:rFonts w:ascii="Calibri" w:hAnsi="Calibri" w:cs="Calibri"/>
                <w:sz w:val="22"/>
                <w:szCs w:val="22"/>
              </w:rPr>
              <w:t>86%</w:t>
            </w:r>
          </w:p>
        </w:tc>
      </w:tr>
      <w:tr w:rsidR="004E6650" w:rsidRPr="004E6650" w14:paraId="0B6EAD12" w14:textId="77777777" w:rsidTr="00657075">
        <w:trPr>
          <w:trHeight w:val="870"/>
        </w:trPr>
        <w:tc>
          <w:tcPr>
            <w:tcW w:w="5360" w:type="dxa"/>
            <w:tcBorders>
              <w:top w:val="nil"/>
              <w:left w:val="single" w:sz="4" w:space="0" w:color="auto"/>
              <w:bottom w:val="single" w:sz="4" w:space="0" w:color="auto"/>
              <w:right w:val="single" w:sz="4" w:space="0" w:color="auto"/>
            </w:tcBorders>
            <w:vAlign w:val="center"/>
            <w:hideMark/>
          </w:tcPr>
          <w:p w14:paraId="4F7764BA" w14:textId="77777777" w:rsidR="00657075" w:rsidRPr="004E6650" w:rsidRDefault="00657075">
            <w:pPr>
              <w:rPr>
                <w:rFonts w:ascii="Calibri" w:hAnsi="Calibri" w:cs="Calibri"/>
                <w:sz w:val="22"/>
                <w:szCs w:val="22"/>
              </w:rPr>
            </w:pPr>
            <w:r w:rsidRPr="004E6650">
              <w:rPr>
                <w:rFonts w:ascii="Calibri" w:hAnsi="Calibri" w:cs="Calibri"/>
                <w:sz w:val="22"/>
                <w:szCs w:val="22"/>
              </w:rPr>
              <w:t>Potraživanja proračunskih korisnika za sredstva uplaćena u nadležni proračun i za prihode od HZZO-a na temelju ugovornih obveza</w:t>
            </w:r>
          </w:p>
        </w:tc>
        <w:tc>
          <w:tcPr>
            <w:tcW w:w="1420" w:type="dxa"/>
            <w:tcBorders>
              <w:top w:val="nil"/>
              <w:left w:val="nil"/>
              <w:bottom w:val="single" w:sz="4" w:space="0" w:color="auto"/>
              <w:right w:val="single" w:sz="4" w:space="0" w:color="auto"/>
            </w:tcBorders>
            <w:noWrap/>
            <w:vAlign w:val="center"/>
            <w:hideMark/>
          </w:tcPr>
          <w:p w14:paraId="32600671" w14:textId="77777777" w:rsidR="00657075" w:rsidRPr="004E6650" w:rsidRDefault="00657075">
            <w:pPr>
              <w:jc w:val="right"/>
              <w:rPr>
                <w:rFonts w:ascii="Calibri" w:hAnsi="Calibri" w:cs="Calibri"/>
                <w:sz w:val="22"/>
                <w:szCs w:val="22"/>
              </w:rPr>
            </w:pPr>
            <w:r w:rsidRPr="004E6650">
              <w:rPr>
                <w:rFonts w:ascii="Calibri" w:hAnsi="Calibri" w:cs="Calibri"/>
                <w:sz w:val="22"/>
                <w:szCs w:val="22"/>
              </w:rPr>
              <w:t>3.617.342,49</w:t>
            </w:r>
          </w:p>
        </w:tc>
        <w:tc>
          <w:tcPr>
            <w:tcW w:w="1420" w:type="dxa"/>
            <w:tcBorders>
              <w:top w:val="nil"/>
              <w:left w:val="nil"/>
              <w:bottom w:val="single" w:sz="4" w:space="0" w:color="auto"/>
              <w:right w:val="single" w:sz="4" w:space="0" w:color="auto"/>
            </w:tcBorders>
            <w:noWrap/>
            <w:vAlign w:val="center"/>
            <w:hideMark/>
          </w:tcPr>
          <w:p w14:paraId="28E3FE4F" w14:textId="77777777" w:rsidR="00657075" w:rsidRPr="004E6650" w:rsidRDefault="00657075">
            <w:pPr>
              <w:jc w:val="right"/>
              <w:rPr>
                <w:rFonts w:ascii="Calibri" w:hAnsi="Calibri" w:cs="Calibri"/>
                <w:sz w:val="22"/>
                <w:szCs w:val="22"/>
              </w:rPr>
            </w:pPr>
            <w:r w:rsidRPr="004E6650">
              <w:rPr>
                <w:rFonts w:ascii="Calibri" w:hAnsi="Calibri" w:cs="Calibri"/>
                <w:sz w:val="22"/>
                <w:szCs w:val="22"/>
              </w:rPr>
              <w:t>4.391.384,88</w:t>
            </w:r>
          </w:p>
        </w:tc>
        <w:tc>
          <w:tcPr>
            <w:tcW w:w="900" w:type="dxa"/>
            <w:tcBorders>
              <w:top w:val="nil"/>
              <w:left w:val="nil"/>
              <w:bottom w:val="single" w:sz="4" w:space="0" w:color="auto"/>
              <w:right w:val="single" w:sz="4" w:space="0" w:color="auto"/>
            </w:tcBorders>
            <w:shd w:val="clear" w:color="000000" w:fill="F2F2F2"/>
            <w:noWrap/>
            <w:vAlign w:val="center"/>
            <w:hideMark/>
          </w:tcPr>
          <w:p w14:paraId="4D9FEDB2" w14:textId="77777777" w:rsidR="00657075" w:rsidRPr="004E6650" w:rsidRDefault="00657075">
            <w:pPr>
              <w:jc w:val="center"/>
              <w:rPr>
                <w:rFonts w:ascii="Calibri" w:hAnsi="Calibri" w:cs="Calibri"/>
                <w:sz w:val="22"/>
                <w:szCs w:val="22"/>
              </w:rPr>
            </w:pPr>
            <w:r w:rsidRPr="004E6650">
              <w:rPr>
                <w:rFonts w:ascii="Calibri" w:hAnsi="Calibri" w:cs="Calibri"/>
                <w:sz w:val="22"/>
                <w:szCs w:val="22"/>
              </w:rPr>
              <w:t>121%</w:t>
            </w:r>
          </w:p>
        </w:tc>
      </w:tr>
      <w:tr w:rsidR="004E6650" w:rsidRPr="004E6650" w14:paraId="0AE6895F" w14:textId="77777777" w:rsidTr="00657075">
        <w:trPr>
          <w:trHeight w:val="290"/>
        </w:trPr>
        <w:tc>
          <w:tcPr>
            <w:tcW w:w="5360" w:type="dxa"/>
            <w:tcBorders>
              <w:top w:val="nil"/>
              <w:left w:val="single" w:sz="4" w:space="0" w:color="auto"/>
              <w:bottom w:val="single" w:sz="4" w:space="0" w:color="auto"/>
              <w:right w:val="single" w:sz="4" w:space="0" w:color="auto"/>
            </w:tcBorders>
            <w:vAlign w:val="center"/>
            <w:hideMark/>
          </w:tcPr>
          <w:p w14:paraId="2FF23221" w14:textId="77777777" w:rsidR="00657075" w:rsidRPr="004E6650" w:rsidRDefault="00657075">
            <w:pPr>
              <w:rPr>
                <w:rFonts w:ascii="Calibri" w:hAnsi="Calibri" w:cs="Calibri"/>
                <w:sz w:val="22"/>
                <w:szCs w:val="22"/>
              </w:rPr>
            </w:pPr>
            <w:r w:rsidRPr="004E6650">
              <w:rPr>
                <w:rFonts w:ascii="Calibri" w:hAnsi="Calibri" w:cs="Calibri"/>
                <w:sz w:val="22"/>
                <w:szCs w:val="22"/>
              </w:rPr>
              <w:t>Ispravak vrijednosti potraživanja</w:t>
            </w:r>
          </w:p>
        </w:tc>
        <w:tc>
          <w:tcPr>
            <w:tcW w:w="1420" w:type="dxa"/>
            <w:tcBorders>
              <w:top w:val="nil"/>
              <w:left w:val="nil"/>
              <w:bottom w:val="single" w:sz="4" w:space="0" w:color="auto"/>
              <w:right w:val="single" w:sz="4" w:space="0" w:color="auto"/>
            </w:tcBorders>
            <w:noWrap/>
            <w:vAlign w:val="center"/>
            <w:hideMark/>
          </w:tcPr>
          <w:p w14:paraId="7979E45E" w14:textId="77777777" w:rsidR="00657075" w:rsidRPr="004E6650" w:rsidRDefault="00657075">
            <w:pPr>
              <w:jc w:val="right"/>
              <w:rPr>
                <w:rFonts w:ascii="Calibri" w:hAnsi="Calibri" w:cs="Calibri"/>
                <w:sz w:val="22"/>
                <w:szCs w:val="22"/>
              </w:rPr>
            </w:pPr>
            <w:r w:rsidRPr="004E6650">
              <w:rPr>
                <w:rFonts w:ascii="Calibri" w:hAnsi="Calibri" w:cs="Calibri"/>
                <w:sz w:val="22"/>
                <w:szCs w:val="22"/>
              </w:rPr>
              <w:t>-19.499,88</w:t>
            </w:r>
          </w:p>
        </w:tc>
        <w:tc>
          <w:tcPr>
            <w:tcW w:w="1420" w:type="dxa"/>
            <w:tcBorders>
              <w:top w:val="nil"/>
              <w:left w:val="nil"/>
              <w:bottom w:val="single" w:sz="4" w:space="0" w:color="auto"/>
              <w:right w:val="single" w:sz="4" w:space="0" w:color="auto"/>
            </w:tcBorders>
            <w:noWrap/>
            <w:vAlign w:val="center"/>
            <w:hideMark/>
          </w:tcPr>
          <w:p w14:paraId="543AD5D2" w14:textId="77777777" w:rsidR="00657075" w:rsidRPr="004E6650" w:rsidRDefault="00657075">
            <w:pPr>
              <w:jc w:val="right"/>
              <w:rPr>
                <w:rFonts w:ascii="Calibri" w:hAnsi="Calibri" w:cs="Calibri"/>
                <w:sz w:val="22"/>
                <w:szCs w:val="22"/>
              </w:rPr>
            </w:pPr>
            <w:r w:rsidRPr="004E6650">
              <w:rPr>
                <w:rFonts w:ascii="Calibri" w:hAnsi="Calibri" w:cs="Calibri"/>
                <w:sz w:val="22"/>
                <w:szCs w:val="22"/>
              </w:rPr>
              <w:t>-19.597,90</w:t>
            </w:r>
          </w:p>
        </w:tc>
        <w:tc>
          <w:tcPr>
            <w:tcW w:w="900" w:type="dxa"/>
            <w:tcBorders>
              <w:top w:val="nil"/>
              <w:left w:val="nil"/>
              <w:bottom w:val="single" w:sz="4" w:space="0" w:color="auto"/>
              <w:right w:val="single" w:sz="4" w:space="0" w:color="auto"/>
            </w:tcBorders>
            <w:shd w:val="clear" w:color="000000" w:fill="F2F2F2"/>
            <w:noWrap/>
            <w:vAlign w:val="center"/>
            <w:hideMark/>
          </w:tcPr>
          <w:p w14:paraId="7029B3E0" w14:textId="77777777" w:rsidR="00657075" w:rsidRPr="004E6650" w:rsidRDefault="00657075">
            <w:pPr>
              <w:jc w:val="center"/>
              <w:rPr>
                <w:rFonts w:ascii="Calibri" w:hAnsi="Calibri" w:cs="Calibri"/>
                <w:sz w:val="22"/>
                <w:szCs w:val="22"/>
              </w:rPr>
            </w:pPr>
            <w:r w:rsidRPr="004E6650">
              <w:rPr>
                <w:rFonts w:ascii="Calibri" w:hAnsi="Calibri" w:cs="Calibri"/>
                <w:sz w:val="22"/>
                <w:szCs w:val="22"/>
              </w:rPr>
              <w:t>101%</w:t>
            </w:r>
          </w:p>
        </w:tc>
      </w:tr>
    </w:tbl>
    <w:p w14:paraId="1D7E679C" w14:textId="5965DF82" w:rsidR="000B0F77" w:rsidRPr="0002422C" w:rsidRDefault="000B0F77" w:rsidP="00435032">
      <w:pPr>
        <w:jc w:val="both"/>
        <w:rPr>
          <w:rFonts w:ascii="Arial" w:hAnsi="Arial" w:cs="Arial"/>
          <w:sz w:val="22"/>
        </w:rPr>
      </w:pPr>
    </w:p>
    <w:p w14:paraId="076462F6" w14:textId="43A9FF15" w:rsidR="00DA3462" w:rsidRPr="0002422C" w:rsidRDefault="00C82A0B" w:rsidP="006F3CB5">
      <w:pPr>
        <w:jc w:val="both"/>
        <w:rPr>
          <w:rFonts w:ascii="Arial" w:hAnsi="Arial" w:cs="Arial"/>
          <w:sz w:val="18"/>
          <w:szCs w:val="18"/>
        </w:rPr>
      </w:pPr>
      <w:r w:rsidRPr="0002422C">
        <w:rPr>
          <w:rFonts w:ascii="Arial" w:hAnsi="Arial" w:cs="Arial"/>
          <w:sz w:val="22"/>
          <w:szCs w:val="22"/>
        </w:rPr>
        <w:t>P</w:t>
      </w:r>
      <w:r w:rsidR="00B753A6" w:rsidRPr="0002422C">
        <w:rPr>
          <w:rFonts w:ascii="Arial" w:hAnsi="Arial" w:cs="Arial"/>
          <w:sz w:val="22"/>
          <w:szCs w:val="22"/>
        </w:rPr>
        <w:t xml:space="preserve">otraživanja od HZZO-a u iznosu </w:t>
      </w:r>
      <w:r w:rsidRPr="0002422C">
        <w:rPr>
          <w:rFonts w:ascii="Arial" w:hAnsi="Arial" w:cs="Arial"/>
          <w:sz w:val="22"/>
          <w:szCs w:val="22"/>
        </w:rPr>
        <w:t>4.391.384,88</w:t>
      </w:r>
      <w:r w:rsidR="00B753A6" w:rsidRPr="0002422C">
        <w:rPr>
          <w:rFonts w:ascii="Arial" w:hAnsi="Arial" w:cs="Arial"/>
          <w:sz w:val="22"/>
          <w:szCs w:val="22"/>
        </w:rPr>
        <w:t xml:space="preserve"> eura (</w:t>
      </w:r>
      <w:r w:rsidR="006F3CB5" w:rsidRPr="0002422C">
        <w:rPr>
          <w:rFonts w:ascii="Arial" w:hAnsi="Arial" w:cs="Arial"/>
          <w:sz w:val="22"/>
          <w:szCs w:val="22"/>
        </w:rPr>
        <w:t>2.247.400,36</w:t>
      </w:r>
      <w:r w:rsidR="006F3CB5" w:rsidRPr="0002422C">
        <w:rPr>
          <w:rFonts w:ascii="Arial" w:hAnsi="Arial" w:cs="Arial"/>
          <w:sz w:val="18"/>
          <w:szCs w:val="18"/>
        </w:rPr>
        <w:t xml:space="preserve"> </w:t>
      </w:r>
      <w:r w:rsidR="00B753A6" w:rsidRPr="0002422C">
        <w:rPr>
          <w:rFonts w:ascii="Arial" w:hAnsi="Arial" w:cs="Arial"/>
          <w:sz w:val="22"/>
          <w:szCs w:val="22"/>
        </w:rPr>
        <w:t xml:space="preserve">eura nedospjelo) </w:t>
      </w:r>
    </w:p>
    <w:p w14:paraId="4EACA1C7" w14:textId="77777777" w:rsidR="00DA3462" w:rsidRPr="0002422C" w:rsidRDefault="00B753A6" w:rsidP="00B753A6">
      <w:pPr>
        <w:spacing w:line="276" w:lineRule="auto"/>
        <w:jc w:val="both"/>
        <w:rPr>
          <w:rFonts w:ascii="Arial" w:hAnsi="Arial" w:cs="Arial"/>
          <w:sz w:val="22"/>
          <w:szCs w:val="22"/>
        </w:rPr>
      </w:pPr>
      <w:r w:rsidRPr="0002422C">
        <w:rPr>
          <w:rFonts w:ascii="Arial" w:hAnsi="Arial" w:cs="Arial"/>
          <w:sz w:val="22"/>
          <w:szCs w:val="22"/>
        </w:rPr>
        <w:t>čine 8</w:t>
      </w:r>
      <w:r w:rsidR="00C82A0B" w:rsidRPr="0002422C">
        <w:rPr>
          <w:rFonts w:ascii="Arial" w:hAnsi="Arial" w:cs="Arial"/>
          <w:sz w:val="22"/>
          <w:szCs w:val="22"/>
        </w:rPr>
        <w:t>8</w:t>
      </w:r>
      <w:r w:rsidRPr="0002422C">
        <w:rPr>
          <w:rFonts w:ascii="Arial" w:hAnsi="Arial" w:cs="Arial"/>
          <w:sz w:val="22"/>
          <w:szCs w:val="22"/>
        </w:rPr>
        <w:t>% ukupnih potraživanja</w:t>
      </w:r>
      <w:r w:rsidR="00DA3462" w:rsidRPr="0002422C">
        <w:rPr>
          <w:rFonts w:ascii="Arial" w:hAnsi="Arial" w:cs="Arial"/>
          <w:sz w:val="22"/>
          <w:szCs w:val="22"/>
        </w:rPr>
        <w:t xml:space="preserve"> ustanove čime su najznačajnija stavka u prihodima Istarskih domova zdravlja. U odnosu na 2024. godinu kada su potraživanja od HZZO-a iznosila 3.614.342,49 eura, u 2025. godini potraživanja su veća za 21,4 %. </w:t>
      </w:r>
    </w:p>
    <w:p w14:paraId="092B07C3" w14:textId="5355789C" w:rsidR="00DA3462" w:rsidRPr="0002422C" w:rsidRDefault="00DA3462" w:rsidP="00DA3462">
      <w:pPr>
        <w:jc w:val="both"/>
        <w:rPr>
          <w:rFonts w:ascii="Arial" w:hAnsi="Arial" w:cs="Arial"/>
          <w:sz w:val="22"/>
          <w:szCs w:val="22"/>
        </w:rPr>
      </w:pPr>
      <w:r w:rsidRPr="0002422C">
        <w:rPr>
          <w:rFonts w:ascii="Arial" w:hAnsi="Arial" w:cs="Arial"/>
          <w:sz w:val="22"/>
          <w:szCs w:val="22"/>
        </w:rPr>
        <w:t xml:space="preserve">Potraživanja za upravne i administrativne pristojbe, pristojbe po posebnim propisima i naknade (dopunsko) veća su za 11% u odnosu na 2024. godinu zbog većeg broja ordinacija koje posluju u sustavu </w:t>
      </w:r>
      <w:r w:rsidR="0002422C" w:rsidRPr="0002422C">
        <w:rPr>
          <w:rFonts w:ascii="Arial" w:hAnsi="Arial" w:cs="Arial"/>
          <w:sz w:val="22"/>
          <w:szCs w:val="22"/>
        </w:rPr>
        <w:t>I</w:t>
      </w:r>
      <w:r w:rsidRPr="0002422C">
        <w:rPr>
          <w:rFonts w:ascii="Arial" w:hAnsi="Arial" w:cs="Arial"/>
          <w:sz w:val="22"/>
          <w:szCs w:val="22"/>
        </w:rPr>
        <w:t>starskih domova zdravlja.</w:t>
      </w:r>
    </w:p>
    <w:p w14:paraId="287BB844" w14:textId="297669C5" w:rsidR="00DA3462" w:rsidRPr="0002422C" w:rsidRDefault="005E22CD" w:rsidP="00B753A6">
      <w:pPr>
        <w:spacing w:line="276" w:lineRule="auto"/>
        <w:jc w:val="both"/>
        <w:rPr>
          <w:rFonts w:ascii="Arial" w:hAnsi="Arial" w:cs="Arial"/>
          <w:sz w:val="22"/>
          <w:szCs w:val="22"/>
        </w:rPr>
      </w:pPr>
      <w:r w:rsidRPr="0002422C">
        <w:rPr>
          <w:rFonts w:ascii="Arial" w:hAnsi="Arial" w:cs="Arial"/>
          <w:sz w:val="22"/>
          <w:szCs w:val="22"/>
        </w:rPr>
        <w:t>Potraživanje za prihode od prodaje proizvoda i robe te pruženih usluga</w:t>
      </w:r>
      <w:r w:rsidR="00F77002" w:rsidRPr="0002422C">
        <w:rPr>
          <w:rFonts w:ascii="Arial" w:hAnsi="Arial" w:cs="Arial"/>
          <w:sz w:val="22"/>
          <w:szCs w:val="22"/>
        </w:rPr>
        <w:t xml:space="preserve"> imaju izvršenje sa indeksom 86% zbog bolje naplate računa po osnovi režija od zakupa.</w:t>
      </w:r>
    </w:p>
    <w:p w14:paraId="29894A9B" w14:textId="77777777" w:rsidR="0099091E" w:rsidRDefault="0099091E" w:rsidP="00435032">
      <w:pPr>
        <w:jc w:val="both"/>
        <w:rPr>
          <w:rFonts w:ascii="Arial" w:hAnsi="Arial" w:cs="Arial"/>
          <w:sz w:val="16"/>
        </w:rPr>
      </w:pPr>
    </w:p>
    <w:p w14:paraId="49D6EBD0" w14:textId="77777777" w:rsidR="00657075" w:rsidRDefault="00657075" w:rsidP="00435032">
      <w:pPr>
        <w:jc w:val="both"/>
        <w:rPr>
          <w:rFonts w:ascii="Arial" w:hAnsi="Arial" w:cs="Arial"/>
          <w:sz w:val="16"/>
        </w:rPr>
      </w:pPr>
    </w:p>
    <w:p w14:paraId="0C1CE940" w14:textId="77777777" w:rsidR="0002422C" w:rsidRDefault="0002422C" w:rsidP="00435032">
      <w:pPr>
        <w:jc w:val="both"/>
        <w:rPr>
          <w:rFonts w:ascii="Arial" w:hAnsi="Arial" w:cs="Arial"/>
          <w:sz w:val="16"/>
        </w:rPr>
      </w:pPr>
    </w:p>
    <w:p w14:paraId="7C54FDC0" w14:textId="3E509FBF" w:rsidR="00657075" w:rsidRPr="00657075" w:rsidRDefault="00657075" w:rsidP="00435032">
      <w:pPr>
        <w:jc w:val="both"/>
        <w:rPr>
          <w:rFonts w:ascii="Arial" w:hAnsi="Arial" w:cs="Arial"/>
          <w:sz w:val="22"/>
          <w:szCs w:val="22"/>
        </w:rPr>
      </w:pPr>
      <w:r w:rsidRPr="00657075">
        <w:rPr>
          <w:rFonts w:ascii="Arial" w:hAnsi="Arial" w:cs="Arial"/>
          <w:sz w:val="22"/>
          <w:szCs w:val="22"/>
        </w:rPr>
        <w:t>OBVEZE</w:t>
      </w:r>
    </w:p>
    <w:p w14:paraId="5C223BA5" w14:textId="77777777" w:rsidR="00657075" w:rsidRDefault="00657075" w:rsidP="00435032">
      <w:pPr>
        <w:jc w:val="both"/>
        <w:rPr>
          <w:rFonts w:ascii="Arial" w:hAnsi="Arial" w:cs="Arial"/>
          <w:sz w:val="16"/>
        </w:rPr>
      </w:pPr>
    </w:p>
    <w:tbl>
      <w:tblPr>
        <w:tblW w:w="9100" w:type="dxa"/>
        <w:tblLook w:val="04A0" w:firstRow="1" w:lastRow="0" w:firstColumn="1" w:lastColumn="0" w:noHBand="0" w:noVBand="1"/>
      </w:tblPr>
      <w:tblGrid>
        <w:gridCol w:w="5360"/>
        <w:gridCol w:w="1420"/>
        <w:gridCol w:w="1420"/>
        <w:gridCol w:w="900"/>
      </w:tblGrid>
      <w:tr w:rsidR="0002422C" w:rsidRPr="0002422C" w14:paraId="18F6FF78" w14:textId="77777777" w:rsidTr="00657075">
        <w:trPr>
          <w:trHeight w:val="290"/>
        </w:trPr>
        <w:tc>
          <w:tcPr>
            <w:tcW w:w="5360"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2B61374" w14:textId="77777777" w:rsidR="00657075" w:rsidRPr="0002422C" w:rsidRDefault="00657075">
            <w:pPr>
              <w:jc w:val="center"/>
              <w:rPr>
                <w:rFonts w:ascii="Calibri" w:hAnsi="Calibri" w:cs="Calibri"/>
                <w:b/>
                <w:bCs/>
                <w:sz w:val="22"/>
                <w:szCs w:val="22"/>
              </w:rPr>
            </w:pPr>
            <w:r w:rsidRPr="0002422C">
              <w:rPr>
                <w:rFonts w:ascii="Calibri" w:hAnsi="Calibri" w:cs="Calibri"/>
                <w:b/>
                <w:bCs/>
                <w:sz w:val="22"/>
                <w:szCs w:val="22"/>
              </w:rPr>
              <w:t>OPIS</w:t>
            </w:r>
          </w:p>
        </w:tc>
        <w:tc>
          <w:tcPr>
            <w:tcW w:w="2840" w:type="dxa"/>
            <w:gridSpan w:val="2"/>
            <w:tcBorders>
              <w:top w:val="single" w:sz="4" w:space="0" w:color="auto"/>
              <w:left w:val="nil"/>
              <w:bottom w:val="single" w:sz="4" w:space="0" w:color="auto"/>
              <w:right w:val="single" w:sz="4" w:space="0" w:color="000000"/>
            </w:tcBorders>
            <w:shd w:val="clear" w:color="000000" w:fill="D9D9D9"/>
            <w:vAlign w:val="center"/>
            <w:hideMark/>
          </w:tcPr>
          <w:p w14:paraId="4E155123" w14:textId="77777777" w:rsidR="00657075" w:rsidRPr="0002422C" w:rsidRDefault="00657075">
            <w:pPr>
              <w:jc w:val="center"/>
              <w:rPr>
                <w:rFonts w:ascii="Calibri" w:hAnsi="Calibri" w:cs="Calibri"/>
                <w:b/>
                <w:bCs/>
                <w:sz w:val="22"/>
                <w:szCs w:val="22"/>
              </w:rPr>
            </w:pPr>
            <w:r w:rsidRPr="0002422C">
              <w:rPr>
                <w:rFonts w:ascii="Calibri" w:hAnsi="Calibri" w:cs="Calibri"/>
                <w:b/>
                <w:bCs/>
                <w:sz w:val="22"/>
                <w:szCs w:val="22"/>
              </w:rPr>
              <w:t>STANJE</w:t>
            </w:r>
          </w:p>
        </w:tc>
        <w:tc>
          <w:tcPr>
            <w:tcW w:w="900"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2D67945" w14:textId="77777777" w:rsidR="00657075" w:rsidRPr="0002422C" w:rsidRDefault="00657075">
            <w:pPr>
              <w:jc w:val="center"/>
              <w:rPr>
                <w:rFonts w:ascii="Calibri" w:hAnsi="Calibri" w:cs="Calibri"/>
                <w:b/>
                <w:bCs/>
                <w:sz w:val="22"/>
                <w:szCs w:val="22"/>
              </w:rPr>
            </w:pPr>
            <w:r w:rsidRPr="0002422C">
              <w:rPr>
                <w:rFonts w:ascii="Calibri" w:hAnsi="Calibri" w:cs="Calibri"/>
                <w:b/>
                <w:bCs/>
                <w:sz w:val="22"/>
                <w:szCs w:val="22"/>
              </w:rPr>
              <w:t>Indeks</w:t>
            </w:r>
          </w:p>
        </w:tc>
      </w:tr>
      <w:tr w:rsidR="0002422C" w:rsidRPr="0002422C" w14:paraId="10C459EF" w14:textId="77777777" w:rsidTr="00657075">
        <w:trPr>
          <w:trHeight w:val="350"/>
        </w:trPr>
        <w:tc>
          <w:tcPr>
            <w:tcW w:w="5360" w:type="dxa"/>
            <w:vMerge/>
            <w:tcBorders>
              <w:top w:val="single" w:sz="4" w:space="0" w:color="auto"/>
              <w:left w:val="single" w:sz="4" w:space="0" w:color="auto"/>
              <w:bottom w:val="single" w:sz="4" w:space="0" w:color="auto"/>
              <w:right w:val="single" w:sz="4" w:space="0" w:color="auto"/>
            </w:tcBorders>
            <w:vAlign w:val="center"/>
            <w:hideMark/>
          </w:tcPr>
          <w:p w14:paraId="56B3694C" w14:textId="77777777" w:rsidR="00657075" w:rsidRPr="0002422C" w:rsidRDefault="00657075">
            <w:pPr>
              <w:rPr>
                <w:rFonts w:ascii="Calibri" w:hAnsi="Calibri" w:cs="Calibri"/>
                <w:b/>
                <w:bCs/>
                <w:sz w:val="22"/>
                <w:szCs w:val="22"/>
              </w:rPr>
            </w:pPr>
          </w:p>
        </w:tc>
        <w:tc>
          <w:tcPr>
            <w:tcW w:w="1420" w:type="dxa"/>
            <w:tcBorders>
              <w:top w:val="nil"/>
              <w:left w:val="nil"/>
              <w:bottom w:val="single" w:sz="4" w:space="0" w:color="auto"/>
              <w:right w:val="single" w:sz="4" w:space="0" w:color="auto"/>
            </w:tcBorders>
            <w:shd w:val="clear" w:color="000000" w:fill="D9D9D9"/>
            <w:vAlign w:val="center"/>
            <w:hideMark/>
          </w:tcPr>
          <w:p w14:paraId="3BDB661F" w14:textId="77777777" w:rsidR="00657075" w:rsidRPr="0002422C" w:rsidRDefault="00657075">
            <w:pPr>
              <w:jc w:val="center"/>
              <w:rPr>
                <w:rFonts w:ascii="Calibri" w:hAnsi="Calibri" w:cs="Calibri"/>
                <w:b/>
                <w:bCs/>
                <w:sz w:val="22"/>
                <w:szCs w:val="22"/>
              </w:rPr>
            </w:pPr>
            <w:r w:rsidRPr="0002422C">
              <w:rPr>
                <w:rFonts w:ascii="Calibri" w:hAnsi="Calibri" w:cs="Calibri"/>
                <w:b/>
                <w:bCs/>
                <w:sz w:val="22"/>
                <w:szCs w:val="22"/>
              </w:rPr>
              <w:t>31.12.2024.</w:t>
            </w:r>
          </w:p>
        </w:tc>
        <w:tc>
          <w:tcPr>
            <w:tcW w:w="1420" w:type="dxa"/>
            <w:tcBorders>
              <w:top w:val="nil"/>
              <w:left w:val="nil"/>
              <w:bottom w:val="single" w:sz="4" w:space="0" w:color="auto"/>
              <w:right w:val="single" w:sz="4" w:space="0" w:color="auto"/>
            </w:tcBorders>
            <w:shd w:val="clear" w:color="000000" w:fill="D9D9D9"/>
            <w:vAlign w:val="center"/>
            <w:hideMark/>
          </w:tcPr>
          <w:p w14:paraId="6AE9811C" w14:textId="77777777" w:rsidR="00657075" w:rsidRPr="0002422C" w:rsidRDefault="00657075">
            <w:pPr>
              <w:jc w:val="center"/>
              <w:rPr>
                <w:rFonts w:ascii="Calibri" w:hAnsi="Calibri" w:cs="Calibri"/>
                <w:b/>
                <w:bCs/>
                <w:sz w:val="22"/>
                <w:szCs w:val="22"/>
              </w:rPr>
            </w:pPr>
            <w:r w:rsidRPr="0002422C">
              <w:rPr>
                <w:rFonts w:ascii="Calibri" w:hAnsi="Calibri" w:cs="Calibri"/>
                <w:b/>
                <w:bCs/>
                <w:sz w:val="22"/>
                <w:szCs w:val="22"/>
              </w:rPr>
              <w:t>31.12.2025.</w:t>
            </w: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1B0B04D0" w14:textId="77777777" w:rsidR="00657075" w:rsidRPr="0002422C" w:rsidRDefault="00657075">
            <w:pPr>
              <w:rPr>
                <w:rFonts w:ascii="Calibri" w:hAnsi="Calibri" w:cs="Calibri"/>
                <w:b/>
                <w:bCs/>
                <w:sz w:val="22"/>
                <w:szCs w:val="22"/>
              </w:rPr>
            </w:pPr>
          </w:p>
        </w:tc>
      </w:tr>
      <w:tr w:rsidR="0002422C" w:rsidRPr="0002422C" w14:paraId="0FA438A9" w14:textId="77777777" w:rsidTr="00657075">
        <w:trPr>
          <w:trHeight w:val="290"/>
        </w:trPr>
        <w:tc>
          <w:tcPr>
            <w:tcW w:w="5360" w:type="dxa"/>
            <w:tcBorders>
              <w:top w:val="nil"/>
              <w:left w:val="single" w:sz="4" w:space="0" w:color="auto"/>
              <w:bottom w:val="single" w:sz="4" w:space="0" w:color="auto"/>
              <w:right w:val="single" w:sz="4" w:space="0" w:color="auto"/>
            </w:tcBorders>
            <w:noWrap/>
            <w:vAlign w:val="center"/>
            <w:hideMark/>
          </w:tcPr>
          <w:p w14:paraId="57BAEC68" w14:textId="77777777" w:rsidR="00657075" w:rsidRPr="0002422C" w:rsidRDefault="00657075">
            <w:pPr>
              <w:rPr>
                <w:rFonts w:ascii="Calibri" w:hAnsi="Calibri" w:cs="Calibri"/>
                <w:b/>
                <w:bCs/>
                <w:sz w:val="22"/>
                <w:szCs w:val="22"/>
              </w:rPr>
            </w:pPr>
            <w:r w:rsidRPr="0002422C">
              <w:rPr>
                <w:rFonts w:ascii="Calibri" w:hAnsi="Calibri" w:cs="Calibri"/>
                <w:b/>
                <w:bCs/>
                <w:sz w:val="22"/>
                <w:szCs w:val="22"/>
              </w:rPr>
              <w:t>Stanje obveza - ukupno</w:t>
            </w:r>
          </w:p>
        </w:tc>
        <w:tc>
          <w:tcPr>
            <w:tcW w:w="1420" w:type="dxa"/>
            <w:tcBorders>
              <w:top w:val="nil"/>
              <w:left w:val="nil"/>
              <w:bottom w:val="single" w:sz="4" w:space="0" w:color="auto"/>
              <w:right w:val="single" w:sz="4" w:space="0" w:color="auto"/>
            </w:tcBorders>
            <w:noWrap/>
            <w:vAlign w:val="center"/>
            <w:hideMark/>
          </w:tcPr>
          <w:p w14:paraId="390C2FAB" w14:textId="77777777" w:rsidR="00657075" w:rsidRPr="0002422C" w:rsidRDefault="00657075">
            <w:pPr>
              <w:jc w:val="right"/>
              <w:rPr>
                <w:rFonts w:ascii="Calibri" w:hAnsi="Calibri" w:cs="Calibri"/>
                <w:b/>
                <w:bCs/>
                <w:sz w:val="22"/>
                <w:szCs w:val="22"/>
              </w:rPr>
            </w:pPr>
            <w:r w:rsidRPr="0002422C">
              <w:rPr>
                <w:rFonts w:ascii="Calibri" w:hAnsi="Calibri" w:cs="Calibri"/>
                <w:b/>
                <w:bCs/>
                <w:sz w:val="22"/>
                <w:szCs w:val="22"/>
              </w:rPr>
              <w:t>4.171.845,64</w:t>
            </w:r>
          </w:p>
        </w:tc>
        <w:tc>
          <w:tcPr>
            <w:tcW w:w="1420" w:type="dxa"/>
            <w:tcBorders>
              <w:top w:val="nil"/>
              <w:left w:val="nil"/>
              <w:bottom w:val="single" w:sz="4" w:space="0" w:color="auto"/>
              <w:right w:val="single" w:sz="4" w:space="0" w:color="auto"/>
            </w:tcBorders>
            <w:noWrap/>
            <w:vAlign w:val="center"/>
            <w:hideMark/>
          </w:tcPr>
          <w:p w14:paraId="238D7D74" w14:textId="77777777" w:rsidR="00657075" w:rsidRPr="0002422C" w:rsidRDefault="00657075">
            <w:pPr>
              <w:jc w:val="right"/>
              <w:rPr>
                <w:rFonts w:ascii="Calibri" w:hAnsi="Calibri" w:cs="Calibri"/>
                <w:b/>
                <w:bCs/>
                <w:sz w:val="22"/>
                <w:szCs w:val="22"/>
              </w:rPr>
            </w:pPr>
            <w:r w:rsidRPr="0002422C">
              <w:rPr>
                <w:rFonts w:ascii="Calibri" w:hAnsi="Calibri" w:cs="Calibri"/>
                <w:b/>
                <w:bCs/>
                <w:sz w:val="22"/>
                <w:szCs w:val="22"/>
              </w:rPr>
              <w:t>4.357.659,95</w:t>
            </w:r>
          </w:p>
        </w:tc>
        <w:tc>
          <w:tcPr>
            <w:tcW w:w="900" w:type="dxa"/>
            <w:tcBorders>
              <w:top w:val="nil"/>
              <w:left w:val="nil"/>
              <w:bottom w:val="single" w:sz="4" w:space="0" w:color="auto"/>
              <w:right w:val="single" w:sz="4" w:space="0" w:color="auto"/>
            </w:tcBorders>
            <w:noWrap/>
            <w:vAlign w:val="center"/>
            <w:hideMark/>
          </w:tcPr>
          <w:p w14:paraId="061285D0" w14:textId="77777777" w:rsidR="00657075" w:rsidRPr="0002422C" w:rsidRDefault="00657075">
            <w:pPr>
              <w:jc w:val="center"/>
              <w:rPr>
                <w:rFonts w:ascii="Calibri" w:hAnsi="Calibri" w:cs="Calibri"/>
                <w:b/>
                <w:bCs/>
                <w:sz w:val="22"/>
                <w:szCs w:val="22"/>
              </w:rPr>
            </w:pPr>
            <w:r w:rsidRPr="0002422C">
              <w:rPr>
                <w:rFonts w:ascii="Calibri" w:hAnsi="Calibri" w:cs="Calibri"/>
                <w:b/>
                <w:bCs/>
                <w:sz w:val="22"/>
                <w:szCs w:val="22"/>
              </w:rPr>
              <w:t>104%</w:t>
            </w:r>
          </w:p>
        </w:tc>
      </w:tr>
      <w:tr w:rsidR="0002422C" w:rsidRPr="0002422C" w14:paraId="225FD4A8" w14:textId="77777777" w:rsidTr="00657075">
        <w:trPr>
          <w:trHeight w:val="290"/>
        </w:trPr>
        <w:tc>
          <w:tcPr>
            <w:tcW w:w="5360" w:type="dxa"/>
            <w:tcBorders>
              <w:top w:val="nil"/>
              <w:left w:val="single" w:sz="4" w:space="0" w:color="auto"/>
              <w:bottom w:val="single" w:sz="4" w:space="0" w:color="auto"/>
              <w:right w:val="single" w:sz="4" w:space="0" w:color="auto"/>
            </w:tcBorders>
            <w:shd w:val="clear" w:color="000000" w:fill="F2F2F2"/>
            <w:vAlign w:val="center"/>
            <w:hideMark/>
          </w:tcPr>
          <w:p w14:paraId="2A1E526F" w14:textId="77777777" w:rsidR="00657075" w:rsidRPr="0002422C" w:rsidRDefault="00657075">
            <w:pPr>
              <w:rPr>
                <w:rFonts w:ascii="Calibri" w:hAnsi="Calibri" w:cs="Calibri"/>
                <w:b/>
                <w:bCs/>
                <w:sz w:val="22"/>
                <w:szCs w:val="22"/>
              </w:rPr>
            </w:pPr>
            <w:r w:rsidRPr="0002422C">
              <w:rPr>
                <w:rFonts w:ascii="Calibri" w:hAnsi="Calibri" w:cs="Calibri"/>
                <w:b/>
                <w:bCs/>
                <w:sz w:val="22"/>
                <w:szCs w:val="22"/>
              </w:rPr>
              <w:t>Stanje dospjelih obveza</w:t>
            </w:r>
          </w:p>
        </w:tc>
        <w:tc>
          <w:tcPr>
            <w:tcW w:w="1420" w:type="dxa"/>
            <w:tcBorders>
              <w:top w:val="nil"/>
              <w:left w:val="nil"/>
              <w:bottom w:val="single" w:sz="4" w:space="0" w:color="auto"/>
              <w:right w:val="single" w:sz="4" w:space="0" w:color="auto"/>
            </w:tcBorders>
            <w:shd w:val="clear" w:color="000000" w:fill="F2F2F2"/>
            <w:noWrap/>
            <w:vAlign w:val="center"/>
            <w:hideMark/>
          </w:tcPr>
          <w:p w14:paraId="684D3826" w14:textId="77777777" w:rsidR="00657075" w:rsidRPr="0002422C" w:rsidRDefault="00657075">
            <w:pPr>
              <w:jc w:val="right"/>
              <w:rPr>
                <w:rFonts w:ascii="Calibri" w:hAnsi="Calibri" w:cs="Calibri"/>
                <w:b/>
                <w:bCs/>
                <w:sz w:val="22"/>
                <w:szCs w:val="22"/>
              </w:rPr>
            </w:pPr>
            <w:r w:rsidRPr="0002422C">
              <w:rPr>
                <w:rFonts w:ascii="Calibri" w:hAnsi="Calibri" w:cs="Calibri"/>
                <w:b/>
                <w:bCs/>
                <w:sz w:val="22"/>
                <w:szCs w:val="22"/>
              </w:rPr>
              <w:t>150.965,83</w:t>
            </w:r>
          </w:p>
        </w:tc>
        <w:tc>
          <w:tcPr>
            <w:tcW w:w="1420" w:type="dxa"/>
            <w:tcBorders>
              <w:top w:val="nil"/>
              <w:left w:val="nil"/>
              <w:bottom w:val="single" w:sz="4" w:space="0" w:color="auto"/>
              <w:right w:val="single" w:sz="4" w:space="0" w:color="auto"/>
            </w:tcBorders>
            <w:shd w:val="clear" w:color="000000" w:fill="F2F2F2"/>
            <w:noWrap/>
            <w:vAlign w:val="center"/>
            <w:hideMark/>
          </w:tcPr>
          <w:p w14:paraId="7570031C" w14:textId="77777777" w:rsidR="00657075" w:rsidRPr="0002422C" w:rsidRDefault="00657075">
            <w:pPr>
              <w:jc w:val="right"/>
              <w:rPr>
                <w:rFonts w:ascii="Calibri" w:hAnsi="Calibri" w:cs="Calibri"/>
                <w:b/>
                <w:bCs/>
                <w:sz w:val="22"/>
                <w:szCs w:val="22"/>
              </w:rPr>
            </w:pPr>
            <w:r w:rsidRPr="0002422C">
              <w:rPr>
                <w:rFonts w:ascii="Calibri" w:hAnsi="Calibri" w:cs="Calibri"/>
                <w:b/>
                <w:bCs/>
                <w:sz w:val="22"/>
                <w:szCs w:val="22"/>
              </w:rPr>
              <w:t>30.556,35</w:t>
            </w:r>
          </w:p>
        </w:tc>
        <w:tc>
          <w:tcPr>
            <w:tcW w:w="900" w:type="dxa"/>
            <w:tcBorders>
              <w:top w:val="nil"/>
              <w:left w:val="nil"/>
              <w:bottom w:val="single" w:sz="4" w:space="0" w:color="auto"/>
              <w:right w:val="single" w:sz="4" w:space="0" w:color="auto"/>
            </w:tcBorders>
            <w:shd w:val="clear" w:color="000000" w:fill="F2F2F2"/>
            <w:noWrap/>
            <w:vAlign w:val="center"/>
            <w:hideMark/>
          </w:tcPr>
          <w:p w14:paraId="65344C4B" w14:textId="77777777" w:rsidR="00657075" w:rsidRPr="0002422C" w:rsidRDefault="00657075">
            <w:pPr>
              <w:jc w:val="center"/>
              <w:rPr>
                <w:rFonts w:ascii="Calibri" w:hAnsi="Calibri" w:cs="Calibri"/>
                <w:b/>
                <w:bCs/>
                <w:sz w:val="22"/>
                <w:szCs w:val="22"/>
              </w:rPr>
            </w:pPr>
            <w:r w:rsidRPr="0002422C">
              <w:rPr>
                <w:rFonts w:ascii="Calibri" w:hAnsi="Calibri" w:cs="Calibri"/>
                <w:b/>
                <w:bCs/>
                <w:sz w:val="22"/>
                <w:szCs w:val="22"/>
              </w:rPr>
              <w:t>20%</w:t>
            </w:r>
          </w:p>
        </w:tc>
      </w:tr>
      <w:tr w:rsidR="0002422C" w:rsidRPr="0002422C" w14:paraId="796209F5" w14:textId="77777777" w:rsidTr="00657075">
        <w:trPr>
          <w:trHeight w:val="550"/>
        </w:trPr>
        <w:tc>
          <w:tcPr>
            <w:tcW w:w="5360" w:type="dxa"/>
            <w:tcBorders>
              <w:top w:val="nil"/>
              <w:left w:val="single" w:sz="4" w:space="0" w:color="auto"/>
              <w:bottom w:val="single" w:sz="4" w:space="0" w:color="auto"/>
              <w:right w:val="single" w:sz="4" w:space="0" w:color="auto"/>
            </w:tcBorders>
            <w:vAlign w:val="center"/>
            <w:hideMark/>
          </w:tcPr>
          <w:p w14:paraId="516DEABA" w14:textId="77777777" w:rsidR="00657075" w:rsidRPr="0002422C" w:rsidRDefault="00657075">
            <w:pPr>
              <w:rPr>
                <w:rFonts w:ascii="Calibri" w:hAnsi="Calibri" w:cs="Calibri"/>
                <w:sz w:val="22"/>
                <w:szCs w:val="22"/>
              </w:rPr>
            </w:pPr>
            <w:r w:rsidRPr="0002422C">
              <w:rPr>
                <w:rFonts w:ascii="Calibri" w:hAnsi="Calibri" w:cs="Calibri"/>
                <w:sz w:val="22"/>
                <w:szCs w:val="22"/>
              </w:rPr>
              <w:t xml:space="preserve">Međusobne obveze subjekata općeg proračuna </w:t>
            </w:r>
            <w:r w:rsidRPr="0002422C">
              <w:rPr>
                <w:rFonts w:ascii="Calibri" w:hAnsi="Calibri" w:cs="Calibri"/>
                <w:sz w:val="20"/>
                <w:szCs w:val="20"/>
              </w:rPr>
              <w:t>(prekoračenje 1 do 60 dana)</w:t>
            </w:r>
          </w:p>
        </w:tc>
        <w:tc>
          <w:tcPr>
            <w:tcW w:w="1420" w:type="dxa"/>
            <w:tcBorders>
              <w:top w:val="nil"/>
              <w:left w:val="nil"/>
              <w:bottom w:val="single" w:sz="4" w:space="0" w:color="auto"/>
              <w:right w:val="single" w:sz="4" w:space="0" w:color="auto"/>
            </w:tcBorders>
            <w:noWrap/>
            <w:vAlign w:val="center"/>
            <w:hideMark/>
          </w:tcPr>
          <w:p w14:paraId="00D2B62B" w14:textId="77777777" w:rsidR="00657075" w:rsidRPr="0002422C" w:rsidRDefault="00657075">
            <w:pPr>
              <w:jc w:val="right"/>
              <w:rPr>
                <w:rFonts w:ascii="Calibri" w:hAnsi="Calibri" w:cs="Calibri"/>
                <w:sz w:val="22"/>
                <w:szCs w:val="22"/>
              </w:rPr>
            </w:pPr>
            <w:r w:rsidRPr="0002422C">
              <w:rPr>
                <w:rFonts w:ascii="Calibri" w:hAnsi="Calibri" w:cs="Calibri"/>
                <w:sz w:val="22"/>
                <w:szCs w:val="22"/>
              </w:rPr>
              <w:t>37.144,30</w:t>
            </w:r>
          </w:p>
        </w:tc>
        <w:tc>
          <w:tcPr>
            <w:tcW w:w="1420" w:type="dxa"/>
            <w:tcBorders>
              <w:top w:val="nil"/>
              <w:left w:val="nil"/>
              <w:bottom w:val="single" w:sz="4" w:space="0" w:color="auto"/>
              <w:right w:val="single" w:sz="4" w:space="0" w:color="auto"/>
            </w:tcBorders>
            <w:noWrap/>
            <w:vAlign w:val="center"/>
            <w:hideMark/>
          </w:tcPr>
          <w:p w14:paraId="2EA345DF" w14:textId="77777777" w:rsidR="00657075" w:rsidRPr="0002422C" w:rsidRDefault="00657075">
            <w:pPr>
              <w:jc w:val="right"/>
              <w:rPr>
                <w:rFonts w:ascii="Calibri" w:hAnsi="Calibri" w:cs="Calibri"/>
                <w:sz w:val="22"/>
                <w:szCs w:val="22"/>
              </w:rPr>
            </w:pPr>
            <w:r w:rsidRPr="0002422C">
              <w:rPr>
                <w:rFonts w:ascii="Calibri" w:hAnsi="Calibri" w:cs="Calibri"/>
                <w:sz w:val="22"/>
                <w:szCs w:val="22"/>
              </w:rPr>
              <w:t>186,81</w:t>
            </w:r>
          </w:p>
        </w:tc>
        <w:tc>
          <w:tcPr>
            <w:tcW w:w="900" w:type="dxa"/>
            <w:tcBorders>
              <w:top w:val="nil"/>
              <w:left w:val="nil"/>
              <w:bottom w:val="single" w:sz="4" w:space="0" w:color="auto"/>
              <w:right w:val="single" w:sz="4" w:space="0" w:color="auto"/>
            </w:tcBorders>
            <w:noWrap/>
            <w:vAlign w:val="center"/>
            <w:hideMark/>
          </w:tcPr>
          <w:p w14:paraId="48BC42F8" w14:textId="77777777" w:rsidR="00657075" w:rsidRPr="0002422C" w:rsidRDefault="00657075">
            <w:pPr>
              <w:jc w:val="center"/>
              <w:rPr>
                <w:rFonts w:ascii="Calibri" w:hAnsi="Calibri" w:cs="Calibri"/>
                <w:sz w:val="22"/>
                <w:szCs w:val="22"/>
              </w:rPr>
            </w:pPr>
            <w:r w:rsidRPr="0002422C">
              <w:rPr>
                <w:rFonts w:ascii="Calibri" w:hAnsi="Calibri" w:cs="Calibri"/>
                <w:sz w:val="22"/>
                <w:szCs w:val="22"/>
              </w:rPr>
              <w:t>1%</w:t>
            </w:r>
          </w:p>
        </w:tc>
      </w:tr>
      <w:tr w:rsidR="0002422C" w:rsidRPr="0002422C" w14:paraId="5BCE1610" w14:textId="77777777" w:rsidTr="00657075">
        <w:trPr>
          <w:trHeight w:val="280"/>
        </w:trPr>
        <w:tc>
          <w:tcPr>
            <w:tcW w:w="5360" w:type="dxa"/>
            <w:tcBorders>
              <w:top w:val="nil"/>
              <w:left w:val="single" w:sz="4" w:space="0" w:color="auto"/>
              <w:bottom w:val="single" w:sz="4" w:space="0" w:color="auto"/>
              <w:right w:val="single" w:sz="4" w:space="0" w:color="auto"/>
            </w:tcBorders>
            <w:vAlign w:val="center"/>
            <w:hideMark/>
          </w:tcPr>
          <w:p w14:paraId="4124E6B4" w14:textId="77777777" w:rsidR="00657075" w:rsidRPr="0002422C" w:rsidRDefault="00657075">
            <w:pPr>
              <w:rPr>
                <w:rFonts w:ascii="Calibri" w:hAnsi="Calibri" w:cs="Calibri"/>
                <w:sz w:val="22"/>
                <w:szCs w:val="22"/>
              </w:rPr>
            </w:pPr>
            <w:r w:rsidRPr="0002422C">
              <w:rPr>
                <w:rFonts w:ascii="Calibri" w:hAnsi="Calibri" w:cs="Calibri"/>
                <w:sz w:val="22"/>
                <w:szCs w:val="22"/>
              </w:rPr>
              <w:t xml:space="preserve">Obveze za rashode poslovanja </w:t>
            </w:r>
            <w:r w:rsidRPr="0002422C">
              <w:rPr>
                <w:rFonts w:ascii="Calibri" w:hAnsi="Calibri" w:cs="Calibri"/>
                <w:sz w:val="20"/>
                <w:szCs w:val="20"/>
              </w:rPr>
              <w:t xml:space="preserve">(prekoračenje 1 do 180 dana) </w:t>
            </w:r>
          </w:p>
        </w:tc>
        <w:tc>
          <w:tcPr>
            <w:tcW w:w="1420" w:type="dxa"/>
            <w:tcBorders>
              <w:top w:val="nil"/>
              <w:left w:val="nil"/>
              <w:bottom w:val="single" w:sz="4" w:space="0" w:color="auto"/>
              <w:right w:val="single" w:sz="4" w:space="0" w:color="auto"/>
            </w:tcBorders>
            <w:noWrap/>
            <w:vAlign w:val="center"/>
            <w:hideMark/>
          </w:tcPr>
          <w:p w14:paraId="3FB3540B" w14:textId="77777777" w:rsidR="00657075" w:rsidRPr="0002422C" w:rsidRDefault="00657075">
            <w:pPr>
              <w:jc w:val="right"/>
              <w:rPr>
                <w:rFonts w:ascii="Calibri" w:hAnsi="Calibri" w:cs="Calibri"/>
                <w:sz w:val="22"/>
                <w:szCs w:val="22"/>
              </w:rPr>
            </w:pPr>
            <w:r w:rsidRPr="0002422C">
              <w:rPr>
                <w:rFonts w:ascii="Calibri" w:hAnsi="Calibri" w:cs="Calibri"/>
                <w:sz w:val="22"/>
                <w:szCs w:val="22"/>
              </w:rPr>
              <w:t>113.821,53</w:t>
            </w:r>
          </w:p>
        </w:tc>
        <w:tc>
          <w:tcPr>
            <w:tcW w:w="1420" w:type="dxa"/>
            <w:tcBorders>
              <w:top w:val="nil"/>
              <w:left w:val="nil"/>
              <w:bottom w:val="single" w:sz="4" w:space="0" w:color="auto"/>
              <w:right w:val="single" w:sz="4" w:space="0" w:color="auto"/>
            </w:tcBorders>
            <w:noWrap/>
            <w:vAlign w:val="center"/>
            <w:hideMark/>
          </w:tcPr>
          <w:p w14:paraId="5DABFCDE" w14:textId="77777777" w:rsidR="00657075" w:rsidRPr="0002422C" w:rsidRDefault="00657075">
            <w:pPr>
              <w:jc w:val="right"/>
              <w:rPr>
                <w:rFonts w:ascii="Calibri" w:hAnsi="Calibri" w:cs="Calibri"/>
                <w:sz w:val="22"/>
                <w:szCs w:val="22"/>
              </w:rPr>
            </w:pPr>
            <w:r w:rsidRPr="0002422C">
              <w:rPr>
                <w:rFonts w:ascii="Calibri" w:hAnsi="Calibri" w:cs="Calibri"/>
                <w:sz w:val="22"/>
                <w:szCs w:val="22"/>
              </w:rPr>
              <w:t>30.369,54</w:t>
            </w:r>
          </w:p>
        </w:tc>
        <w:tc>
          <w:tcPr>
            <w:tcW w:w="900" w:type="dxa"/>
            <w:tcBorders>
              <w:top w:val="nil"/>
              <w:left w:val="nil"/>
              <w:bottom w:val="single" w:sz="4" w:space="0" w:color="auto"/>
              <w:right w:val="single" w:sz="4" w:space="0" w:color="auto"/>
            </w:tcBorders>
            <w:noWrap/>
            <w:vAlign w:val="center"/>
            <w:hideMark/>
          </w:tcPr>
          <w:p w14:paraId="2A10A671" w14:textId="77777777" w:rsidR="00657075" w:rsidRPr="0002422C" w:rsidRDefault="00657075">
            <w:pPr>
              <w:jc w:val="center"/>
              <w:rPr>
                <w:rFonts w:ascii="Calibri" w:hAnsi="Calibri" w:cs="Calibri"/>
                <w:sz w:val="22"/>
                <w:szCs w:val="22"/>
              </w:rPr>
            </w:pPr>
            <w:r w:rsidRPr="0002422C">
              <w:rPr>
                <w:rFonts w:ascii="Calibri" w:hAnsi="Calibri" w:cs="Calibri"/>
                <w:sz w:val="22"/>
                <w:szCs w:val="22"/>
              </w:rPr>
              <w:t>27%</w:t>
            </w:r>
          </w:p>
        </w:tc>
      </w:tr>
      <w:tr w:rsidR="0002422C" w:rsidRPr="0002422C" w14:paraId="0A89B61E" w14:textId="77777777" w:rsidTr="00657075">
        <w:trPr>
          <w:trHeight w:val="290"/>
        </w:trPr>
        <w:tc>
          <w:tcPr>
            <w:tcW w:w="5360" w:type="dxa"/>
            <w:tcBorders>
              <w:top w:val="nil"/>
              <w:left w:val="single" w:sz="4" w:space="0" w:color="auto"/>
              <w:bottom w:val="single" w:sz="4" w:space="0" w:color="auto"/>
              <w:right w:val="single" w:sz="4" w:space="0" w:color="auto"/>
            </w:tcBorders>
            <w:shd w:val="clear" w:color="000000" w:fill="F2F2F2"/>
            <w:noWrap/>
            <w:vAlign w:val="center"/>
            <w:hideMark/>
          </w:tcPr>
          <w:p w14:paraId="0C315BED" w14:textId="77777777" w:rsidR="00657075" w:rsidRPr="0002422C" w:rsidRDefault="00657075">
            <w:pPr>
              <w:rPr>
                <w:rFonts w:ascii="Calibri" w:hAnsi="Calibri" w:cs="Calibri"/>
                <w:b/>
                <w:bCs/>
                <w:sz w:val="22"/>
                <w:szCs w:val="22"/>
              </w:rPr>
            </w:pPr>
            <w:r w:rsidRPr="0002422C">
              <w:rPr>
                <w:rFonts w:ascii="Calibri" w:hAnsi="Calibri" w:cs="Calibri"/>
                <w:b/>
                <w:bCs/>
                <w:sz w:val="22"/>
                <w:szCs w:val="22"/>
              </w:rPr>
              <w:t>Stanje nedospjelih obveza</w:t>
            </w:r>
          </w:p>
        </w:tc>
        <w:tc>
          <w:tcPr>
            <w:tcW w:w="1420" w:type="dxa"/>
            <w:tcBorders>
              <w:top w:val="nil"/>
              <w:left w:val="nil"/>
              <w:bottom w:val="single" w:sz="4" w:space="0" w:color="auto"/>
              <w:right w:val="single" w:sz="4" w:space="0" w:color="auto"/>
            </w:tcBorders>
            <w:shd w:val="clear" w:color="000000" w:fill="F2F2F2"/>
            <w:noWrap/>
            <w:vAlign w:val="center"/>
            <w:hideMark/>
          </w:tcPr>
          <w:p w14:paraId="5CA04D17" w14:textId="77777777" w:rsidR="00657075" w:rsidRPr="0002422C" w:rsidRDefault="00657075">
            <w:pPr>
              <w:jc w:val="right"/>
              <w:rPr>
                <w:rFonts w:ascii="Calibri" w:hAnsi="Calibri" w:cs="Calibri"/>
                <w:b/>
                <w:bCs/>
                <w:sz w:val="22"/>
                <w:szCs w:val="22"/>
              </w:rPr>
            </w:pPr>
            <w:r w:rsidRPr="0002422C">
              <w:rPr>
                <w:rFonts w:ascii="Calibri" w:hAnsi="Calibri" w:cs="Calibri"/>
                <w:b/>
                <w:bCs/>
                <w:sz w:val="22"/>
                <w:szCs w:val="22"/>
              </w:rPr>
              <w:t>4.020.879,81</w:t>
            </w:r>
          </w:p>
        </w:tc>
        <w:tc>
          <w:tcPr>
            <w:tcW w:w="1420" w:type="dxa"/>
            <w:tcBorders>
              <w:top w:val="nil"/>
              <w:left w:val="nil"/>
              <w:bottom w:val="single" w:sz="4" w:space="0" w:color="auto"/>
              <w:right w:val="single" w:sz="4" w:space="0" w:color="auto"/>
            </w:tcBorders>
            <w:shd w:val="clear" w:color="000000" w:fill="F2F2F2"/>
            <w:noWrap/>
            <w:vAlign w:val="center"/>
            <w:hideMark/>
          </w:tcPr>
          <w:p w14:paraId="0CBA5BD4" w14:textId="77777777" w:rsidR="00657075" w:rsidRPr="0002422C" w:rsidRDefault="00657075">
            <w:pPr>
              <w:jc w:val="right"/>
              <w:rPr>
                <w:rFonts w:ascii="Calibri" w:hAnsi="Calibri" w:cs="Calibri"/>
                <w:b/>
                <w:bCs/>
                <w:sz w:val="22"/>
                <w:szCs w:val="22"/>
              </w:rPr>
            </w:pPr>
            <w:r w:rsidRPr="0002422C">
              <w:rPr>
                <w:rFonts w:ascii="Calibri" w:hAnsi="Calibri" w:cs="Calibri"/>
                <w:b/>
                <w:bCs/>
                <w:sz w:val="22"/>
                <w:szCs w:val="22"/>
              </w:rPr>
              <w:t>4.327.103,60</w:t>
            </w:r>
          </w:p>
        </w:tc>
        <w:tc>
          <w:tcPr>
            <w:tcW w:w="900" w:type="dxa"/>
            <w:tcBorders>
              <w:top w:val="nil"/>
              <w:left w:val="nil"/>
              <w:bottom w:val="single" w:sz="4" w:space="0" w:color="auto"/>
              <w:right w:val="single" w:sz="4" w:space="0" w:color="auto"/>
            </w:tcBorders>
            <w:shd w:val="clear" w:color="000000" w:fill="F2F2F2"/>
            <w:noWrap/>
            <w:vAlign w:val="center"/>
            <w:hideMark/>
          </w:tcPr>
          <w:p w14:paraId="646179C7" w14:textId="77777777" w:rsidR="00657075" w:rsidRPr="0002422C" w:rsidRDefault="00657075">
            <w:pPr>
              <w:jc w:val="center"/>
              <w:rPr>
                <w:rFonts w:ascii="Calibri" w:hAnsi="Calibri" w:cs="Calibri"/>
                <w:b/>
                <w:bCs/>
                <w:sz w:val="22"/>
                <w:szCs w:val="22"/>
              </w:rPr>
            </w:pPr>
            <w:r w:rsidRPr="0002422C">
              <w:rPr>
                <w:rFonts w:ascii="Calibri" w:hAnsi="Calibri" w:cs="Calibri"/>
                <w:b/>
                <w:bCs/>
                <w:sz w:val="22"/>
                <w:szCs w:val="22"/>
              </w:rPr>
              <w:t>108%</w:t>
            </w:r>
          </w:p>
        </w:tc>
      </w:tr>
      <w:tr w:rsidR="0002422C" w:rsidRPr="0002422C" w14:paraId="0810474A" w14:textId="77777777" w:rsidTr="00657075">
        <w:trPr>
          <w:trHeight w:val="290"/>
        </w:trPr>
        <w:tc>
          <w:tcPr>
            <w:tcW w:w="5360" w:type="dxa"/>
            <w:tcBorders>
              <w:top w:val="nil"/>
              <w:left w:val="single" w:sz="4" w:space="0" w:color="auto"/>
              <w:bottom w:val="single" w:sz="4" w:space="0" w:color="auto"/>
              <w:right w:val="single" w:sz="4" w:space="0" w:color="auto"/>
            </w:tcBorders>
            <w:noWrap/>
            <w:vAlign w:val="center"/>
            <w:hideMark/>
          </w:tcPr>
          <w:p w14:paraId="601C42CF" w14:textId="77777777" w:rsidR="00657075" w:rsidRPr="0002422C" w:rsidRDefault="00657075">
            <w:pPr>
              <w:rPr>
                <w:rFonts w:ascii="Calibri" w:hAnsi="Calibri" w:cs="Calibri"/>
                <w:sz w:val="22"/>
                <w:szCs w:val="22"/>
              </w:rPr>
            </w:pPr>
            <w:r w:rsidRPr="0002422C">
              <w:rPr>
                <w:rFonts w:ascii="Calibri" w:hAnsi="Calibri" w:cs="Calibri"/>
                <w:sz w:val="22"/>
                <w:szCs w:val="22"/>
              </w:rPr>
              <w:t>Međusobne obveze subjekata općeg proračuna</w:t>
            </w:r>
          </w:p>
        </w:tc>
        <w:tc>
          <w:tcPr>
            <w:tcW w:w="1420" w:type="dxa"/>
            <w:tcBorders>
              <w:top w:val="nil"/>
              <w:left w:val="nil"/>
              <w:bottom w:val="single" w:sz="4" w:space="0" w:color="auto"/>
              <w:right w:val="single" w:sz="4" w:space="0" w:color="auto"/>
            </w:tcBorders>
            <w:noWrap/>
            <w:vAlign w:val="center"/>
            <w:hideMark/>
          </w:tcPr>
          <w:p w14:paraId="373BFBF5" w14:textId="77777777" w:rsidR="00657075" w:rsidRPr="0002422C" w:rsidRDefault="00657075">
            <w:pPr>
              <w:jc w:val="right"/>
              <w:rPr>
                <w:rFonts w:ascii="Calibri" w:hAnsi="Calibri" w:cs="Calibri"/>
                <w:sz w:val="22"/>
                <w:szCs w:val="22"/>
              </w:rPr>
            </w:pPr>
            <w:r w:rsidRPr="0002422C">
              <w:rPr>
                <w:rFonts w:ascii="Calibri" w:hAnsi="Calibri" w:cs="Calibri"/>
                <w:sz w:val="22"/>
                <w:szCs w:val="22"/>
              </w:rPr>
              <w:t>15.373,99</w:t>
            </w:r>
          </w:p>
        </w:tc>
        <w:tc>
          <w:tcPr>
            <w:tcW w:w="1420" w:type="dxa"/>
            <w:tcBorders>
              <w:top w:val="nil"/>
              <w:left w:val="nil"/>
              <w:bottom w:val="single" w:sz="4" w:space="0" w:color="auto"/>
              <w:right w:val="single" w:sz="4" w:space="0" w:color="auto"/>
            </w:tcBorders>
            <w:noWrap/>
            <w:vAlign w:val="center"/>
            <w:hideMark/>
          </w:tcPr>
          <w:p w14:paraId="133DAA0B" w14:textId="77777777" w:rsidR="00657075" w:rsidRPr="0002422C" w:rsidRDefault="00657075">
            <w:pPr>
              <w:jc w:val="right"/>
              <w:rPr>
                <w:rFonts w:ascii="Calibri" w:hAnsi="Calibri" w:cs="Calibri"/>
                <w:sz w:val="22"/>
                <w:szCs w:val="22"/>
              </w:rPr>
            </w:pPr>
            <w:r w:rsidRPr="0002422C">
              <w:rPr>
                <w:rFonts w:ascii="Calibri" w:hAnsi="Calibri" w:cs="Calibri"/>
                <w:sz w:val="22"/>
                <w:szCs w:val="22"/>
              </w:rPr>
              <w:t>10.476,27</w:t>
            </w:r>
          </w:p>
        </w:tc>
        <w:tc>
          <w:tcPr>
            <w:tcW w:w="900" w:type="dxa"/>
            <w:tcBorders>
              <w:top w:val="nil"/>
              <w:left w:val="nil"/>
              <w:bottom w:val="single" w:sz="4" w:space="0" w:color="auto"/>
              <w:right w:val="single" w:sz="4" w:space="0" w:color="auto"/>
            </w:tcBorders>
            <w:noWrap/>
            <w:vAlign w:val="center"/>
            <w:hideMark/>
          </w:tcPr>
          <w:p w14:paraId="3FB118C6" w14:textId="77777777" w:rsidR="00657075" w:rsidRPr="0002422C" w:rsidRDefault="00657075">
            <w:pPr>
              <w:jc w:val="center"/>
              <w:rPr>
                <w:rFonts w:ascii="Calibri" w:hAnsi="Calibri" w:cs="Calibri"/>
                <w:sz w:val="22"/>
                <w:szCs w:val="22"/>
              </w:rPr>
            </w:pPr>
            <w:r w:rsidRPr="0002422C">
              <w:rPr>
                <w:rFonts w:ascii="Calibri" w:hAnsi="Calibri" w:cs="Calibri"/>
                <w:sz w:val="22"/>
                <w:szCs w:val="22"/>
              </w:rPr>
              <w:t>68%</w:t>
            </w:r>
          </w:p>
        </w:tc>
      </w:tr>
      <w:tr w:rsidR="0002422C" w:rsidRPr="0002422C" w14:paraId="2D6301A7" w14:textId="77777777" w:rsidTr="00657075">
        <w:trPr>
          <w:trHeight w:val="290"/>
        </w:trPr>
        <w:tc>
          <w:tcPr>
            <w:tcW w:w="5360" w:type="dxa"/>
            <w:tcBorders>
              <w:top w:val="nil"/>
              <w:left w:val="single" w:sz="4" w:space="0" w:color="auto"/>
              <w:bottom w:val="single" w:sz="4" w:space="0" w:color="auto"/>
              <w:right w:val="single" w:sz="4" w:space="0" w:color="auto"/>
            </w:tcBorders>
            <w:noWrap/>
            <w:vAlign w:val="center"/>
            <w:hideMark/>
          </w:tcPr>
          <w:p w14:paraId="738B8FD0" w14:textId="77777777" w:rsidR="00657075" w:rsidRPr="0002422C" w:rsidRDefault="00657075">
            <w:pPr>
              <w:rPr>
                <w:rFonts w:ascii="Calibri" w:hAnsi="Calibri" w:cs="Calibri"/>
                <w:sz w:val="22"/>
                <w:szCs w:val="22"/>
              </w:rPr>
            </w:pPr>
            <w:r w:rsidRPr="0002422C">
              <w:rPr>
                <w:rFonts w:ascii="Calibri" w:hAnsi="Calibri" w:cs="Calibri"/>
                <w:sz w:val="22"/>
                <w:szCs w:val="22"/>
              </w:rPr>
              <w:t>Obveze za rashode poslovanja</w:t>
            </w:r>
          </w:p>
        </w:tc>
        <w:tc>
          <w:tcPr>
            <w:tcW w:w="1420" w:type="dxa"/>
            <w:tcBorders>
              <w:top w:val="nil"/>
              <w:left w:val="nil"/>
              <w:bottom w:val="single" w:sz="4" w:space="0" w:color="auto"/>
              <w:right w:val="single" w:sz="4" w:space="0" w:color="auto"/>
            </w:tcBorders>
            <w:noWrap/>
            <w:vAlign w:val="center"/>
            <w:hideMark/>
          </w:tcPr>
          <w:p w14:paraId="4C1905AA" w14:textId="77777777" w:rsidR="00657075" w:rsidRPr="0002422C" w:rsidRDefault="00657075">
            <w:pPr>
              <w:jc w:val="right"/>
              <w:rPr>
                <w:rFonts w:ascii="Calibri" w:hAnsi="Calibri" w:cs="Calibri"/>
                <w:sz w:val="22"/>
                <w:szCs w:val="22"/>
              </w:rPr>
            </w:pPr>
            <w:r w:rsidRPr="0002422C">
              <w:rPr>
                <w:rFonts w:ascii="Calibri" w:hAnsi="Calibri" w:cs="Calibri"/>
                <w:sz w:val="22"/>
                <w:szCs w:val="22"/>
              </w:rPr>
              <w:t>3.159.767,46</w:t>
            </w:r>
          </w:p>
        </w:tc>
        <w:tc>
          <w:tcPr>
            <w:tcW w:w="1420" w:type="dxa"/>
            <w:tcBorders>
              <w:top w:val="nil"/>
              <w:left w:val="nil"/>
              <w:bottom w:val="single" w:sz="4" w:space="0" w:color="auto"/>
              <w:right w:val="single" w:sz="4" w:space="0" w:color="auto"/>
            </w:tcBorders>
            <w:noWrap/>
            <w:vAlign w:val="center"/>
            <w:hideMark/>
          </w:tcPr>
          <w:p w14:paraId="76FB2232" w14:textId="77777777" w:rsidR="00657075" w:rsidRPr="0002422C" w:rsidRDefault="00657075">
            <w:pPr>
              <w:jc w:val="right"/>
              <w:rPr>
                <w:rFonts w:ascii="Calibri" w:hAnsi="Calibri" w:cs="Calibri"/>
                <w:sz w:val="22"/>
                <w:szCs w:val="22"/>
              </w:rPr>
            </w:pPr>
            <w:r w:rsidRPr="0002422C">
              <w:rPr>
                <w:rFonts w:ascii="Calibri" w:hAnsi="Calibri" w:cs="Calibri"/>
                <w:sz w:val="22"/>
                <w:szCs w:val="22"/>
              </w:rPr>
              <w:t>3.523.926,25</w:t>
            </w:r>
          </w:p>
        </w:tc>
        <w:tc>
          <w:tcPr>
            <w:tcW w:w="900" w:type="dxa"/>
            <w:tcBorders>
              <w:top w:val="nil"/>
              <w:left w:val="nil"/>
              <w:bottom w:val="single" w:sz="4" w:space="0" w:color="auto"/>
              <w:right w:val="single" w:sz="4" w:space="0" w:color="auto"/>
            </w:tcBorders>
            <w:noWrap/>
            <w:vAlign w:val="center"/>
            <w:hideMark/>
          </w:tcPr>
          <w:p w14:paraId="1B5BD765" w14:textId="77777777" w:rsidR="00657075" w:rsidRPr="0002422C" w:rsidRDefault="00657075">
            <w:pPr>
              <w:jc w:val="center"/>
              <w:rPr>
                <w:rFonts w:ascii="Calibri" w:hAnsi="Calibri" w:cs="Calibri"/>
                <w:sz w:val="22"/>
                <w:szCs w:val="22"/>
              </w:rPr>
            </w:pPr>
            <w:r w:rsidRPr="0002422C">
              <w:rPr>
                <w:rFonts w:ascii="Calibri" w:hAnsi="Calibri" w:cs="Calibri"/>
                <w:sz w:val="22"/>
                <w:szCs w:val="22"/>
              </w:rPr>
              <w:t>112%</w:t>
            </w:r>
          </w:p>
        </w:tc>
      </w:tr>
      <w:tr w:rsidR="0002422C" w:rsidRPr="0002422C" w14:paraId="192C4D3C" w14:textId="77777777" w:rsidTr="00657075">
        <w:trPr>
          <w:trHeight w:val="290"/>
        </w:trPr>
        <w:tc>
          <w:tcPr>
            <w:tcW w:w="5360" w:type="dxa"/>
            <w:tcBorders>
              <w:top w:val="nil"/>
              <w:left w:val="single" w:sz="4" w:space="0" w:color="auto"/>
              <w:bottom w:val="single" w:sz="4" w:space="0" w:color="auto"/>
              <w:right w:val="single" w:sz="4" w:space="0" w:color="auto"/>
            </w:tcBorders>
            <w:noWrap/>
            <w:vAlign w:val="center"/>
            <w:hideMark/>
          </w:tcPr>
          <w:p w14:paraId="4A4333D7" w14:textId="77777777" w:rsidR="00657075" w:rsidRPr="0002422C" w:rsidRDefault="00657075">
            <w:pPr>
              <w:rPr>
                <w:rFonts w:ascii="Calibri" w:hAnsi="Calibri" w:cs="Calibri"/>
                <w:sz w:val="22"/>
                <w:szCs w:val="22"/>
              </w:rPr>
            </w:pPr>
            <w:r w:rsidRPr="0002422C">
              <w:rPr>
                <w:rFonts w:ascii="Calibri" w:hAnsi="Calibri" w:cs="Calibri"/>
                <w:sz w:val="22"/>
                <w:szCs w:val="22"/>
              </w:rPr>
              <w:t>Obveze za nabavu nefinancijske imovine</w:t>
            </w:r>
          </w:p>
        </w:tc>
        <w:tc>
          <w:tcPr>
            <w:tcW w:w="1420" w:type="dxa"/>
            <w:tcBorders>
              <w:top w:val="nil"/>
              <w:left w:val="nil"/>
              <w:bottom w:val="single" w:sz="4" w:space="0" w:color="auto"/>
              <w:right w:val="single" w:sz="4" w:space="0" w:color="auto"/>
            </w:tcBorders>
            <w:noWrap/>
            <w:vAlign w:val="center"/>
            <w:hideMark/>
          </w:tcPr>
          <w:p w14:paraId="0F28A696" w14:textId="77777777" w:rsidR="00657075" w:rsidRPr="0002422C" w:rsidRDefault="00657075">
            <w:pPr>
              <w:jc w:val="right"/>
              <w:rPr>
                <w:rFonts w:ascii="Calibri" w:hAnsi="Calibri" w:cs="Calibri"/>
                <w:sz w:val="22"/>
                <w:szCs w:val="22"/>
              </w:rPr>
            </w:pPr>
            <w:r w:rsidRPr="0002422C">
              <w:rPr>
                <w:rFonts w:ascii="Calibri" w:hAnsi="Calibri" w:cs="Calibri"/>
                <w:sz w:val="22"/>
                <w:szCs w:val="22"/>
              </w:rPr>
              <w:t>10.609,65</w:t>
            </w:r>
          </w:p>
        </w:tc>
        <w:tc>
          <w:tcPr>
            <w:tcW w:w="1420" w:type="dxa"/>
            <w:tcBorders>
              <w:top w:val="nil"/>
              <w:left w:val="nil"/>
              <w:bottom w:val="single" w:sz="4" w:space="0" w:color="auto"/>
              <w:right w:val="single" w:sz="4" w:space="0" w:color="auto"/>
            </w:tcBorders>
            <w:noWrap/>
            <w:vAlign w:val="center"/>
            <w:hideMark/>
          </w:tcPr>
          <w:p w14:paraId="258B760D" w14:textId="77777777" w:rsidR="00657075" w:rsidRPr="0002422C" w:rsidRDefault="00657075">
            <w:pPr>
              <w:jc w:val="right"/>
              <w:rPr>
                <w:rFonts w:ascii="Calibri" w:hAnsi="Calibri" w:cs="Calibri"/>
                <w:sz w:val="22"/>
                <w:szCs w:val="22"/>
              </w:rPr>
            </w:pPr>
            <w:r w:rsidRPr="0002422C">
              <w:rPr>
                <w:rFonts w:ascii="Calibri" w:hAnsi="Calibri" w:cs="Calibri"/>
                <w:sz w:val="22"/>
                <w:szCs w:val="22"/>
              </w:rPr>
              <w:t>42.949,44</w:t>
            </w:r>
          </w:p>
        </w:tc>
        <w:tc>
          <w:tcPr>
            <w:tcW w:w="900" w:type="dxa"/>
            <w:tcBorders>
              <w:top w:val="nil"/>
              <w:left w:val="nil"/>
              <w:bottom w:val="single" w:sz="4" w:space="0" w:color="auto"/>
              <w:right w:val="single" w:sz="4" w:space="0" w:color="auto"/>
            </w:tcBorders>
            <w:noWrap/>
            <w:vAlign w:val="center"/>
            <w:hideMark/>
          </w:tcPr>
          <w:p w14:paraId="723C94FB" w14:textId="77777777" w:rsidR="00657075" w:rsidRPr="0002422C" w:rsidRDefault="00657075">
            <w:pPr>
              <w:jc w:val="center"/>
              <w:rPr>
                <w:rFonts w:ascii="Calibri" w:hAnsi="Calibri" w:cs="Calibri"/>
                <w:sz w:val="22"/>
                <w:szCs w:val="22"/>
              </w:rPr>
            </w:pPr>
            <w:r w:rsidRPr="0002422C">
              <w:rPr>
                <w:rFonts w:ascii="Calibri" w:hAnsi="Calibri" w:cs="Calibri"/>
                <w:sz w:val="22"/>
                <w:szCs w:val="22"/>
              </w:rPr>
              <w:t>405%</w:t>
            </w:r>
          </w:p>
        </w:tc>
      </w:tr>
      <w:tr w:rsidR="0002422C" w:rsidRPr="0002422C" w14:paraId="110E3291" w14:textId="77777777" w:rsidTr="00657075">
        <w:trPr>
          <w:trHeight w:val="290"/>
        </w:trPr>
        <w:tc>
          <w:tcPr>
            <w:tcW w:w="5360" w:type="dxa"/>
            <w:tcBorders>
              <w:top w:val="nil"/>
              <w:left w:val="single" w:sz="4" w:space="0" w:color="auto"/>
              <w:bottom w:val="single" w:sz="4" w:space="0" w:color="auto"/>
              <w:right w:val="single" w:sz="4" w:space="0" w:color="auto"/>
            </w:tcBorders>
            <w:noWrap/>
            <w:vAlign w:val="center"/>
            <w:hideMark/>
          </w:tcPr>
          <w:p w14:paraId="539BA793" w14:textId="77777777" w:rsidR="00657075" w:rsidRPr="0002422C" w:rsidRDefault="00657075">
            <w:pPr>
              <w:rPr>
                <w:rFonts w:ascii="Calibri" w:hAnsi="Calibri" w:cs="Calibri"/>
                <w:sz w:val="22"/>
                <w:szCs w:val="22"/>
              </w:rPr>
            </w:pPr>
            <w:r w:rsidRPr="0002422C">
              <w:rPr>
                <w:rFonts w:ascii="Calibri" w:hAnsi="Calibri" w:cs="Calibri"/>
                <w:sz w:val="22"/>
                <w:szCs w:val="22"/>
              </w:rPr>
              <w:t>Obveze za financijsku imovinu</w:t>
            </w:r>
          </w:p>
        </w:tc>
        <w:tc>
          <w:tcPr>
            <w:tcW w:w="1420" w:type="dxa"/>
            <w:tcBorders>
              <w:top w:val="nil"/>
              <w:left w:val="nil"/>
              <w:bottom w:val="single" w:sz="4" w:space="0" w:color="auto"/>
              <w:right w:val="single" w:sz="4" w:space="0" w:color="auto"/>
            </w:tcBorders>
            <w:noWrap/>
            <w:vAlign w:val="center"/>
            <w:hideMark/>
          </w:tcPr>
          <w:p w14:paraId="157895C3" w14:textId="77777777" w:rsidR="00657075" w:rsidRPr="0002422C" w:rsidRDefault="00657075">
            <w:pPr>
              <w:jc w:val="right"/>
              <w:rPr>
                <w:rFonts w:ascii="Calibri" w:hAnsi="Calibri" w:cs="Calibri"/>
                <w:sz w:val="22"/>
                <w:szCs w:val="22"/>
              </w:rPr>
            </w:pPr>
            <w:r w:rsidRPr="0002422C">
              <w:rPr>
                <w:rFonts w:ascii="Calibri" w:hAnsi="Calibri" w:cs="Calibri"/>
                <w:sz w:val="22"/>
                <w:szCs w:val="22"/>
              </w:rPr>
              <w:t>835.128,71</w:t>
            </w:r>
          </w:p>
        </w:tc>
        <w:tc>
          <w:tcPr>
            <w:tcW w:w="1420" w:type="dxa"/>
            <w:tcBorders>
              <w:top w:val="nil"/>
              <w:left w:val="nil"/>
              <w:bottom w:val="single" w:sz="4" w:space="0" w:color="auto"/>
              <w:right w:val="single" w:sz="4" w:space="0" w:color="auto"/>
            </w:tcBorders>
            <w:noWrap/>
            <w:vAlign w:val="center"/>
            <w:hideMark/>
          </w:tcPr>
          <w:p w14:paraId="4E1607C5" w14:textId="77777777" w:rsidR="00657075" w:rsidRPr="0002422C" w:rsidRDefault="00657075">
            <w:pPr>
              <w:jc w:val="right"/>
              <w:rPr>
                <w:rFonts w:ascii="Calibri" w:hAnsi="Calibri" w:cs="Calibri"/>
                <w:sz w:val="22"/>
                <w:szCs w:val="22"/>
              </w:rPr>
            </w:pPr>
            <w:r w:rsidRPr="0002422C">
              <w:rPr>
                <w:rFonts w:ascii="Calibri" w:hAnsi="Calibri" w:cs="Calibri"/>
                <w:sz w:val="22"/>
                <w:szCs w:val="22"/>
              </w:rPr>
              <w:t>681.595,08</w:t>
            </w:r>
          </w:p>
        </w:tc>
        <w:tc>
          <w:tcPr>
            <w:tcW w:w="900" w:type="dxa"/>
            <w:tcBorders>
              <w:top w:val="nil"/>
              <w:left w:val="nil"/>
              <w:bottom w:val="single" w:sz="4" w:space="0" w:color="auto"/>
              <w:right w:val="single" w:sz="4" w:space="0" w:color="auto"/>
            </w:tcBorders>
            <w:noWrap/>
            <w:vAlign w:val="center"/>
            <w:hideMark/>
          </w:tcPr>
          <w:p w14:paraId="3E34F7AB" w14:textId="77777777" w:rsidR="00657075" w:rsidRPr="0002422C" w:rsidRDefault="00657075">
            <w:pPr>
              <w:jc w:val="center"/>
              <w:rPr>
                <w:rFonts w:ascii="Calibri" w:hAnsi="Calibri" w:cs="Calibri"/>
                <w:sz w:val="22"/>
                <w:szCs w:val="22"/>
              </w:rPr>
            </w:pPr>
            <w:r w:rsidRPr="0002422C">
              <w:rPr>
                <w:rFonts w:ascii="Calibri" w:hAnsi="Calibri" w:cs="Calibri"/>
                <w:sz w:val="22"/>
                <w:szCs w:val="22"/>
              </w:rPr>
              <w:t>82%</w:t>
            </w:r>
          </w:p>
        </w:tc>
      </w:tr>
      <w:tr w:rsidR="0002422C" w:rsidRPr="0002422C" w14:paraId="7ED347BD" w14:textId="77777777" w:rsidTr="00657075">
        <w:trPr>
          <w:trHeight w:val="580"/>
        </w:trPr>
        <w:tc>
          <w:tcPr>
            <w:tcW w:w="5360" w:type="dxa"/>
            <w:tcBorders>
              <w:top w:val="nil"/>
              <w:left w:val="single" w:sz="4" w:space="0" w:color="auto"/>
              <w:bottom w:val="single" w:sz="4" w:space="0" w:color="auto"/>
              <w:right w:val="single" w:sz="4" w:space="0" w:color="auto"/>
            </w:tcBorders>
            <w:vAlign w:val="center"/>
            <w:hideMark/>
          </w:tcPr>
          <w:p w14:paraId="68B6972D" w14:textId="77777777" w:rsidR="00657075" w:rsidRPr="0002422C" w:rsidRDefault="00657075">
            <w:pPr>
              <w:rPr>
                <w:rFonts w:ascii="Calibri" w:hAnsi="Calibri" w:cs="Calibri"/>
                <w:sz w:val="22"/>
                <w:szCs w:val="22"/>
              </w:rPr>
            </w:pPr>
            <w:r w:rsidRPr="0002422C">
              <w:rPr>
                <w:rFonts w:ascii="Calibri" w:hAnsi="Calibri" w:cs="Calibri"/>
                <w:sz w:val="22"/>
                <w:szCs w:val="22"/>
              </w:rPr>
              <w:t xml:space="preserve">Obveze za predujmove, depozite, </w:t>
            </w:r>
            <w:proofErr w:type="spellStart"/>
            <w:r w:rsidRPr="0002422C">
              <w:rPr>
                <w:rFonts w:ascii="Calibri" w:hAnsi="Calibri" w:cs="Calibri"/>
                <w:sz w:val="22"/>
                <w:szCs w:val="22"/>
              </w:rPr>
              <w:t>jamčevne</w:t>
            </w:r>
            <w:proofErr w:type="spellEnd"/>
            <w:r w:rsidRPr="0002422C">
              <w:rPr>
                <w:rFonts w:ascii="Calibri" w:hAnsi="Calibri" w:cs="Calibri"/>
                <w:sz w:val="22"/>
                <w:szCs w:val="22"/>
              </w:rPr>
              <w:t xml:space="preserve"> </w:t>
            </w:r>
            <w:proofErr w:type="spellStart"/>
            <w:r w:rsidRPr="0002422C">
              <w:rPr>
                <w:rFonts w:ascii="Calibri" w:hAnsi="Calibri" w:cs="Calibri"/>
                <w:sz w:val="22"/>
                <w:szCs w:val="22"/>
              </w:rPr>
              <w:t>pologe</w:t>
            </w:r>
            <w:proofErr w:type="spellEnd"/>
            <w:r w:rsidRPr="0002422C">
              <w:rPr>
                <w:rFonts w:ascii="Calibri" w:hAnsi="Calibri" w:cs="Calibri"/>
                <w:sz w:val="22"/>
                <w:szCs w:val="22"/>
              </w:rPr>
              <w:t xml:space="preserve"> i tuđe prihode</w:t>
            </w:r>
          </w:p>
        </w:tc>
        <w:tc>
          <w:tcPr>
            <w:tcW w:w="1420" w:type="dxa"/>
            <w:tcBorders>
              <w:top w:val="nil"/>
              <w:left w:val="nil"/>
              <w:bottom w:val="single" w:sz="4" w:space="0" w:color="auto"/>
              <w:right w:val="single" w:sz="4" w:space="0" w:color="auto"/>
            </w:tcBorders>
            <w:noWrap/>
            <w:vAlign w:val="bottom"/>
            <w:hideMark/>
          </w:tcPr>
          <w:p w14:paraId="3FD28385" w14:textId="77777777" w:rsidR="00657075" w:rsidRPr="0002422C" w:rsidRDefault="00657075">
            <w:pPr>
              <w:jc w:val="right"/>
              <w:rPr>
                <w:rFonts w:ascii="Calibri" w:hAnsi="Calibri" w:cs="Calibri"/>
                <w:sz w:val="22"/>
                <w:szCs w:val="22"/>
              </w:rPr>
            </w:pPr>
            <w:r w:rsidRPr="0002422C">
              <w:rPr>
                <w:rFonts w:ascii="Calibri" w:hAnsi="Calibri" w:cs="Calibri"/>
                <w:sz w:val="22"/>
                <w:szCs w:val="22"/>
              </w:rPr>
              <w:t>0,00</w:t>
            </w:r>
          </w:p>
        </w:tc>
        <w:tc>
          <w:tcPr>
            <w:tcW w:w="1420" w:type="dxa"/>
            <w:tcBorders>
              <w:top w:val="nil"/>
              <w:left w:val="nil"/>
              <w:bottom w:val="single" w:sz="4" w:space="0" w:color="auto"/>
              <w:right w:val="single" w:sz="4" w:space="0" w:color="auto"/>
            </w:tcBorders>
            <w:noWrap/>
            <w:vAlign w:val="bottom"/>
            <w:hideMark/>
          </w:tcPr>
          <w:p w14:paraId="0A0C6DEB" w14:textId="77777777" w:rsidR="00657075" w:rsidRPr="0002422C" w:rsidRDefault="00657075">
            <w:pPr>
              <w:jc w:val="right"/>
              <w:rPr>
                <w:rFonts w:ascii="Calibri" w:hAnsi="Calibri" w:cs="Calibri"/>
                <w:sz w:val="22"/>
                <w:szCs w:val="22"/>
              </w:rPr>
            </w:pPr>
            <w:r w:rsidRPr="0002422C">
              <w:rPr>
                <w:rFonts w:ascii="Calibri" w:hAnsi="Calibri" w:cs="Calibri"/>
                <w:sz w:val="22"/>
                <w:szCs w:val="22"/>
              </w:rPr>
              <w:t>68.156,56</w:t>
            </w:r>
          </w:p>
        </w:tc>
        <w:tc>
          <w:tcPr>
            <w:tcW w:w="900" w:type="dxa"/>
            <w:tcBorders>
              <w:top w:val="nil"/>
              <w:left w:val="nil"/>
              <w:bottom w:val="single" w:sz="4" w:space="0" w:color="auto"/>
              <w:right w:val="single" w:sz="4" w:space="0" w:color="auto"/>
            </w:tcBorders>
            <w:noWrap/>
            <w:vAlign w:val="bottom"/>
            <w:hideMark/>
          </w:tcPr>
          <w:p w14:paraId="19E199BB" w14:textId="77777777" w:rsidR="00657075" w:rsidRPr="0002422C" w:rsidRDefault="00657075">
            <w:pPr>
              <w:rPr>
                <w:rFonts w:ascii="Calibri" w:hAnsi="Calibri" w:cs="Calibri"/>
                <w:sz w:val="22"/>
                <w:szCs w:val="22"/>
              </w:rPr>
            </w:pPr>
            <w:r w:rsidRPr="0002422C">
              <w:rPr>
                <w:rFonts w:ascii="Calibri" w:hAnsi="Calibri" w:cs="Calibri"/>
                <w:sz w:val="22"/>
                <w:szCs w:val="22"/>
              </w:rPr>
              <w:t> </w:t>
            </w:r>
          </w:p>
        </w:tc>
      </w:tr>
    </w:tbl>
    <w:p w14:paraId="2EC1B0EE" w14:textId="77777777" w:rsidR="00657075" w:rsidRDefault="00657075" w:rsidP="00435032">
      <w:pPr>
        <w:jc w:val="both"/>
        <w:rPr>
          <w:rFonts w:ascii="Arial" w:hAnsi="Arial" w:cs="Arial"/>
          <w:sz w:val="16"/>
        </w:rPr>
      </w:pPr>
    </w:p>
    <w:p w14:paraId="4C53EB79" w14:textId="0C478938" w:rsidR="00725A13" w:rsidRDefault="00725A13" w:rsidP="00435032">
      <w:pPr>
        <w:jc w:val="both"/>
        <w:rPr>
          <w:rFonts w:ascii="Arial" w:hAnsi="Arial" w:cs="Arial"/>
          <w:color w:val="1F497D" w:themeColor="text2"/>
          <w:sz w:val="22"/>
        </w:rPr>
      </w:pPr>
    </w:p>
    <w:p w14:paraId="6873336E" w14:textId="77777777" w:rsidR="0002422C" w:rsidRDefault="0002422C" w:rsidP="00435032">
      <w:pPr>
        <w:jc w:val="both"/>
        <w:rPr>
          <w:rFonts w:ascii="Arial" w:hAnsi="Arial" w:cs="Arial"/>
          <w:color w:val="1F497D" w:themeColor="text2"/>
          <w:sz w:val="22"/>
        </w:rPr>
      </w:pPr>
    </w:p>
    <w:p w14:paraId="70487F91" w14:textId="77777777" w:rsidR="0002422C" w:rsidRPr="005E22CD" w:rsidRDefault="0002422C" w:rsidP="00435032">
      <w:pPr>
        <w:jc w:val="both"/>
        <w:rPr>
          <w:rFonts w:ascii="Arial" w:hAnsi="Arial" w:cs="Arial"/>
          <w:color w:val="1F497D" w:themeColor="text2"/>
          <w:sz w:val="22"/>
        </w:rPr>
      </w:pPr>
    </w:p>
    <w:p w14:paraId="33BFD110" w14:textId="0D99C7BC" w:rsidR="005E22CD" w:rsidRPr="0002422C" w:rsidRDefault="005E22CD" w:rsidP="005E22CD">
      <w:pPr>
        <w:jc w:val="both"/>
        <w:rPr>
          <w:rFonts w:ascii="Arial" w:hAnsi="Arial" w:cs="Arial"/>
          <w:sz w:val="22"/>
          <w:szCs w:val="22"/>
        </w:rPr>
      </w:pPr>
      <w:r w:rsidRPr="0002422C">
        <w:rPr>
          <w:rFonts w:ascii="Arial" w:hAnsi="Arial" w:cs="Arial"/>
          <w:sz w:val="22"/>
          <w:szCs w:val="22"/>
        </w:rPr>
        <w:lastRenderedPageBreak/>
        <w:t>Ukupne obveze na dan 31.12.2025. godine veće su za 4% u odnosu na isto razdoblje prethodne godine. Sanje dospjelih obveza sa indeksom 20% značajno se smanjilo u odnosu na prethodnu godinu što ukazuje na uredno izvršavanje obveza ustanove te na očuvanu likvidnost u redovnom poslovanju.</w:t>
      </w:r>
    </w:p>
    <w:p w14:paraId="39ABB542" w14:textId="73659F32" w:rsidR="005E22CD" w:rsidRPr="0002422C" w:rsidRDefault="005E22CD" w:rsidP="005E22CD">
      <w:pPr>
        <w:jc w:val="both"/>
        <w:rPr>
          <w:rFonts w:ascii="Arial" w:hAnsi="Arial" w:cs="Arial"/>
          <w:sz w:val="22"/>
          <w:szCs w:val="22"/>
        </w:rPr>
      </w:pPr>
      <w:r w:rsidRPr="0002422C">
        <w:rPr>
          <w:rFonts w:ascii="Arial" w:hAnsi="Arial" w:cs="Arial"/>
          <w:sz w:val="22"/>
          <w:szCs w:val="22"/>
        </w:rPr>
        <w:t xml:space="preserve">Obveze za rashode poslovanja </w:t>
      </w:r>
      <w:r w:rsidR="0002422C" w:rsidRPr="0002422C">
        <w:rPr>
          <w:rFonts w:ascii="Arial" w:hAnsi="Arial" w:cs="Arial"/>
          <w:sz w:val="22"/>
          <w:szCs w:val="22"/>
        </w:rPr>
        <w:t>(</w:t>
      </w:r>
      <w:r w:rsidRPr="0002422C">
        <w:rPr>
          <w:rFonts w:ascii="Arial" w:hAnsi="Arial" w:cs="Arial"/>
          <w:sz w:val="22"/>
          <w:szCs w:val="22"/>
        </w:rPr>
        <w:t>nedospjele</w:t>
      </w:r>
      <w:r w:rsidR="0002422C" w:rsidRPr="0002422C">
        <w:rPr>
          <w:rFonts w:ascii="Arial" w:hAnsi="Arial" w:cs="Arial"/>
          <w:sz w:val="22"/>
          <w:szCs w:val="22"/>
        </w:rPr>
        <w:t>)</w:t>
      </w:r>
      <w:r w:rsidRPr="0002422C">
        <w:rPr>
          <w:rFonts w:ascii="Arial" w:hAnsi="Arial" w:cs="Arial"/>
          <w:sz w:val="22"/>
          <w:szCs w:val="22"/>
        </w:rPr>
        <w:t xml:space="preserve"> imaju indeks 112% zbog rasta izdataka za plaće radnika.</w:t>
      </w:r>
    </w:p>
    <w:p w14:paraId="3FDCF26E" w14:textId="3D457224" w:rsidR="00392D9E" w:rsidRPr="0002422C" w:rsidRDefault="00392D9E" w:rsidP="005E22CD">
      <w:pPr>
        <w:jc w:val="both"/>
        <w:rPr>
          <w:rFonts w:ascii="Arial" w:hAnsi="Arial" w:cs="Arial"/>
          <w:sz w:val="22"/>
          <w:szCs w:val="22"/>
        </w:rPr>
      </w:pPr>
      <w:r w:rsidRPr="0002422C">
        <w:rPr>
          <w:rFonts w:ascii="Arial" w:hAnsi="Arial" w:cs="Arial"/>
          <w:sz w:val="22"/>
          <w:szCs w:val="22"/>
        </w:rPr>
        <w:t>Međusobne obveze subjekta općeg proračuna</w:t>
      </w:r>
      <w:r w:rsidR="00F77002" w:rsidRPr="0002422C">
        <w:rPr>
          <w:rFonts w:ascii="Arial" w:hAnsi="Arial" w:cs="Arial"/>
          <w:sz w:val="22"/>
          <w:szCs w:val="22"/>
        </w:rPr>
        <w:t xml:space="preserve"> </w:t>
      </w:r>
      <w:r w:rsidR="0002422C" w:rsidRPr="0002422C">
        <w:rPr>
          <w:rFonts w:ascii="Arial" w:hAnsi="Arial" w:cs="Arial"/>
          <w:sz w:val="22"/>
          <w:szCs w:val="22"/>
        </w:rPr>
        <w:t>(</w:t>
      </w:r>
      <w:r w:rsidR="00F77002" w:rsidRPr="0002422C">
        <w:rPr>
          <w:rFonts w:ascii="Arial" w:hAnsi="Arial" w:cs="Arial"/>
          <w:sz w:val="22"/>
          <w:szCs w:val="22"/>
        </w:rPr>
        <w:t>nedospjele</w:t>
      </w:r>
      <w:r w:rsidR="0002422C" w:rsidRPr="0002422C">
        <w:rPr>
          <w:rFonts w:ascii="Arial" w:hAnsi="Arial" w:cs="Arial"/>
          <w:sz w:val="22"/>
          <w:szCs w:val="22"/>
        </w:rPr>
        <w:t>)</w:t>
      </w:r>
      <w:r w:rsidR="00F77002" w:rsidRPr="0002422C">
        <w:rPr>
          <w:rFonts w:ascii="Arial" w:hAnsi="Arial" w:cs="Arial"/>
          <w:sz w:val="22"/>
          <w:szCs w:val="22"/>
        </w:rPr>
        <w:t xml:space="preserve"> evidentiraju smanjenje sa indeksom 68% zbog manjih obveza prema drugim zdravstvenim ustanovama.</w:t>
      </w:r>
    </w:p>
    <w:p w14:paraId="480B6753" w14:textId="72A1EAC7" w:rsidR="00392D9E" w:rsidRPr="0002422C" w:rsidRDefault="00392D9E" w:rsidP="005E22CD">
      <w:pPr>
        <w:jc w:val="both"/>
        <w:rPr>
          <w:rFonts w:ascii="Arial" w:hAnsi="Arial" w:cs="Arial"/>
          <w:sz w:val="22"/>
          <w:szCs w:val="22"/>
        </w:rPr>
      </w:pPr>
      <w:r w:rsidRPr="0002422C">
        <w:rPr>
          <w:rFonts w:ascii="Arial" w:hAnsi="Arial" w:cs="Arial"/>
          <w:sz w:val="22"/>
          <w:szCs w:val="22"/>
        </w:rPr>
        <w:t xml:space="preserve">Obveze za nabavu nefinancijske imovine sa indeksom 405% stavka su sa najznačajnijim odstupanjem u odnosu na prethodnu godinu, a razlog tomu je značajno ulaganje u </w:t>
      </w:r>
      <w:r w:rsidR="002E6866" w:rsidRPr="0002422C">
        <w:rPr>
          <w:rFonts w:ascii="Arial" w:hAnsi="Arial" w:cs="Arial"/>
          <w:sz w:val="22"/>
          <w:szCs w:val="22"/>
        </w:rPr>
        <w:t>nefinancijsku imovinu</w:t>
      </w:r>
      <w:r w:rsidRPr="0002422C">
        <w:rPr>
          <w:rFonts w:ascii="Arial" w:hAnsi="Arial" w:cs="Arial"/>
          <w:sz w:val="22"/>
          <w:szCs w:val="22"/>
        </w:rPr>
        <w:t xml:space="preserve"> tijekom 2025. godine.</w:t>
      </w:r>
    </w:p>
    <w:p w14:paraId="3356FBEE" w14:textId="77777777" w:rsidR="0002422C" w:rsidRDefault="0002422C" w:rsidP="00834B40">
      <w:pPr>
        <w:spacing w:line="276" w:lineRule="auto"/>
        <w:jc w:val="both"/>
        <w:rPr>
          <w:rFonts w:ascii="Arial" w:hAnsi="Arial" w:cs="Arial"/>
          <w:sz w:val="22"/>
          <w:szCs w:val="22"/>
        </w:rPr>
      </w:pPr>
    </w:p>
    <w:tbl>
      <w:tblPr>
        <w:tblW w:w="9526" w:type="dxa"/>
        <w:tblLook w:val="04A0" w:firstRow="1" w:lastRow="0" w:firstColumn="1" w:lastColumn="0" w:noHBand="0" w:noVBand="1"/>
      </w:tblPr>
      <w:tblGrid>
        <w:gridCol w:w="762"/>
        <w:gridCol w:w="1100"/>
        <w:gridCol w:w="1043"/>
        <w:gridCol w:w="1275"/>
        <w:gridCol w:w="1220"/>
        <w:gridCol w:w="1420"/>
        <w:gridCol w:w="1500"/>
        <w:gridCol w:w="1206"/>
      </w:tblGrid>
      <w:tr w:rsidR="0002422C" w:rsidRPr="0002422C" w14:paraId="34EF7339" w14:textId="77777777" w:rsidTr="00F77002">
        <w:trPr>
          <w:trHeight w:val="290"/>
        </w:trPr>
        <w:tc>
          <w:tcPr>
            <w:tcW w:w="4180" w:type="dxa"/>
            <w:gridSpan w:val="4"/>
            <w:tcBorders>
              <w:top w:val="nil"/>
              <w:left w:val="nil"/>
              <w:bottom w:val="nil"/>
              <w:right w:val="nil"/>
            </w:tcBorders>
            <w:noWrap/>
            <w:vAlign w:val="bottom"/>
            <w:hideMark/>
          </w:tcPr>
          <w:p w14:paraId="3FF0CE6A" w14:textId="77777777" w:rsidR="00E6023D" w:rsidRPr="0002422C" w:rsidRDefault="00E6023D">
            <w:pPr>
              <w:rPr>
                <w:rFonts w:ascii="Calibri" w:hAnsi="Calibri" w:cs="Calibri"/>
                <w:b/>
                <w:bCs/>
                <w:sz w:val="22"/>
                <w:szCs w:val="22"/>
              </w:rPr>
            </w:pPr>
            <w:r w:rsidRPr="0002422C">
              <w:rPr>
                <w:rFonts w:ascii="Calibri" w:hAnsi="Calibri" w:cs="Calibri"/>
                <w:b/>
                <w:bCs/>
              </w:rPr>
              <w:t>Izvještaj o sudskim sporovima</w:t>
            </w:r>
          </w:p>
        </w:tc>
        <w:tc>
          <w:tcPr>
            <w:tcW w:w="1220" w:type="dxa"/>
            <w:tcBorders>
              <w:top w:val="nil"/>
              <w:left w:val="nil"/>
              <w:bottom w:val="nil"/>
              <w:right w:val="nil"/>
            </w:tcBorders>
            <w:noWrap/>
            <w:vAlign w:val="bottom"/>
            <w:hideMark/>
          </w:tcPr>
          <w:p w14:paraId="142B878F" w14:textId="77777777" w:rsidR="00E6023D" w:rsidRPr="0002422C" w:rsidRDefault="00E6023D">
            <w:pPr>
              <w:rPr>
                <w:rFonts w:ascii="Calibri" w:hAnsi="Calibri" w:cs="Calibri"/>
                <w:b/>
                <w:bCs/>
                <w:sz w:val="22"/>
                <w:szCs w:val="22"/>
              </w:rPr>
            </w:pPr>
          </w:p>
        </w:tc>
        <w:tc>
          <w:tcPr>
            <w:tcW w:w="1420" w:type="dxa"/>
            <w:tcBorders>
              <w:top w:val="nil"/>
              <w:left w:val="nil"/>
              <w:bottom w:val="nil"/>
              <w:right w:val="nil"/>
            </w:tcBorders>
            <w:noWrap/>
            <w:vAlign w:val="bottom"/>
            <w:hideMark/>
          </w:tcPr>
          <w:p w14:paraId="64FC44A0" w14:textId="77777777" w:rsidR="00E6023D" w:rsidRPr="0002422C" w:rsidRDefault="00E6023D">
            <w:pPr>
              <w:rPr>
                <w:sz w:val="20"/>
                <w:szCs w:val="20"/>
              </w:rPr>
            </w:pPr>
          </w:p>
        </w:tc>
        <w:tc>
          <w:tcPr>
            <w:tcW w:w="1500" w:type="dxa"/>
            <w:tcBorders>
              <w:top w:val="nil"/>
              <w:left w:val="nil"/>
              <w:bottom w:val="nil"/>
              <w:right w:val="nil"/>
            </w:tcBorders>
            <w:noWrap/>
            <w:vAlign w:val="bottom"/>
            <w:hideMark/>
          </w:tcPr>
          <w:p w14:paraId="3CE1997F" w14:textId="77777777" w:rsidR="00E6023D" w:rsidRPr="0002422C" w:rsidRDefault="00E6023D">
            <w:pPr>
              <w:rPr>
                <w:sz w:val="20"/>
                <w:szCs w:val="20"/>
              </w:rPr>
            </w:pPr>
          </w:p>
        </w:tc>
        <w:tc>
          <w:tcPr>
            <w:tcW w:w="1206" w:type="dxa"/>
            <w:tcBorders>
              <w:top w:val="nil"/>
              <w:left w:val="nil"/>
              <w:bottom w:val="nil"/>
              <w:right w:val="nil"/>
            </w:tcBorders>
            <w:noWrap/>
            <w:vAlign w:val="bottom"/>
            <w:hideMark/>
          </w:tcPr>
          <w:p w14:paraId="35CA8224" w14:textId="77777777" w:rsidR="00E6023D" w:rsidRPr="0002422C" w:rsidRDefault="00E6023D">
            <w:pPr>
              <w:rPr>
                <w:sz w:val="20"/>
                <w:szCs w:val="20"/>
              </w:rPr>
            </w:pPr>
          </w:p>
        </w:tc>
      </w:tr>
      <w:tr w:rsidR="0002422C" w:rsidRPr="0002422C" w14:paraId="46F0334A" w14:textId="77777777" w:rsidTr="00F77002">
        <w:trPr>
          <w:trHeight w:val="1300"/>
        </w:trPr>
        <w:tc>
          <w:tcPr>
            <w:tcW w:w="762"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61242ADF" w14:textId="77777777" w:rsidR="00E6023D" w:rsidRPr="0002422C" w:rsidRDefault="00E6023D">
            <w:pPr>
              <w:jc w:val="center"/>
              <w:rPr>
                <w:rFonts w:ascii="Calibri" w:hAnsi="Calibri" w:cs="Calibri"/>
                <w:b/>
                <w:bCs/>
                <w:sz w:val="18"/>
                <w:szCs w:val="18"/>
              </w:rPr>
            </w:pPr>
            <w:r w:rsidRPr="0002422C">
              <w:rPr>
                <w:rFonts w:ascii="Calibri" w:hAnsi="Calibri" w:cs="Calibri"/>
                <w:b/>
                <w:bCs/>
                <w:sz w:val="18"/>
                <w:szCs w:val="18"/>
              </w:rPr>
              <w:t>Red.br.</w:t>
            </w:r>
          </w:p>
        </w:tc>
        <w:tc>
          <w:tcPr>
            <w:tcW w:w="1100" w:type="dxa"/>
            <w:tcBorders>
              <w:top w:val="single" w:sz="4" w:space="0" w:color="auto"/>
              <w:left w:val="nil"/>
              <w:bottom w:val="single" w:sz="4" w:space="0" w:color="auto"/>
              <w:right w:val="single" w:sz="4" w:space="0" w:color="auto"/>
            </w:tcBorders>
            <w:shd w:val="clear" w:color="000000" w:fill="DDEBF7"/>
            <w:vAlign w:val="center"/>
            <w:hideMark/>
          </w:tcPr>
          <w:p w14:paraId="438D8CB2" w14:textId="77777777" w:rsidR="00E6023D" w:rsidRPr="0002422C" w:rsidRDefault="00E6023D">
            <w:pPr>
              <w:jc w:val="center"/>
              <w:rPr>
                <w:rFonts w:ascii="Calibri" w:hAnsi="Calibri" w:cs="Calibri"/>
                <w:b/>
                <w:bCs/>
                <w:sz w:val="20"/>
                <w:szCs w:val="20"/>
              </w:rPr>
            </w:pPr>
            <w:r w:rsidRPr="0002422C">
              <w:rPr>
                <w:rFonts w:ascii="Calibri" w:hAnsi="Calibri" w:cs="Calibri"/>
                <w:b/>
                <w:bCs/>
                <w:sz w:val="20"/>
                <w:szCs w:val="20"/>
              </w:rPr>
              <w:t>Tuženik</w:t>
            </w:r>
          </w:p>
        </w:tc>
        <w:tc>
          <w:tcPr>
            <w:tcW w:w="1043" w:type="dxa"/>
            <w:tcBorders>
              <w:top w:val="single" w:sz="4" w:space="0" w:color="auto"/>
              <w:left w:val="nil"/>
              <w:bottom w:val="single" w:sz="4" w:space="0" w:color="auto"/>
              <w:right w:val="single" w:sz="4" w:space="0" w:color="auto"/>
            </w:tcBorders>
            <w:shd w:val="clear" w:color="000000" w:fill="DDEBF7"/>
            <w:vAlign w:val="center"/>
            <w:hideMark/>
          </w:tcPr>
          <w:p w14:paraId="285B60C8" w14:textId="77777777" w:rsidR="00E6023D" w:rsidRPr="0002422C" w:rsidRDefault="00E6023D">
            <w:pPr>
              <w:jc w:val="center"/>
              <w:rPr>
                <w:rFonts w:ascii="Calibri" w:hAnsi="Calibri" w:cs="Calibri"/>
                <w:b/>
                <w:bCs/>
                <w:sz w:val="20"/>
                <w:szCs w:val="20"/>
              </w:rPr>
            </w:pPr>
            <w:r w:rsidRPr="0002422C">
              <w:rPr>
                <w:rFonts w:ascii="Calibri" w:hAnsi="Calibri" w:cs="Calibri"/>
                <w:b/>
                <w:bCs/>
                <w:sz w:val="20"/>
                <w:szCs w:val="20"/>
              </w:rPr>
              <w:t>Tužitelj</w:t>
            </w:r>
          </w:p>
        </w:tc>
        <w:tc>
          <w:tcPr>
            <w:tcW w:w="1275" w:type="dxa"/>
            <w:tcBorders>
              <w:top w:val="single" w:sz="4" w:space="0" w:color="auto"/>
              <w:left w:val="nil"/>
              <w:bottom w:val="single" w:sz="4" w:space="0" w:color="auto"/>
              <w:right w:val="single" w:sz="4" w:space="0" w:color="auto"/>
            </w:tcBorders>
            <w:shd w:val="clear" w:color="000000" w:fill="DDEBF7"/>
            <w:vAlign w:val="center"/>
            <w:hideMark/>
          </w:tcPr>
          <w:p w14:paraId="549CA382" w14:textId="77777777" w:rsidR="00E6023D" w:rsidRPr="0002422C" w:rsidRDefault="00E6023D">
            <w:pPr>
              <w:jc w:val="center"/>
              <w:rPr>
                <w:rFonts w:ascii="Calibri" w:hAnsi="Calibri" w:cs="Calibri"/>
                <w:b/>
                <w:bCs/>
                <w:sz w:val="20"/>
                <w:szCs w:val="20"/>
              </w:rPr>
            </w:pPr>
            <w:r w:rsidRPr="0002422C">
              <w:rPr>
                <w:rFonts w:ascii="Calibri" w:hAnsi="Calibri" w:cs="Calibri"/>
                <w:b/>
                <w:bCs/>
                <w:sz w:val="20"/>
                <w:szCs w:val="20"/>
              </w:rPr>
              <w:t>Sažeti opis prirode spora</w:t>
            </w:r>
          </w:p>
        </w:tc>
        <w:tc>
          <w:tcPr>
            <w:tcW w:w="1220" w:type="dxa"/>
            <w:tcBorders>
              <w:top w:val="single" w:sz="4" w:space="0" w:color="auto"/>
              <w:left w:val="nil"/>
              <w:bottom w:val="single" w:sz="4" w:space="0" w:color="auto"/>
              <w:right w:val="single" w:sz="4" w:space="0" w:color="auto"/>
            </w:tcBorders>
            <w:shd w:val="clear" w:color="000000" w:fill="DDEBF7"/>
            <w:vAlign w:val="center"/>
            <w:hideMark/>
          </w:tcPr>
          <w:p w14:paraId="18399DAD" w14:textId="77777777" w:rsidR="00E6023D" w:rsidRPr="0002422C" w:rsidRDefault="00E6023D">
            <w:pPr>
              <w:jc w:val="center"/>
              <w:rPr>
                <w:rFonts w:ascii="Calibri" w:hAnsi="Calibri" w:cs="Calibri"/>
                <w:b/>
                <w:bCs/>
                <w:sz w:val="20"/>
                <w:szCs w:val="20"/>
              </w:rPr>
            </w:pPr>
            <w:r w:rsidRPr="0002422C">
              <w:rPr>
                <w:rFonts w:ascii="Calibri" w:hAnsi="Calibri" w:cs="Calibri"/>
                <w:b/>
                <w:bCs/>
                <w:sz w:val="20"/>
                <w:szCs w:val="20"/>
              </w:rPr>
              <w:t>Iznos glavnice</w:t>
            </w:r>
          </w:p>
        </w:tc>
        <w:tc>
          <w:tcPr>
            <w:tcW w:w="1420" w:type="dxa"/>
            <w:tcBorders>
              <w:top w:val="single" w:sz="4" w:space="0" w:color="auto"/>
              <w:left w:val="nil"/>
              <w:bottom w:val="single" w:sz="4" w:space="0" w:color="auto"/>
              <w:right w:val="single" w:sz="4" w:space="0" w:color="auto"/>
            </w:tcBorders>
            <w:shd w:val="clear" w:color="000000" w:fill="DDEBF7"/>
            <w:vAlign w:val="center"/>
            <w:hideMark/>
          </w:tcPr>
          <w:p w14:paraId="7562BB74" w14:textId="77777777" w:rsidR="00E6023D" w:rsidRPr="0002422C" w:rsidRDefault="00E6023D">
            <w:pPr>
              <w:jc w:val="center"/>
              <w:rPr>
                <w:rFonts w:ascii="Calibri" w:hAnsi="Calibri" w:cs="Calibri"/>
                <w:b/>
                <w:bCs/>
                <w:sz w:val="20"/>
                <w:szCs w:val="20"/>
              </w:rPr>
            </w:pPr>
            <w:r w:rsidRPr="0002422C">
              <w:rPr>
                <w:rFonts w:ascii="Calibri" w:hAnsi="Calibri" w:cs="Calibri"/>
                <w:b/>
                <w:bCs/>
                <w:sz w:val="20"/>
                <w:szCs w:val="20"/>
              </w:rPr>
              <w:t>Procjena financijskog učinka</w:t>
            </w:r>
          </w:p>
        </w:tc>
        <w:tc>
          <w:tcPr>
            <w:tcW w:w="1500" w:type="dxa"/>
            <w:tcBorders>
              <w:top w:val="single" w:sz="4" w:space="0" w:color="auto"/>
              <w:left w:val="nil"/>
              <w:bottom w:val="single" w:sz="4" w:space="0" w:color="auto"/>
              <w:right w:val="single" w:sz="4" w:space="0" w:color="auto"/>
            </w:tcBorders>
            <w:shd w:val="clear" w:color="000000" w:fill="DDEBF7"/>
            <w:vAlign w:val="center"/>
            <w:hideMark/>
          </w:tcPr>
          <w:p w14:paraId="67BE4786" w14:textId="77777777" w:rsidR="00E6023D" w:rsidRPr="0002422C" w:rsidRDefault="00E6023D">
            <w:pPr>
              <w:jc w:val="center"/>
              <w:rPr>
                <w:rFonts w:ascii="Calibri" w:hAnsi="Calibri" w:cs="Calibri"/>
                <w:b/>
                <w:bCs/>
                <w:sz w:val="20"/>
                <w:szCs w:val="20"/>
              </w:rPr>
            </w:pPr>
            <w:r w:rsidRPr="0002422C">
              <w:rPr>
                <w:rFonts w:ascii="Calibri" w:hAnsi="Calibri" w:cs="Calibri"/>
                <w:b/>
                <w:bCs/>
                <w:sz w:val="20"/>
                <w:szCs w:val="20"/>
              </w:rPr>
              <w:t>Procijenjeno vrijeme odljeva ili priljeva sredstava</w:t>
            </w:r>
          </w:p>
        </w:tc>
        <w:tc>
          <w:tcPr>
            <w:tcW w:w="1206" w:type="dxa"/>
            <w:tcBorders>
              <w:top w:val="single" w:sz="4" w:space="0" w:color="auto"/>
              <w:left w:val="nil"/>
              <w:bottom w:val="single" w:sz="4" w:space="0" w:color="auto"/>
              <w:right w:val="single" w:sz="4" w:space="0" w:color="auto"/>
            </w:tcBorders>
            <w:shd w:val="clear" w:color="000000" w:fill="DDEBF7"/>
            <w:vAlign w:val="center"/>
            <w:hideMark/>
          </w:tcPr>
          <w:p w14:paraId="09CADF96" w14:textId="77777777" w:rsidR="00E6023D" w:rsidRPr="0002422C" w:rsidRDefault="00E6023D">
            <w:pPr>
              <w:jc w:val="center"/>
              <w:rPr>
                <w:rFonts w:ascii="Calibri" w:hAnsi="Calibri" w:cs="Calibri"/>
                <w:b/>
                <w:bCs/>
                <w:sz w:val="20"/>
                <w:szCs w:val="20"/>
              </w:rPr>
            </w:pPr>
            <w:r w:rsidRPr="0002422C">
              <w:rPr>
                <w:rFonts w:ascii="Calibri" w:hAnsi="Calibri" w:cs="Calibri"/>
                <w:b/>
                <w:bCs/>
                <w:sz w:val="20"/>
                <w:szCs w:val="20"/>
              </w:rPr>
              <w:t>Početak sudskog spora</w:t>
            </w:r>
          </w:p>
        </w:tc>
      </w:tr>
      <w:tr w:rsidR="0002422C" w:rsidRPr="0002422C" w14:paraId="52BF4082" w14:textId="77777777" w:rsidTr="00F77002">
        <w:trPr>
          <w:trHeight w:val="1000"/>
        </w:trPr>
        <w:tc>
          <w:tcPr>
            <w:tcW w:w="762" w:type="dxa"/>
            <w:tcBorders>
              <w:top w:val="nil"/>
              <w:left w:val="single" w:sz="4" w:space="0" w:color="auto"/>
              <w:bottom w:val="single" w:sz="4" w:space="0" w:color="auto"/>
              <w:right w:val="single" w:sz="4" w:space="0" w:color="auto"/>
            </w:tcBorders>
            <w:noWrap/>
            <w:vAlign w:val="center"/>
            <w:hideMark/>
          </w:tcPr>
          <w:p w14:paraId="07EC87C3" w14:textId="77777777" w:rsidR="00E6023D" w:rsidRPr="0002422C" w:rsidRDefault="00E6023D">
            <w:pPr>
              <w:jc w:val="center"/>
              <w:rPr>
                <w:rFonts w:ascii="Calibri" w:hAnsi="Calibri" w:cs="Calibri"/>
                <w:sz w:val="20"/>
                <w:szCs w:val="20"/>
              </w:rPr>
            </w:pPr>
            <w:r w:rsidRPr="0002422C">
              <w:rPr>
                <w:rFonts w:ascii="Calibri" w:hAnsi="Calibri" w:cs="Calibri"/>
                <w:sz w:val="20"/>
                <w:szCs w:val="20"/>
              </w:rPr>
              <w:t>1.</w:t>
            </w:r>
          </w:p>
        </w:tc>
        <w:tc>
          <w:tcPr>
            <w:tcW w:w="1100" w:type="dxa"/>
            <w:tcBorders>
              <w:top w:val="nil"/>
              <w:left w:val="nil"/>
              <w:bottom w:val="single" w:sz="4" w:space="0" w:color="auto"/>
              <w:right w:val="single" w:sz="4" w:space="0" w:color="auto"/>
            </w:tcBorders>
            <w:vAlign w:val="center"/>
            <w:hideMark/>
          </w:tcPr>
          <w:p w14:paraId="1820EA35" w14:textId="77777777" w:rsidR="00E6023D" w:rsidRPr="0002422C" w:rsidRDefault="00E6023D">
            <w:pPr>
              <w:jc w:val="center"/>
              <w:rPr>
                <w:rFonts w:ascii="Calibri" w:hAnsi="Calibri" w:cs="Calibri"/>
                <w:sz w:val="20"/>
                <w:szCs w:val="20"/>
              </w:rPr>
            </w:pPr>
            <w:r w:rsidRPr="0002422C">
              <w:rPr>
                <w:rFonts w:ascii="Calibri" w:hAnsi="Calibri" w:cs="Calibri"/>
                <w:sz w:val="20"/>
                <w:szCs w:val="20"/>
              </w:rPr>
              <w:t>Razne fizičke i pravne osobe (8)</w:t>
            </w:r>
          </w:p>
        </w:tc>
        <w:tc>
          <w:tcPr>
            <w:tcW w:w="1043" w:type="dxa"/>
            <w:tcBorders>
              <w:top w:val="nil"/>
              <w:left w:val="nil"/>
              <w:bottom w:val="single" w:sz="4" w:space="0" w:color="auto"/>
              <w:right w:val="single" w:sz="4" w:space="0" w:color="auto"/>
            </w:tcBorders>
            <w:vAlign w:val="center"/>
            <w:hideMark/>
          </w:tcPr>
          <w:p w14:paraId="41C5A6BB" w14:textId="77777777" w:rsidR="00E6023D" w:rsidRPr="0002422C" w:rsidRDefault="00E6023D">
            <w:pPr>
              <w:jc w:val="center"/>
              <w:rPr>
                <w:rFonts w:ascii="Calibri" w:hAnsi="Calibri" w:cs="Calibri"/>
                <w:sz w:val="20"/>
                <w:szCs w:val="20"/>
              </w:rPr>
            </w:pPr>
            <w:r w:rsidRPr="0002422C">
              <w:rPr>
                <w:rFonts w:ascii="Calibri" w:hAnsi="Calibri" w:cs="Calibri"/>
                <w:sz w:val="20"/>
                <w:szCs w:val="20"/>
              </w:rPr>
              <w:t>Istarski domovi zdravlja</w:t>
            </w:r>
          </w:p>
        </w:tc>
        <w:tc>
          <w:tcPr>
            <w:tcW w:w="1275" w:type="dxa"/>
            <w:tcBorders>
              <w:top w:val="nil"/>
              <w:left w:val="nil"/>
              <w:bottom w:val="single" w:sz="4" w:space="0" w:color="auto"/>
              <w:right w:val="single" w:sz="4" w:space="0" w:color="auto"/>
            </w:tcBorders>
            <w:vAlign w:val="center"/>
            <w:hideMark/>
          </w:tcPr>
          <w:p w14:paraId="569A259B" w14:textId="77777777" w:rsidR="00E6023D" w:rsidRPr="0002422C" w:rsidRDefault="00E6023D">
            <w:pPr>
              <w:jc w:val="center"/>
              <w:rPr>
                <w:rFonts w:ascii="Calibri" w:hAnsi="Calibri" w:cs="Calibri"/>
                <w:sz w:val="20"/>
                <w:szCs w:val="20"/>
              </w:rPr>
            </w:pPr>
            <w:r w:rsidRPr="0002422C">
              <w:rPr>
                <w:rFonts w:ascii="Calibri" w:hAnsi="Calibri" w:cs="Calibri"/>
                <w:sz w:val="20"/>
                <w:szCs w:val="20"/>
              </w:rPr>
              <w:t xml:space="preserve"> Ovrhe zbog neplaćanja računa </w:t>
            </w:r>
          </w:p>
        </w:tc>
        <w:tc>
          <w:tcPr>
            <w:tcW w:w="1220" w:type="dxa"/>
            <w:tcBorders>
              <w:top w:val="nil"/>
              <w:left w:val="nil"/>
              <w:bottom w:val="single" w:sz="4" w:space="0" w:color="auto"/>
              <w:right w:val="single" w:sz="4" w:space="0" w:color="auto"/>
            </w:tcBorders>
            <w:noWrap/>
            <w:vAlign w:val="center"/>
            <w:hideMark/>
          </w:tcPr>
          <w:p w14:paraId="72A184B2" w14:textId="77777777" w:rsidR="00E6023D" w:rsidRPr="0002422C" w:rsidRDefault="00E6023D">
            <w:pPr>
              <w:jc w:val="center"/>
              <w:rPr>
                <w:rFonts w:ascii="Calibri" w:hAnsi="Calibri" w:cs="Calibri"/>
                <w:sz w:val="20"/>
                <w:szCs w:val="20"/>
              </w:rPr>
            </w:pPr>
            <w:r w:rsidRPr="0002422C">
              <w:rPr>
                <w:rFonts w:ascii="Calibri" w:hAnsi="Calibri" w:cs="Calibri"/>
                <w:sz w:val="20"/>
                <w:szCs w:val="20"/>
              </w:rPr>
              <w:t>16.949,75</w:t>
            </w:r>
          </w:p>
        </w:tc>
        <w:tc>
          <w:tcPr>
            <w:tcW w:w="1420" w:type="dxa"/>
            <w:tcBorders>
              <w:top w:val="nil"/>
              <w:left w:val="nil"/>
              <w:bottom w:val="single" w:sz="4" w:space="0" w:color="auto"/>
              <w:right w:val="single" w:sz="4" w:space="0" w:color="auto"/>
            </w:tcBorders>
            <w:vAlign w:val="center"/>
            <w:hideMark/>
          </w:tcPr>
          <w:p w14:paraId="396C9541" w14:textId="77777777" w:rsidR="00E6023D" w:rsidRPr="0002422C" w:rsidRDefault="00E6023D">
            <w:pPr>
              <w:jc w:val="center"/>
              <w:rPr>
                <w:rFonts w:ascii="Calibri" w:hAnsi="Calibri" w:cs="Calibri"/>
                <w:sz w:val="20"/>
                <w:szCs w:val="20"/>
              </w:rPr>
            </w:pPr>
            <w:r w:rsidRPr="0002422C">
              <w:rPr>
                <w:rFonts w:ascii="Calibri" w:hAnsi="Calibri" w:cs="Calibri"/>
                <w:sz w:val="20"/>
                <w:szCs w:val="20"/>
              </w:rPr>
              <w:t>nije izvjesna</w:t>
            </w:r>
          </w:p>
        </w:tc>
        <w:tc>
          <w:tcPr>
            <w:tcW w:w="1500" w:type="dxa"/>
            <w:tcBorders>
              <w:top w:val="nil"/>
              <w:left w:val="nil"/>
              <w:bottom w:val="single" w:sz="4" w:space="0" w:color="auto"/>
              <w:right w:val="single" w:sz="4" w:space="0" w:color="auto"/>
            </w:tcBorders>
            <w:vAlign w:val="center"/>
            <w:hideMark/>
          </w:tcPr>
          <w:p w14:paraId="15A6AA5E" w14:textId="77777777" w:rsidR="00E6023D" w:rsidRPr="0002422C" w:rsidRDefault="00E6023D">
            <w:pPr>
              <w:jc w:val="center"/>
              <w:rPr>
                <w:rFonts w:ascii="Calibri" w:hAnsi="Calibri" w:cs="Calibri"/>
                <w:sz w:val="18"/>
                <w:szCs w:val="18"/>
              </w:rPr>
            </w:pPr>
            <w:r w:rsidRPr="0002422C">
              <w:rPr>
                <w:rFonts w:ascii="Calibri" w:hAnsi="Calibri" w:cs="Calibri"/>
                <w:sz w:val="18"/>
                <w:szCs w:val="18"/>
              </w:rPr>
              <w:t>sve su tužbe u tijeku; priljev sredstava nije izvjestan</w:t>
            </w:r>
          </w:p>
        </w:tc>
        <w:tc>
          <w:tcPr>
            <w:tcW w:w="1206" w:type="dxa"/>
            <w:tcBorders>
              <w:top w:val="nil"/>
              <w:left w:val="nil"/>
              <w:bottom w:val="single" w:sz="4" w:space="0" w:color="auto"/>
              <w:right w:val="single" w:sz="4" w:space="0" w:color="auto"/>
            </w:tcBorders>
            <w:vAlign w:val="center"/>
            <w:hideMark/>
          </w:tcPr>
          <w:p w14:paraId="35E2A420" w14:textId="77777777" w:rsidR="00E6023D" w:rsidRPr="0002422C" w:rsidRDefault="00E6023D">
            <w:pPr>
              <w:jc w:val="center"/>
              <w:rPr>
                <w:rFonts w:ascii="Calibri" w:hAnsi="Calibri" w:cs="Calibri"/>
                <w:sz w:val="20"/>
                <w:szCs w:val="20"/>
              </w:rPr>
            </w:pPr>
            <w:r w:rsidRPr="0002422C">
              <w:rPr>
                <w:rFonts w:ascii="Calibri" w:hAnsi="Calibri" w:cs="Calibri"/>
                <w:sz w:val="20"/>
                <w:szCs w:val="20"/>
              </w:rPr>
              <w:t>2014.-2023.</w:t>
            </w:r>
          </w:p>
        </w:tc>
      </w:tr>
      <w:tr w:rsidR="0002422C" w:rsidRPr="0002422C" w14:paraId="6151D7C8" w14:textId="77777777" w:rsidTr="00F77002">
        <w:trPr>
          <w:trHeight w:val="1270"/>
        </w:trPr>
        <w:tc>
          <w:tcPr>
            <w:tcW w:w="762" w:type="dxa"/>
            <w:tcBorders>
              <w:top w:val="nil"/>
              <w:left w:val="single" w:sz="4" w:space="0" w:color="auto"/>
              <w:bottom w:val="single" w:sz="4" w:space="0" w:color="auto"/>
              <w:right w:val="single" w:sz="4" w:space="0" w:color="auto"/>
            </w:tcBorders>
            <w:noWrap/>
            <w:vAlign w:val="center"/>
            <w:hideMark/>
          </w:tcPr>
          <w:p w14:paraId="0E1A8FC0" w14:textId="77777777" w:rsidR="00E6023D" w:rsidRPr="0002422C" w:rsidRDefault="00E6023D">
            <w:pPr>
              <w:jc w:val="center"/>
              <w:rPr>
                <w:rFonts w:ascii="Calibri" w:hAnsi="Calibri" w:cs="Calibri"/>
                <w:sz w:val="20"/>
                <w:szCs w:val="20"/>
              </w:rPr>
            </w:pPr>
            <w:r w:rsidRPr="0002422C">
              <w:rPr>
                <w:rFonts w:ascii="Calibri" w:hAnsi="Calibri" w:cs="Calibri"/>
                <w:sz w:val="20"/>
                <w:szCs w:val="20"/>
              </w:rPr>
              <w:t>2.</w:t>
            </w:r>
          </w:p>
        </w:tc>
        <w:tc>
          <w:tcPr>
            <w:tcW w:w="1100" w:type="dxa"/>
            <w:tcBorders>
              <w:top w:val="nil"/>
              <w:left w:val="nil"/>
              <w:bottom w:val="single" w:sz="4" w:space="0" w:color="auto"/>
              <w:right w:val="single" w:sz="4" w:space="0" w:color="auto"/>
            </w:tcBorders>
            <w:vAlign w:val="center"/>
            <w:hideMark/>
          </w:tcPr>
          <w:p w14:paraId="2C096808" w14:textId="77777777" w:rsidR="00E6023D" w:rsidRPr="0002422C" w:rsidRDefault="00E6023D">
            <w:pPr>
              <w:jc w:val="center"/>
              <w:rPr>
                <w:rFonts w:ascii="Calibri" w:hAnsi="Calibri" w:cs="Calibri"/>
                <w:sz w:val="20"/>
                <w:szCs w:val="20"/>
              </w:rPr>
            </w:pPr>
            <w:r w:rsidRPr="0002422C">
              <w:rPr>
                <w:rFonts w:ascii="Calibri" w:hAnsi="Calibri" w:cs="Calibri"/>
                <w:sz w:val="20"/>
                <w:szCs w:val="20"/>
              </w:rPr>
              <w:t>Istarski domovi zdravlja</w:t>
            </w:r>
          </w:p>
        </w:tc>
        <w:tc>
          <w:tcPr>
            <w:tcW w:w="1043" w:type="dxa"/>
            <w:tcBorders>
              <w:top w:val="nil"/>
              <w:left w:val="nil"/>
              <w:bottom w:val="single" w:sz="4" w:space="0" w:color="auto"/>
              <w:right w:val="single" w:sz="4" w:space="0" w:color="auto"/>
            </w:tcBorders>
            <w:vAlign w:val="center"/>
            <w:hideMark/>
          </w:tcPr>
          <w:p w14:paraId="7FE8C5FB" w14:textId="77777777" w:rsidR="00E6023D" w:rsidRPr="0002422C" w:rsidRDefault="00E6023D">
            <w:pPr>
              <w:jc w:val="center"/>
              <w:rPr>
                <w:rFonts w:ascii="Calibri" w:hAnsi="Calibri" w:cs="Calibri"/>
                <w:sz w:val="20"/>
                <w:szCs w:val="20"/>
              </w:rPr>
            </w:pPr>
            <w:r w:rsidRPr="0002422C">
              <w:rPr>
                <w:rFonts w:ascii="Calibri" w:hAnsi="Calibri" w:cs="Calibri"/>
                <w:sz w:val="20"/>
                <w:szCs w:val="20"/>
              </w:rPr>
              <w:t>Fizičke osobe (2)</w:t>
            </w:r>
          </w:p>
        </w:tc>
        <w:tc>
          <w:tcPr>
            <w:tcW w:w="1275" w:type="dxa"/>
            <w:tcBorders>
              <w:top w:val="nil"/>
              <w:left w:val="nil"/>
              <w:bottom w:val="single" w:sz="4" w:space="0" w:color="auto"/>
              <w:right w:val="single" w:sz="4" w:space="0" w:color="auto"/>
            </w:tcBorders>
            <w:vAlign w:val="center"/>
            <w:hideMark/>
          </w:tcPr>
          <w:p w14:paraId="20002E8A" w14:textId="77777777" w:rsidR="00E6023D" w:rsidRPr="0002422C" w:rsidRDefault="00E6023D">
            <w:pPr>
              <w:jc w:val="center"/>
              <w:rPr>
                <w:rFonts w:ascii="Calibri" w:hAnsi="Calibri" w:cs="Calibri"/>
                <w:sz w:val="18"/>
                <w:szCs w:val="18"/>
              </w:rPr>
            </w:pPr>
            <w:r w:rsidRPr="0002422C">
              <w:rPr>
                <w:rFonts w:ascii="Calibri" w:hAnsi="Calibri" w:cs="Calibri"/>
                <w:sz w:val="18"/>
                <w:szCs w:val="18"/>
              </w:rPr>
              <w:t>Tužbe radnika radi isplate osnovice za izračun plaće u razdoblju od 12.2015. – 01.2017.</w:t>
            </w:r>
          </w:p>
        </w:tc>
        <w:tc>
          <w:tcPr>
            <w:tcW w:w="1220" w:type="dxa"/>
            <w:tcBorders>
              <w:top w:val="nil"/>
              <w:left w:val="nil"/>
              <w:bottom w:val="single" w:sz="4" w:space="0" w:color="auto"/>
              <w:right w:val="nil"/>
            </w:tcBorders>
            <w:noWrap/>
            <w:vAlign w:val="center"/>
            <w:hideMark/>
          </w:tcPr>
          <w:p w14:paraId="42061D74" w14:textId="77777777" w:rsidR="00E6023D" w:rsidRPr="0002422C" w:rsidRDefault="00E6023D">
            <w:pPr>
              <w:jc w:val="center"/>
              <w:rPr>
                <w:rFonts w:ascii="Calibri" w:hAnsi="Calibri" w:cs="Calibri"/>
                <w:sz w:val="20"/>
                <w:szCs w:val="20"/>
              </w:rPr>
            </w:pPr>
            <w:r w:rsidRPr="0002422C">
              <w:rPr>
                <w:rFonts w:ascii="Calibri" w:hAnsi="Calibri" w:cs="Calibri"/>
                <w:sz w:val="20"/>
                <w:szCs w:val="20"/>
              </w:rPr>
              <w:t>1.076,36</w:t>
            </w:r>
          </w:p>
        </w:tc>
        <w:tc>
          <w:tcPr>
            <w:tcW w:w="1420" w:type="dxa"/>
            <w:tcBorders>
              <w:top w:val="nil"/>
              <w:left w:val="single" w:sz="4" w:space="0" w:color="auto"/>
              <w:bottom w:val="single" w:sz="4" w:space="0" w:color="auto"/>
              <w:right w:val="single" w:sz="4" w:space="0" w:color="auto"/>
            </w:tcBorders>
            <w:vAlign w:val="center"/>
            <w:hideMark/>
          </w:tcPr>
          <w:p w14:paraId="7FA4C341" w14:textId="77777777" w:rsidR="00E6023D" w:rsidRPr="0002422C" w:rsidRDefault="00E6023D">
            <w:pPr>
              <w:jc w:val="center"/>
              <w:rPr>
                <w:rFonts w:ascii="Calibri" w:hAnsi="Calibri" w:cs="Calibri"/>
                <w:sz w:val="18"/>
                <w:szCs w:val="18"/>
              </w:rPr>
            </w:pPr>
            <w:r w:rsidRPr="0002422C">
              <w:rPr>
                <w:rFonts w:ascii="Calibri" w:hAnsi="Calibri" w:cs="Calibri"/>
                <w:sz w:val="18"/>
                <w:szCs w:val="18"/>
              </w:rPr>
              <w:t>Glavnica i kamate, parnični trošak i kamate te sudske pristojbe i kamate</w:t>
            </w:r>
          </w:p>
        </w:tc>
        <w:tc>
          <w:tcPr>
            <w:tcW w:w="1500" w:type="dxa"/>
            <w:tcBorders>
              <w:top w:val="nil"/>
              <w:left w:val="nil"/>
              <w:bottom w:val="single" w:sz="4" w:space="0" w:color="auto"/>
              <w:right w:val="single" w:sz="4" w:space="0" w:color="auto"/>
            </w:tcBorders>
            <w:vAlign w:val="center"/>
            <w:hideMark/>
          </w:tcPr>
          <w:p w14:paraId="6EE385D4" w14:textId="1AA757FA" w:rsidR="00E6023D" w:rsidRPr="0002422C" w:rsidRDefault="00E6023D">
            <w:pPr>
              <w:jc w:val="center"/>
              <w:rPr>
                <w:rFonts w:ascii="Calibri" w:hAnsi="Calibri" w:cs="Calibri"/>
                <w:sz w:val="16"/>
                <w:szCs w:val="16"/>
              </w:rPr>
            </w:pPr>
            <w:r w:rsidRPr="0002422C">
              <w:rPr>
                <w:rFonts w:ascii="Calibri" w:hAnsi="Calibri" w:cs="Calibri"/>
                <w:sz w:val="16"/>
                <w:szCs w:val="16"/>
              </w:rPr>
              <w:t>Isplata glavnica i kamate, parnični troškovi i kamate i sudske pristojbe i kamate tokom 202</w:t>
            </w:r>
            <w:r w:rsidR="00F77002" w:rsidRPr="0002422C">
              <w:rPr>
                <w:rFonts w:ascii="Calibri" w:hAnsi="Calibri" w:cs="Calibri"/>
                <w:sz w:val="16"/>
                <w:szCs w:val="16"/>
              </w:rPr>
              <w:t>5</w:t>
            </w:r>
            <w:r w:rsidRPr="0002422C">
              <w:rPr>
                <w:rFonts w:ascii="Calibri" w:hAnsi="Calibri" w:cs="Calibri"/>
                <w:sz w:val="16"/>
                <w:szCs w:val="16"/>
              </w:rPr>
              <w:t>. godine</w:t>
            </w:r>
          </w:p>
        </w:tc>
        <w:tc>
          <w:tcPr>
            <w:tcW w:w="1206" w:type="dxa"/>
            <w:tcBorders>
              <w:top w:val="nil"/>
              <w:left w:val="nil"/>
              <w:bottom w:val="single" w:sz="4" w:space="0" w:color="auto"/>
              <w:right w:val="single" w:sz="4" w:space="0" w:color="auto"/>
            </w:tcBorders>
            <w:noWrap/>
            <w:vAlign w:val="center"/>
            <w:hideMark/>
          </w:tcPr>
          <w:p w14:paraId="2992018A" w14:textId="77777777" w:rsidR="00E6023D" w:rsidRPr="0002422C" w:rsidRDefault="00E6023D">
            <w:pPr>
              <w:jc w:val="center"/>
              <w:rPr>
                <w:rFonts w:ascii="Calibri" w:hAnsi="Calibri" w:cs="Calibri"/>
                <w:sz w:val="20"/>
                <w:szCs w:val="20"/>
              </w:rPr>
            </w:pPr>
            <w:r w:rsidRPr="0002422C">
              <w:rPr>
                <w:rFonts w:ascii="Calibri" w:hAnsi="Calibri" w:cs="Calibri"/>
                <w:sz w:val="20"/>
                <w:szCs w:val="20"/>
              </w:rPr>
              <w:t>2021.</w:t>
            </w:r>
          </w:p>
        </w:tc>
      </w:tr>
      <w:tr w:rsidR="0002422C" w:rsidRPr="0002422C" w14:paraId="3503C6BC" w14:textId="77777777" w:rsidTr="00F77002">
        <w:trPr>
          <w:trHeight w:val="890"/>
        </w:trPr>
        <w:tc>
          <w:tcPr>
            <w:tcW w:w="762" w:type="dxa"/>
            <w:tcBorders>
              <w:top w:val="nil"/>
              <w:left w:val="single" w:sz="4" w:space="0" w:color="auto"/>
              <w:bottom w:val="single" w:sz="4" w:space="0" w:color="auto"/>
              <w:right w:val="single" w:sz="4" w:space="0" w:color="auto"/>
            </w:tcBorders>
            <w:noWrap/>
            <w:vAlign w:val="center"/>
            <w:hideMark/>
          </w:tcPr>
          <w:p w14:paraId="1BD00CE5" w14:textId="77777777" w:rsidR="00E6023D" w:rsidRPr="0002422C" w:rsidRDefault="00E6023D">
            <w:pPr>
              <w:jc w:val="center"/>
              <w:rPr>
                <w:rFonts w:ascii="Calibri" w:hAnsi="Calibri" w:cs="Calibri"/>
                <w:sz w:val="20"/>
                <w:szCs w:val="20"/>
              </w:rPr>
            </w:pPr>
            <w:r w:rsidRPr="0002422C">
              <w:rPr>
                <w:rFonts w:ascii="Calibri" w:hAnsi="Calibri" w:cs="Calibri"/>
                <w:sz w:val="20"/>
                <w:szCs w:val="20"/>
              </w:rPr>
              <w:t>3.</w:t>
            </w:r>
          </w:p>
        </w:tc>
        <w:tc>
          <w:tcPr>
            <w:tcW w:w="1100" w:type="dxa"/>
            <w:tcBorders>
              <w:top w:val="nil"/>
              <w:left w:val="nil"/>
              <w:bottom w:val="single" w:sz="4" w:space="0" w:color="auto"/>
              <w:right w:val="single" w:sz="4" w:space="0" w:color="auto"/>
            </w:tcBorders>
            <w:vAlign w:val="center"/>
            <w:hideMark/>
          </w:tcPr>
          <w:p w14:paraId="178B5CA0" w14:textId="77777777" w:rsidR="00E6023D" w:rsidRPr="0002422C" w:rsidRDefault="00E6023D">
            <w:pPr>
              <w:jc w:val="center"/>
              <w:rPr>
                <w:rFonts w:ascii="Calibri" w:hAnsi="Calibri" w:cs="Calibri"/>
                <w:sz w:val="20"/>
                <w:szCs w:val="20"/>
              </w:rPr>
            </w:pPr>
            <w:r w:rsidRPr="0002422C">
              <w:rPr>
                <w:rFonts w:ascii="Calibri" w:hAnsi="Calibri" w:cs="Calibri"/>
                <w:sz w:val="20"/>
                <w:szCs w:val="20"/>
              </w:rPr>
              <w:t>Istarski domovi zdravlja</w:t>
            </w:r>
          </w:p>
        </w:tc>
        <w:tc>
          <w:tcPr>
            <w:tcW w:w="1043" w:type="dxa"/>
            <w:tcBorders>
              <w:top w:val="nil"/>
              <w:left w:val="nil"/>
              <w:bottom w:val="single" w:sz="4" w:space="0" w:color="auto"/>
              <w:right w:val="single" w:sz="4" w:space="0" w:color="auto"/>
            </w:tcBorders>
            <w:vAlign w:val="center"/>
            <w:hideMark/>
          </w:tcPr>
          <w:p w14:paraId="586D18C6" w14:textId="77777777" w:rsidR="00E6023D" w:rsidRPr="0002422C" w:rsidRDefault="00E6023D">
            <w:pPr>
              <w:jc w:val="center"/>
              <w:rPr>
                <w:rFonts w:ascii="Calibri" w:hAnsi="Calibri" w:cs="Calibri"/>
                <w:sz w:val="20"/>
                <w:szCs w:val="20"/>
              </w:rPr>
            </w:pPr>
            <w:r w:rsidRPr="0002422C">
              <w:rPr>
                <w:rFonts w:ascii="Calibri" w:hAnsi="Calibri" w:cs="Calibri"/>
                <w:sz w:val="20"/>
                <w:szCs w:val="20"/>
              </w:rPr>
              <w:t>Fizičke osobe (2)</w:t>
            </w:r>
          </w:p>
        </w:tc>
        <w:tc>
          <w:tcPr>
            <w:tcW w:w="1275" w:type="dxa"/>
            <w:tcBorders>
              <w:top w:val="nil"/>
              <w:left w:val="nil"/>
              <w:bottom w:val="single" w:sz="4" w:space="0" w:color="auto"/>
              <w:right w:val="single" w:sz="4" w:space="0" w:color="auto"/>
            </w:tcBorders>
            <w:vAlign w:val="center"/>
            <w:hideMark/>
          </w:tcPr>
          <w:p w14:paraId="6C5C5C0A" w14:textId="77777777" w:rsidR="00E6023D" w:rsidRPr="0002422C" w:rsidRDefault="00E6023D">
            <w:pPr>
              <w:jc w:val="center"/>
              <w:rPr>
                <w:rFonts w:ascii="Calibri" w:hAnsi="Calibri" w:cs="Calibri"/>
                <w:sz w:val="20"/>
                <w:szCs w:val="20"/>
              </w:rPr>
            </w:pPr>
            <w:r w:rsidRPr="0002422C">
              <w:rPr>
                <w:rFonts w:ascii="Calibri" w:hAnsi="Calibri" w:cs="Calibri"/>
                <w:sz w:val="20"/>
                <w:szCs w:val="20"/>
              </w:rPr>
              <w:t>Tužbe radi naknade štete</w:t>
            </w:r>
          </w:p>
        </w:tc>
        <w:tc>
          <w:tcPr>
            <w:tcW w:w="1220" w:type="dxa"/>
            <w:tcBorders>
              <w:top w:val="nil"/>
              <w:left w:val="nil"/>
              <w:bottom w:val="single" w:sz="4" w:space="0" w:color="auto"/>
              <w:right w:val="single" w:sz="4" w:space="0" w:color="auto"/>
            </w:tcBorders>
            <w:noWrap/>
            <w:vAlign w:val="center"/>
            <w:hideMark/>
          </w:tcPr>
          <w:p w14:paraId="2E43CBFE" w14:textId="77777777" w:rsidR="00E6023D" w:rsidRPr="0002422C" w:rsidRDefault="00E6023D">
            <w:pPr>
              <w:jc w:val="center"/>
              <w:rPr>
                <w:rFonts w:ascii="Calibri" w:hAnsi="Calibri" w:cs="Calibri"/>
                <w:sz w:val="20"/>
                <w:szCs w:val="20"/>
              </w:rPr>
            </w:pPr>
            <w:r w:rsidRPr="0002422C">
              <w:rPr>
                <w:rFonts w:ascii="Calibri" w:hAnsi="Calibri" w:cs="Calibri"/>
                <w:sz w:val="20"/>
                <w:szCs w:val="20"/>
              </w:rPr>
              <w:t>189.976,75</w:t>
            </w:r>
          </w:p>
        </w:tc>
        <w:tc>
          <w:tcPr>
            <w:tcW w:w="1420" w:type="dxa"/>
            <w:tcBorders>
              <w:top w:val="nil"/>
              <w:left w:val="nil"/>
              <w:bottom w:val="single" w:sz="4" w:space="0" w:color="auto"/>
              <w:right w:val="single" w:sz="4" w:space="0" w:color="auto"/>
            </w:tcBorders>
            <w:vAlign w:val="center"/>
            <w:hideMark/>
          </w:tcPr>
          <w:p w14:paraId="79F59986" w14:textId="77777777" w:rsidR="00E6023D" w:rsidRPr="0002422C" w:rsidRDefault="00E6023D">
            <w:pPr>
              <w:jc w:val="center"/>
              <w:rPr>
                <w:rFonts w:ascii="Calibri" w:hAnsi="Calibri" w:cs="Calibri"/>
                <w:sz w:val="20"/>
                <w:szCs w:val="20"/>
              </w:rPr>
            </w:pPr>
            <w:r w:rsidRPr="0002422C">
              <w:rPr>
                <w:rFonts w:ascii="Calibri" w:hAnsi="Calibri" w:cs="Calibri"/>
                <w:sz w:val="20"/>
                <w:szCs w:val="20"/>
              </w:rPr>
              <w:t>nije izvjesna</w:t>
            </w:r>
          </w:p>
        </w:tc>
        <w:tc>
          <w:tcPr>
            <w:tcW w:w="1500" w:type="dxa"/>
            <w:tcBorders>
              <w:top w:val="nil"/>
              <w:left w:val="nil"/>
              <w:bottom w:val="single" w:sz="4" w:space="0" w:color="auto"/>
              <w:right w:val="single" w:sz="4" w:space="0" w:color="auto"/>
            </w:tcBorders>
            <w:vAlign w:val="center"/>
            <w:hideMark/>
          </w:tcPr>
          <w:p w14:paraId="5E0FAA1B" w14:textId="77777777" w:rsidR="00E6023D" w:rsidRPr="0002422C" w:rsidRDefault="00E6023D">
            <w:pPr>
              <w:jc w:val="center"/>
              <w:rPr>
                <w:rFonts w:ascii="Calibri" w:hAnsi="Calibri" w:cs="Calibri"/>
                <w:sz w:val="16"/>
                <w:szCs w:val="16"/>
              </w:rPr>
            </w:pPr>
            <w:r w:rsidRPr="0002422C">
              <w:rPr>
                <w:rFonts w:ascii="Calibri" w:hAnsi="Calibri" w:cs="Calibri"/>
                <w:sz w:val="16"/>
                <w:szCs w:val="16"/>
              </w:rPr>
              <w:t>Nije izvjesno vrijeme trajanja i datum pravomoćnog okončanja postupka</w:t>
            </w:r>
          </w:p>
        </w:tc>
        <w:tc>
          <w:tcPr>
            <w:tcW w:w="1206" w:type="dxa"/>
            <w:tcBorders>
              <w:top w:val="nil"/>
              <w:left w:val="nil"/>
              <w:bottom w:val="single" w:sz="4" w:space="0" w:color="auto"/>
              <w:right w:val="single" w:sz="4" w:space="0" w:color="auto"/>
            </w:tcBorders>
            <w:noWrap/>
            <w:vAlign w:val="center"/>
            <w:hideMark/>
          </w:tcPr>
          <w:p w14:paraId="19FDB48A" w14:textId="77777777" w:rsidR="00E6023D" w:rsidRPr="0002422C" w:rsidRDefault="00E6023D">
            <w:pPr>
              <w:jc w:val="center"/>
              <w:rPr>
                <w:rFonts w:ascii="Calibri" w:hAnsi="Calibri" w:cs="Calibri"/>
                <w:sz w:val="20"/>
                <w:szCs w:val="20"/>
              </w:rPr>
            </w:pPr>
            <w:r w:rsidRPr="0002422C">
              <w:rPr>
                <w:rFonts w:ascii="Calibri" w:hAnsi="Calibri" w:cs="Calibri"/>
                <w:sz w:val="20"/>
                <w:szCs w:val="20"/>
              </w:rPr>
              <w:t>2009./2010.</w:t>
            </w:r>
          </w:p>
        </w:tc>
      </w:tr>
      <w:tr w:rsidR="0002422C" w:rsidRPr="0002422C" w14:paraId="5A2BBD2E" w14:textId="77777777" w:rsidTr="00F77002">
        <w:trPr>
          <w:trHeight w:val="840"/>
        </w:trPr>
        <w:tc>
          <w:tcPr>
            <w:tcW w:w="762" w:type="dxa"/>
            <w:tcBorders>
              <w:top w:val="nil"/>
              <w:left w:val="single" w:sz="4" w:space="0" w:color="auto"/>
              <w:bottom w:val="single" w:sz="4" w:space="0" w:color="auto"/>
              <w:right w:val="single" w:sz="4" w:space="0" w:color="auto"/>
            </w:tcBorders>
            <w:noWrap/>
            <w:vAlign w:val="center"/>
            <w:hideMark/>
          </w:tcPr>
          <w:p w14:paraId="6CEBE167" w14:textId="77777777" w:rsidR="00E6023D" w:rsidRPr="0002422C" w:rsidRDefault="00E6023D">
            <w:pPr>
              <w:jc w:val="center"/>
              <w:rPr>
                <w:rFonts w:ascii="Calibri" w:hAnsi="Calibri" w:cs="Calibri"/>
                <w:sz w:val="20"/>
                <w:szCs w:val="20"/>
              </w:rPr>
            </w:pPr>
            <w:r w:rsidRPr="0002422C">
              <w:rPr>
                <w:rFonts w:ascii="Calibri" w:hAnsi="Calibri" w:cs="Calibri"/>
                <w:sz w:val="20"/>
                <w:szCs w:val="20"/>
              </w:rPr>
              <w:t>4.</w:t>
            </w:r>
          </w:p>
        </w:tc>
        <w:tc>
          <w:tcPr>
            <w:tcW w:w="1100" w:type="dxa"/>
            <w:tcBorders>
              <w:top w:val="nil"/>
              <w:left w:val="nil"/>
              <w:bottom w:val="single" w:sz="4" w:space="0" w:color="auto"/>
              <w:right w:val="single" w:sz="4" w:space="0" w:color="auto"/>
            </w:tcBorders>
            <w:vAlign w:val="center"/>
            <w:hideMark/>
          </w:tcPr>
          <w:p w14:paraId="303314B8" w14:textId="77777777" w:rsidR="00E6023D" w:rsidRPr="0002422C" w:rsidRDefault="00E6023D">
            <w:pPr>
              <w:jc w:val="center"/>
              <w:rPr>
                <w:rFonts w:ascii="Calibri" w:hAnsi="Calibri" w:cs="Calibri"/>
                <w:sz w:val="20"/>
                <w:szCs w:val="20"/>
              </w:rPr>
            </w:pPr>
            <w:r w:rsidRPr="0002422C">
              <w:rPr>
                <w:rFonts w:ascii="Calibri" w:hAnsi="Calibri" w:cs="Calibri"/>
                <w:sz w:val="20"/>
                <w:szCs w:val="20"/>
              </w:rPr>
              <w:t>Istarski domovi zdravlja</w:t>
            </w:r>
          </w:p>
        </w:tc>
        <w:tc>
          <w:tcPr>
            <w:tcW w:w="1043" w:type="dxa"/>
            <w:tcBorders>
              <w:top w:val="nil"/>
              <w:left w:val="nil"/>
              <w:bottom w:val="single" w:sz="4" w:space="0" w:color="auto"/>
              <w:right w:val="single" w:sz="4" w:space="0" w:color="auto"/>
            </w:tcBorders>
            <w:vAlign w:val="center"/>
            <w:hideMark/>
          </w:tcPr>
          <w:p w14:paraId="32AEAAB1" w14:textId="77777777" w:rsidR="00E6023D" w:rsidRPr="0002422C" w:rsidRDefault="00E6023D">
            <w:pPr>
              <w:jc w:val="center"/>
              <w:rPr>
                <w:rFonts w:ascii="Calibri" w:hAnsi="Calibri" w:cs="Calibri"/>
                <w:sz w:val="20"/>
                <w:szCs w:val="20"/>
              </w:rPr>
            </w:pPr>
            <w:r w:rsidRPr="0002422C">
              <w:rPr>
                <w:rFonts w:ascii="Calibri" w:hAnsi="Calibri" w:cs="Calibri"/>
                <w:sz w:val="20"/>
                <w:szCs w:val="20"/>
              </w:rPr>
              <w:t>Fizičke osobe (1)</w:t>
            </w:r>
          </w:p>
        </w:tc>
        <w:tc>
          <w:tcPr>
            <w:tcW w:w="1275" w:type="dxa"/>
            <w:tcBorders>
              <w:top w:val="nil"/>
              <w:left w:val="nil"/>
              <w:bottom w:val="single" w:sz="4" w:space="0" w:color="auto"/>
              <w:right w:val="single" w:sz="4" w:space="0" w:color="auto"/>
            </w:tcBorders>
            <w:vAlign w:val="center"/>
            <w:hideMark/>
          </w:tcPr>
          <w:p w14:paraId="71D70597" w14:textId="77777777" w:rsidR="00E6023D" w:rsidRPr="0002422C" w:rsidRDefault="00E6023D">
            <w:pPr>
              <w:jc w:val="center"/>
              <w:rPr>
                <w:rFonts w:ascii="Calibri" w:hAnsi="Calibri" w:cs="Calibri"/>
                <w:sz w:val="20"/>
                <w:szCs w:val="20"/>
              </w:rPr>
            </w:pPr>
            <w:r w:rsidRPr="0002422C">
              <w:rPr>
                <w:rFonts w:ascii="Calibri" w:hAnsi="Calibri" w:cs="Calibri"/>
                <w:sz w:val="20"/>
                <w:szCs w:val="20"/>
              </w:rPr>
              <w:t>Tužba radi pobijanja</w:t>
            </w:r>
          </w:p>
        </w:tc>
        <w:tc>
          <w:tcPr>
            <w:tcW w:w="1220" w:type="dxa"/>
            <w:tcBorders>
              <w:top w:val="nil"/>
              <w:left w:val="nil"/>
              <w:bottom w:val="single" w:sz="4" w:space="0" w:color="auto"/>
              <w:right w:val="single" w:sz="4" w:space="0" w:color="auto"/>
            </w:tcBorders>
            <w:vAlign w:val="center"/>
            <w:hideMark/>
          </w:tcPr>
          <w:p w14:paraId="60FE6205" w14:textId="77777777" w:rsidR="00E6023D" w:rsidRPr="0002422C" w:rsidRDefault="00E6023D">
            <w:pPr>
              <w:jc w:val="center"/>
              <w:rPr>
                <w:rFonts w:ascii="Calibri" w:hAnsi="Calibri" w:cs="Calibri"/>
                <w:sz w:val="20"/>
                <w:szCs w:val="20"/>
              </w:rPr>
            </w:pPr>
            <w:r w:rsidRPr="0002422C">
              <w:rPr>
                <w:rFonts w:ascii="Calibri" w:hAnsi="Calibri" w:cs="Calibri"/>
                <w:sz w:val="20"/>
                <w:szCs w:val="20"/>
              </w:rPr>
              <w:t>1.330,00</w:t>
            </w:r>
          </w:p>
        </w:tc>
        <w:tc>
          <w:tcPr>
            <w:tcW w:w="1420" w:type="dxa"/>
            <w:tcBorders>
              <w:top w:val="nil"/>
              <w:left w:val="nil"/>
              <w:bottom w:val="single" w:sz="4" w:space="0" w:color="auto"/>
              <w:right w:val="single" w:sz="4" w:space="0" w:color="auto"/>
            </w:tcBorders>
            <w:vAlign w:val="center"/>
            <w:hideMark/>
          </w:tcPr>
          <w:p w14:paraId="1A0356E0" w14:textId="77777777" w:rsidR="00E6023D" w:rsidRPr="0002422C" w:rsidRDefault="00E6023D">
            <w:pPr>
              <w:jc w:val="center"/>
              <w:rPr>
                <w:rFonts w:ascii="Calibri" w:hAnsi="Calibri" w:cs="Calibri"/>
                <w:sz w:val="16"/>
                <w:szCs w:val="16"/>
              </w:rPr>
            </w:pPr>
            <w:r w:rsidRPr="0002422C">
              <w:rPr>
                <w:rFonts w:ascii="Calibri" w:hAnsi="Calibri" w:cs="Calibri"/>
                <w:sz w:val="16"/>
                <w:szCs w:val="16"/>
              </w:rPr>
              <w:t>Glavnica i kamate, parnični troškovi i kamate, sudska pristojba i kamate</w:t>
            </w:r>
          </w:p>
        </w:tc>
        <w:tc>
          <w:tcPr>
            <w:tcW w:w="1500" w:type="dxa"/>
            <w:tcBorders>
              <w:top w:val="nil"/>
              <w:left w:val="nil"/>
              <w:bottom w:val="single" w:sz="4" w:space="0" w:color="auto"/>
              <w:right w:val="single" w:sz="4" w:space="0" w:color="auto"/>
            </w:tcBorders>
            <w:vAlign w:val="center"/>
            <w:hideMark/>
          </w:tcPr>
          <w:p w14:paraId="0D2888EC" w14:textId="77777777" w:rsidR="00E6023D" w:rsidRPr="0002422C" w:rsidRDefault="00E6023D">
            <w:pPr>
              <w:jc w:val="center"/>
              <w:rPr>
                <w:rFonts w:ascii="Calibri" w:hAnsi="Calibri" w:cs="Calibri"/>
                <w:sz w:val="20"/>
                <w:szCs w:val="20"/>
              </w:rPr>
            </w:pPr>
            <w:r w:rsidRPr="0002422C">
              <w:rPr>
                <w:rFonts w:ascii="Calibri" w:hAnsi="Calibri" w:cs="Calibri"/>
                <w:sz w:val="20"/>
                <w:szCs w:val="20"/>
              </w:rPr>
              <w:t>Nije odredivo</w:t>
            </w:r>
          </w:p>
        </w:tc>
        <w:tc>
          <w:tcPr>
            <w:tcW w:w="1206" w:type="dxa"/>
            <w:tcBorders>
              <w:top w:val="nil"/>
              <w:left w:val="nil"/>
              <w:bottom w:val="single" w:sz="4" w:space="0" w:color="auto"/>
              <w:right w:val="single" w:sz="4" w:space="0" w:color="auto"/>
            </w:tcBorders>
            <w:vAlign w:val="center"/>
            <w:hideMark/>
          </w:tcPr>
          <w:p w14:paraId="67198C64" w14:textId="77777777" w:rsidR="00E6023D" w:rsidRPr="0002422C" w:rsidRDefault="00E6023D">
            <w:pPr>
              <w:jc w:val="center"/>
              <w:rPr>
                <w:rFonts w:ascii="Calibri" w:hAnsi="Calibri" w:cs="Calibri"/>
                <w:sz w:val="20"/>
                <w:szCs w:val="20"/>
              </w:rPr>
            </w:pPr>
            <w:r w:rsidRPr="0002422C">
              <w:rPr>
                <w:rFonts w:ascii="Calibri" w:hAnsi="Calibri" w:cs="Calibri"/>
                <w:sz w:val="20"/>
                <w:szCs w:val="20"/>
              </w:rPr>
              <w:t>2024.</w:t>
            </w:r>
          </w:p>
        </w:tc>
      </w:tr>
      <w:tr w:rsidR="0002422C" w:rsidRPr="0002422C" w14:paraId="68945FD5" w14:textId="77777777" w:rsidTr="00F77002">
        <w:trPr>
          <w:trHeight w:val="1250"/>
        </w:trPr>
        <w:tc>
          <w:tcPr>
            <w:tcW w:w="762" w:type="dxa"/>
            <w:tcBorders>
              <w:top w:val="nil"/>
              <w:left w:val="single" w:sz="4" w:space="0" w:color="auto"/>
              <w:bottom w:val="single" w:sz="4" w:space="0" w:color="auto"/>
              <w:right w:val="single" w:sz="4" w:space="0" w:color="auto"/>
            </w:tcBorders>
            <w:noWrap/>
            <w:vAlign w:val="center"/>
            <w:hideMark/>
          </w:tcPr>
          <w:p w14:paraId="5B057A48" w14:textId="77777777" w:rsidR="00E6023D" w:rsidRPr="0002422C" w:rsidRDefault="00E6023D">
            <w:pPr>
              <w:jc w:val="center"/>
              <w:rPr>
                <w:rFonts w:ascii="Calibri" w:hAnsi="Calibri" w:cs="Calibri"/>
                <w:sz w:val="20"/>
                <w:szCs w:val="20"/>
              </w:rPr>
            </w:pPr>
            <w:r w:rsidRPr="0002422C">
              <w:rPr>
                <w:rFonts w:ascii="Calibri" w:hAnsi="Calibri" w:cs="Calibri"/>
                <w:sz w:val="20"/>
                <w:szCs w:val="20"/>
              </w:rPr>
              <w:t>5.</w:t>
            </w:r>
          </w:p>
        </w:tc>
        <w:tc>
          <w:tcPr>
            <w:tcW w:w="1100" w:type="dxa"/>
            <w:tcBorders>
              <w:top w:val="nil"/>
              <w:left w:val="nil"/>
              <w:bottom w:val="single" w:sz="4" w:space="0" w:color="auto"/>
              <w:right w:val="single" w:sz="4" w:space="0" w:color="auto"/>
            </w:tcBorders>
            <w:vAlign w:val="center"/>
            <w:hideMark/>
          </w:tcPr>
          <w:p w14:paraId="7C30FD8F" w14:textId="77777777" w:rsidR="00E6023D" w:rsidRPr="0002422C" w:rsidRDefault="00E6023D">
            <w:pPr>
              <w:jc w:val="center"/>
              <w:rPr>
                <w:rFonts w:ascii="Calibri" w:hAnsi="Calibri" w:cs="Calibri"/>
                <w:sz w:val="20"/>
                <w:szCs w:val="20"/>
              </w:rPr>
            </w:pPr>
            <w:r w:rsidRPr="0002422C">
              <w:rPr>
                <w:rFonts w:ascii="Calibri" w:hAnsi="Calibri" w:cs="Calibri"/>
                <w:sz w:val="20"/>
                <w:szCs w:val="20"/>
              </w:rPr>
              <w:t>Istarski domovi zdravlja</w:t>
            </w:r>
          </w:p>
        </w:tc>
        <w:tc>
          <w:tcPr>
            <w:tcW w:w="1043" w:type="dxa"/>
            <w:tcBorders>
              <w:top w:val="nil"/>
              <w:left w:val="nil"/>
              <w:bottom w:val="single" w:sz="4" w:space="0" w:color="auto"/>
              <w:right w:val="single" w:sz="4" w:space="0" w:color="auto"/>
            </w:tcBorders>
            <w:vAlign w:val="center"/>
            <w:hideMark/>
          </w:tcPr>
          <w:p w14:paraId="7E7C5C3E" w14:textId="77777777" w:rsidR="00E6023D" w:rsidRPr="0002422C" w:rsidRDefault="00E6023D">
            <w:pPr>
              <w:jc w:val="center"/>
              <w:rPr>
                <w:rFonts w:ascii="Calibri" w:hAnsi="Calibri" w:cs="Calibri"/>
                <w:sz w:val="20"/>
                <w:szCs w:val="20"/>
              </w:rPr>
            </w:pPr>
            <w:r w:rsidRPr="0002422C">
              <w:rPr>
                <w:rFonts w:ascii="Calibri" w:hAnsi="Calibri" w:cs="Calibri"/>
                <w:sz w:val="20"/>
                <w:szCs w:val="20"/>
              </w:rPr>
              <w:t>Fizičke osobe (14)</w:t>
            </w:r>
          </w:p>
        </w:tc>
        <w:tc>
          <w:tcPr>
            <w:tcW w:w="1275" w:type="dxa"/>
            <w:tcBorders>
              <w:top w:val="nil"/>
              <w:left w:val="nil"/>
              <w:bottom w:val="single" w:sz="4" w:space="0" w:color="auto"/>
              <w:right w:val="single" w:sz="4" w:space="0" w:color="auto"/>
            </w:tcBorders>
            <w:vAlign w:val="center"/>
            <w:hideMark/>
          </w:tcPr>
          <w:p w14:paraId="03EBBC20" w14:textId="77777777" w:rsidR="00E6023D" w:rsidRPr="0002422C" w:rsidRDefault="00E6023D">
            <w:pPr>
              <w:jc w:val="center"/>
              <w:rPr>
                <w:rFonts w:ascii="Calibri" w:hAnsi="Calibri" w:cs="Calibri"/>
                <w:sz w:val="20"/>
                <w:szCs w:val="20"/>
              </w:rPr>
            </w:pPr>
            <w:r w:rsidRPr="0002422C">
              <w:rPr>
                <w:rFonts w:ascii="Calibri" w:hAnsi="Calibri" w:cs="Calibri"/>
                <w:sz w:val="20"/>
                <w:szCs w:val="20"/>
              </w:rPr>
              <w:t>Tužba radi isplate razlike bruto plaće</w:t>
            </w:r>
          </w:p>
        </w:tc>
        <w:tc>
          <w:tcPr>
            <w:tcW w:w="1220" w:type="dxa"/>
            <w:tcBorders>
              <w:top w:val="nil"/>
              <w:left w:val="nil"/>
              <w:bottom w:val="single" w:sz="4" w:space="0" w:color="auto"/>
              <w:right w:val="single" w:sz="4" w:space="0" w:color="auto"/>
            </w:tcBorders>
            <w:vAlign w:val="center"/>
            <w:hideMark/>
          </w:tcPr>
          <w:p w14:paraId="059CC602" w14:textId="77777777" w:rsidR="00E6023D" w:rsidRPr="0002422C" w:rsidRDefault="00E6023D">
            <w:pPr>
              <w:jc w:val="center"/>
              <w:rPr>
                <w:rFonts w:ascii="Calibri" w:hAnsi="Calibri" w:cs="Calibri"/>
                <w:sz w:val="20"/>
                <w:szCs w:val="20"/>
              </w:rPr>
            </w:pPr>
            <w:r w:rsidRPr="0002422C">
              <w:rPr>
                <w:rFonts w:ascii="Calibri" w:hAnsi="Calibri" w:cs="Calibri"/>
                <w:sz w:val="20"/>
                <w:szCs w:val="20"/>
              </w:rPr>
              <w:t>29.770,00</w:t>
            </w:r>
          </w:p>
        </w:tc>
        <w:tc>
          <w:tcPr>
            <w:tcW w:w="1420" w:type="dxa"/>
            <w:tcBorders>
              <w:top w:val="nil"/>
              <w:left w:val="nil"/>
              <w:bottom w:val="single" w:sz="4" w:space="0" w:color="auto"/>
              <w:right w:val="single" w:sz="4" w:space="0" w:color="auto"/>
            </w:tcBorders>
            <w:vAlign w:val="center"/>
            <w:hideMark/>
          </w:tcPr>
          <w:p w14:paraId="6A64FEE9" w14:textId="77777777" w:rsidR="00E6023D" w:rsidRPr="0002422C" w:rsidRDefault="00E6023D">
            <w:pPr>
              <w:jc w:val="center"/>
              <w:rPr>
                <w:rFonts w:ascii="Calibri" w:hAnsi="Calibri" w:cs="Calibri"/>
                <w:sz w:val="18"/>
                <w:szCs w:val="18"/>
              </w:rPr>
            </w:pPr>
            <w:r w:rsidRPr="0002422C">
              <w:rPr>
                <w:rFonts w:ascii="Calibri" w:hAnsi="Calibri" w:cs="Calibri"/>
                <w:sz w:val="18"/>
                <w:szCs w:val="18"/>
              </w:rPr>
              <w:t>Glavnica i kamate, parnični troškovi i kamate, sudska pristojba i kamate</w:t>
            </w:r>
          </w:p>
        </w:tc>
        <w:tc>
          <w:tcPr>
            <w:tcW w:w="1500" w:type="dxa"/>
            <w:tcBorders>
              <w:top w:val="nil"/>
              <w:left w:val="nil"/>
              <w:bottom w:val="single" w:sz="4" w:space="0" w:color="auto"/>
              <w:right w:val="single" w:sz="4" w:space="0" w:color="auto"/>
            </w:tcBorders>
            <w:vAlign w:val="center"/>
            <w:hideMark/>
          </w:tcPr>
          <w:p w14:paraId="3F9415B9" w14:textId="77777777" w:rsidR="00E6023D" w:rsidRPr="0002422C" w:rsidRDefault="00E6023D">
            <w:pPr>
              <w:jc w:val="center"/>
              <w:rPr>
                <w:rFonts w:ascii="Calibri" w:hAnsi="Calibri" w:cs="Calibri"/>
                <w:sz w:val="18"/>
                <w:szCs w:val="18"/>
              </w:rPr>
            </w:pPr>
            <w:r w:rsidRPr="0002422C">
              <w:rPr>
                <w:rFonts w:ascii="Calibri" w:hAnsi="Calibri" w:cs="Calibri"/>
                <w:sz w:val="18"/>
                <w:szCs w:val="18"/>
              </w:rPr>
              <w:t xml:space="preserve">Isplata glavnica i </w:t>
            </w:r>
            <w:proofErr w:type="spellStart"/>
            <w:r w:rsidRPr="0002422C">
              <w:rPr>
                <w:rFonts w:ascii="Calibri" w:hAnsi="Calibri" w:cs="Calibri"/>
                <w:sz w:val="18"/>
                <w:szCs w:val="18"/>
              </w:rPr>
              <w:t>kte</w:t>
            </w:r>
            <w:proofErr w:type="spellEnd"/>
            <w:r w:rsidRPr="0002422C">
              <w:rPr>
                <w:rFonts w:ascii="Calibri" w:hAnsi="Calibri" w:cs="Calibri"/>
                <w:sz w:val="18"/>
                <w:szCs w:val="18"/>
              </w:rPr>
              <w:t xml:space="preserve">, parnični troškovi i </w:t>
            </w:r>
            <w:proofErr w:type="spellStart"/>
            <w:r w:rsidRPr="0002422C">
              <w:rPr>
                <w:rFonts w:ascii="Calibri" w:hAnsi="Calibri" w:cs="Calibri"/>
                <w:sz w:val="18"/>
                <w:szCs w:val="18"/>
              </w:rPr>
              <w:t>kte</w:t>
            </w:r>
            <w:proofErr w:type="spellEnd"/>
            <w:r w:rsidRPr="0002422C">
              <w:rPr>
                <w:rFonts w:ascii="Calibri" w:hAnsi="Calibri" w:cs="Calibri"/>
                <w:sz w:val="18"/>
                <w:szCs w:val="18"/>
              </w:rPr>
              <w:t xml:space="preserve"> i sudske pristojbe i </w:t>
            </w:r>
            <w:proofErr w:type="spellStart"/>
            <w:r w:rsidRPr="0002422C">
              <w:rPr>
                <w:rFonts w:ascii="Calibri" w:hAnsi="Calibri" w:cs="Calibri"/>
                <w:sz w:val="18"/>
                <w:szCs w:val="18"/>
              </w:rPr>
              <w:t>kte</w:t>
            </w:r>
            <w:proofErr w:type="spellEnd"/>
            <w:r w:rsidRPr="0002422C">
              <w:rPr>
                <w:rFonts w:ascii="Calibri" w:hAnsi="Calibri" w:cs="Calibri"/>
                <w:sz w:val="18"/>
                <w:szCs w:val="18"/>
              </w:rPr>
              <w:t xml:space="preserve"> tokom 2025. g.</w:t>
            </w:r>
          </w:p>
        </w:tc>
        <w:tc>
          <w:tcPr>
            <w:tcW w:w="1206" w:type="dxa"/>
            <w:tcBorders>
              <w:top w:val="nil"/>
              <w:left w:val="nil"/>
              <w:bottom w:val="single" w:sz="4" w:space="0" w:color="auto"/>
              <w:right w:val="single" w:sz="4" w:space="0" w:color="auto"/>
            </w:tcBorders>
            <w:vAlign w:val="center"/>
            <w:hideMark/>
          </w:tcPr>
          <w:p w14:paraId="2F123552" w14:textId="77777777" w:rsidR="00E6023D" w:rsidRPr="0002422C" w:rsidRDefault="00E6023D">
            <w:pPr>
              <w:jc w:val="center"/>
              <w:rPr>
                <w:rFonts w:ascii="Calibri" w:hAnsi="Calibri" w:cs="Calibri"/>
                <w:sz w:val="20"/>
                <w:szCs w:val="20"/>
              </w:rPr>
            </w:pPr>
            <w:r w:rsidRPr="0002422C">
              <w:rPr>
                <w:rFonts w:ascii="Calibri" w:hAnsi="Calibri" w:cs="Calibri"/>
                <w:sz w:val="20"/>
                <w:szCs w:val="20"/>
              </w:rPr>
              <w:t>2024. i 2025.</w:t>
            </w:r>
          </w:p>
        </w:tc>
      </w:tr>
    </w:tbl>
    <w:p w14:paraId="7A3DEA67" w14:textId="77777777" w:rsidR="0002422C" w:rsidRDefault="0002422C" w:rsidP="00F77002">
      <w:pPr>
        <w:spacing w:line="276" w:lineRule="auto"/>
        <w:jc w:val="both"/>
        <w:rPr>
          <w:rFonts w:ascii="Arial" w:hAnsi="Arial" w:cs="Arial"/>
          <w:color w:val="365F91" w:themeColor="accent1" w:themeShade="BF"/>
          <w:sz w:val="22"/>
          <w:szCs w:val="22"/>
        </w:rPr>
      </w:pPr>
    </w:p>
    <w:p w14:paraId="2B8D6E87" w14:textId="2B0BAECE" w:rsidR="00F77002" w:rsidRPr="00AD78FF" w:rsidRDefault="00F77002" w:rsidP="00F77002">
      <w:pPr>
        <w:spacing w:line="276" w:lineRule="auto"/>
        <w:jc w:val="both"/>
        <w:rPr>
          <w:rFonts w:ascii="Arial" w:hAnsi="Arial" w:cs="Arial"/>
          <w:sz w:val="22"/>
          <w:szCs w:val="22"/>
        </w:rPr>
      </w:pPr>
      <w:r w:rsidRPr="00AD78FF">
        <w:rPr>
          <w:rFonts w:ascii="Arial" w:hAnsi="Arial" w:cs="Arial"/>
          <w:sz w:val="22"/>
          <w:szCs w:val="22"/>
        </w:rPr>
        <w:t>Tijekom 2025. godine protiv zdravstvene ustanove Istarski domovi zdravlja vodi se više sudskih postupaka različite pravne osnove i financijske vrijednosti. Postupci se najvećim dijelom odnose na tužbe radnika radi isplate razlike plaće te naknade štete, kao i pojedinačne sporove radi pobijanja.</w:t>
      </w:r>
    </w:p>
    <w:p w14:paraId="6BD5F826" w14:textId="77777777" w:rsidR="00F77002" w:rsidRPr="00AD78FF" w:rsidRDefault="00F77002" w:rsidP="00F77002">
      <w:pPr>
        <w:spacing w:line="276" w:lineRule="auto"/>
        <w:jc w:val="both"/>
        <w:rPr>
          <w:rFonts w:ascii="Arial" w:hAnsi="Arial" w:cs="Arial"/>
          <w:sz w:val="22"/>
          <w:szCs w:val="22"/>
        </w:rPr>
      </w:pPr>
      <w:r w:rsidRPr="00AD78FF">
        <w:rPr>
          <w:rFonts w:ascii="Arial" w:hAnsi="Arial" w:cs="Arial"/>
          <w:sz w:val="22"/>
          <w:szCs w:val="22"/>
        </w:rPr>
        <w:t xml:space="preserve">Ukupno je u tijeku nekoliko postupaka u kojima tužitelji potražuju isplate temeljem razlike osnovice za obračun plaće iz ranijih razdoblja, pri čemu se uz glavnicu očekuju i dodatni troškovi kamata, parničnih troškova i sudskih pristojbi. </w:t>
      </w:r>
    </w:p>
    <w:p w14:paraId="1A85D0BA" w14:textId="77777777" w:rsidR="0002422C" w:rsidRPr="00F77002" w:rsidRDefault="0002422C" w:rsidP="00F77002">
      <w:pPr>
        <w:spacing w:line="276" w:lineRule="auto"/>
        <w:jc w:val="both"/>
        <w:rPr>
          <w:rFonts w:ascii="Arial" w:hAnsi="Arial" w:cs="Arial"/>
          <w:color w:val="365F91" w:themeColor="accent1" w:themeShade="BF"/>
          <w:sz w:val="22"/>
          <w:szCs w:val="22"/>
        </w:rPr>
      </w:pPr>
    </w:p>
    <w:p w14:paraId="0A9DB21C" w14:textId="77777777" w:rsidR="00F77002" w:rsidRPr="0002422C" w:rsidRDefault="00F77002" w:rsidP="00F77002">
      <w:pPr>
        <w:spacing w:line="276" w:lineRule="auto"/>
        <w:jc w:val="both"/>
        <w:rPr>
          <w:rFonts w:ascii="Arial" w:hAnsi="Arial" w:cs="Arial"/>
          <w:sz w:val="22"/>
          <w:szCs w:val="22"/>
        </w:rPr>
      </w:pPr>
      <w:r w:rsidRPr="0002422C">
        <w:rPr>
          <w:rFonts w:ascii="Arial" w:hAnsi="Arial" w:cs="Arial"/>
          <w:sz w:val="22"/>
          <w:szCs w:val="22"/>
        </w:rPr>
        <w:t xml:space="preserve">Najznačajniji pojedinačni spor odnosi se na postupke radi naknade štete u ukupnom iznosu od 189.976,75 eura, za koje trenutno nije moguće pouzdano procijeniti financijski učinak niti vrijeme pravomoćnog okončanja postupka. Također, u tijeku su i noviji sporovi pokrenuti tijekom 2024. i </w:t>
      </w:r>
      <w:r w:rsidRPr="0002422C">
        <w:rPr>
          <w:rFonts w:ascii="Arial" w:hAnsi="Arial" w:cs="Arial"/>
          <w:sz w:val="22"/>
          <w:szCs w:val="22"/>
        </w:rPr>
        <w:lastRenderedPageBreak/>
        <w:t>2025. godine, uključujući tužbe radi isplate razlike bruto plaće i pobijanja, za koje će financijski učinci ovisiti o ishodu sudskih postupaka.</w:t>
      </w:r>
    </w:p>
    <w:p w14:paraId="5EC689A7" w14:textId="77777777" w:rsidR="00F77002" w:rsidRPr="0002422C" w:rsidRDefault="00F77002" w:rsidP="00F77002">
      <w:pPr>
        <w:spacing w:line="276" w:lineRule="auto"/>
        <w:jc w:val="both"/>
        <w:rPr>
          <w:rFonts w:ascii="Arial" w:hAnsi="Arial" w:cs="Arial"/>
          <w:sz w:val="22"/>
          <w:szCs w:val="22"/>
        </w:rPr>
      </w:pPr>
      <w:r w:rsidRPr="0002422C">
        <w:rPr>
          <w:rFonts w:ascii="Arial" w:hAnsi="Arial" w:cs="Arial"/>
          <w:sz w:val="22"/>
          <w:szCs w:val="22"/>
        </w:rPr>
        <w:t>S obzirom na navedeno, ukupni financijski učinak sudskih sporova uključuje potencijalne obveze po osnovi glavnice, zakonskih zateznih kamata, parničnih troškova i sudskih pristojbi, pri čemu za dio postupaka nije moguće unaprijed pouzdano procijeniti vrijeme odlijeva sredstava.</w:t>
      </w:r>
    </w:p>
    <w:p w14:paraId="76BED624" w14:textId="77777777" w:rsidR="00E6023D" w:rsidRPr="006F3CB5" w:rsidRDefault="00E6023D" w:rsidP="00834B40">
      <w:pPr>
        <w:spacing w:line="276" w:lineRule="auto"/>
        <w:jc w:val="both"/>
        <w:rPr>
          <w:rFonts w:ascii="Arial" w:hAnsi="Arial" w:cs="Arial"/>
          <w:color w:val="EE0000"/>
          <w:sz w:val="22"/>
          <w:szCs w:val="22"/>
        </w:rPr>
      </w:pPr>
    </w:p>
    <w:p w14:paraId="39A7F8FF" w14:textId="77777777" w:rsidR="00E6023D" w:rsidRPr="0002422C" w:rsidRDefault="00E6023D" w:rsidP="00E6023D">
      <w:pPr>
        <w:jc w:val="both"/>
        <w:rPr>
          <w:rFonts w:ascii="Calibri" w:hAnsi="Calibri" w:cs="Calibri"/>
          <w:b/>
          <w:bCs/>
          <w:sz w:val="22"/>
          <w:szCs w:val="22"/>
        </w:rPr>
      </w:pPr>
      <w:r w:rsidRPr="0002422C">
        <w:rPr>
          <w:rFonts w:ascii="Calibri" w:hAnsi="Calibri" w:cs="Calibri"/>
          <w:b/>
          <w:bCs/>
          <w:sz w:val="22"/>
          <w:szCs w:val="22"/>
        </w:rPr>
        <w:t>Izvještaj o danim jamstvima</w:t>
      </w:r>
    </w:p>
    <w:tbl>
      <w:tblPr>
        <w:tblW w:w="9351" w:type="dxa"/>
        <w:jc w:val="center"/>
        <w:tblLook w:val="04A0" w:firstRow="1" w:lastRow="0" w:firstColumn="1" w:lastColumn="0" w:noHBand="0" w:noVBand="1"/>
      </w:tblPr>
      <w:tblGrid>
        <w:gridCol w:w="553"/>
        <w:gridCol w:w="1179"/>
        <w:gridCol w:w="1173"/>
        <w:gridCol w:w="1520"/>
        <w:gridCol w:w="1240"/>
        <w:gridCol w:w="1560"/>
        <w:gridCol w:w="1275"/>
        <w:gridCol w:w="851"/>
      </w:tblGrid>
      <w:tr w:rsidR="0002422C" w:rsidRPr="0002422C" w14:paraId="27761C95" w14:textId="77777777" w:rsidTr="00AD78FF">
        <w:trPr>
          <w:trHeight w:val="840"/>
          <w:jc w:val="center"/>
        </w:trPr>
        <w:tc>
          <w:tcPr>
            <w:tcW w:w="553"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2C591EC0" w14:textId="77777777" w:rsidR="00E6023D" w:rsidRPr="0002422C" w:rsidRDefault="00E6023D">
            <w:pPr>
              <w:jc w:val="center"/>
              <w:rPr>
                <w:rFonts w:ascii="Calibri" w:hAnsi="Calibri" w:cs="Calibri"/>
                <w:b/>
                <w:bCs/>
                <w:sz w:val="18"/>
                <w:szCs w:val="18"/>
              </w:rPr>
            </w:pPr>
            <w:r w:rsidRPr="0002422C">
              <w:rPr>
                <w:rFonts w:ascii="Calibri" w:hAnsi="Calibri" w:cs="Calibri"/>
                <w:b/>
                <w:bCs/>
                <w:sz w:val="18"/>
                <w:szCs w:val="18"/>
              </w:rPr>
              <w:t>Red.</w:t>
            </w:r>
            <w:r w:rsidRPr="0002422C">
              <w:rPr>
                <w:rFonts w:ascii="Calibri" w:hAnsi="Calibri" w:cs="Calibri"/>
                <w:b/>
                <w:bCs/>
                <w:sz w:val="18"/>
                <w:szCs w:val="18"/>
              </w:rPr>
              <w:br/>
              <w:t>br.</w:t>
            </w:r>
          </w:p>
        </w:tc>
        <w:tc>
          <w:tcPr>
            <w:tcW w:w="1179" w:type="dxa"/>
            <w:tcBorders>
              <w:top w:val="single" w:sz="4" w:space="0" w:color="auto"/>
              <w:left w:val="nil"/>
              <w:bottom w:val="single" w:sz="4" w:space="0" w:color="auto"/>
              <w:right w:val="single" w:sz="4" w:space="0" w:color="auto"/>
            </w:tcBorders>
            <w:shd w:val="clear" w:color="000000" w:fill="DDEBF7"/>
            <w:vAlign w:val="center"/>
            <w:hideMark/>
          </w:tcPr>
          <w:p w14:paraId="71FD78EC" w14:textId="77777777" w:rsidR="00E6023D" w:rsidRPr="0002422C" w:rsidRDefault="00E6023D">
            <w:pPr>
              <w:jc w:val="center"/>
              <w:rPr>
                <w:rFonts w:ascii="Calibri" w:hAnsi="Calibri" w:cs="Calibri"/>
                <w:b/>
                <w:bCs/>
                <w:sz w:val="20"/>
                <w:szCs w:val="20"/>
              </w:rPr>
            </w:pPr>
            <w:r w:rsidRPr="0002422C">
              <w:rPr>
                <w:rFonts w:ascii="Calibri" w:hAnsi="Calibri" w:cs="Calibri"/>
                <w:b/>
                <w:bCs/>
                <w:sz w:val="20"/>
                <w:szCs w:val="20"/>
              </w:rPr>
              <w:t>Datum izdavanja jamstva</w:t>
            </w:r>
          </w:p>
        </w:tc>
        <w:tc>
          <w:tcPr>
            <w:tcW w:w="1173" w:type="dxa"/>
            <w:tcBorders>
              <w:top w:val="single" w:sz="4" w:space="0" w:color="auto"/>
              <w:left w:val="nil"/>
              <w:bottom w:val="single" w:sz="4" w:space="0" w:color="auto"/>
              <w:right w:val="single" w:sz="4" w:space="0" w:color="auto"/>
            </w:tcBorders>
            <w:shd w:val="clear" w:color="000000" w:fill="DDEBF7"/>
            <w:vAlign w:val="center"/>
            <w:hideMark/>
          </w:tcPr>
          <w:p w14:paraId="2414F963" w14:textId="77777777" w:rsidR="00E6023D" w:rsidRPr="0002422C" w:rsidRDefault="00E6023D">
            <w:pPr>
              <w:jc w:val="center"/>
              <w:rPr>
                <w:rFonts w:ascii="Calibri" w:hAnsi="Calibri" w:cs="Calibri"/>
                <w:b/>
                <w:bCs/>
                <w:sz w:val="20"/>
                <w:szCs w:val="20"/>
              </w:rPr>
            </w:pPr>
            <w:r w:rsidRPr="0002422C">
              <w:rPr>
                <w:rFonts w:ascii="Calibri" w:hAnsi="Calibri" w:cs="Calibri"/>
                <w:b/>
                <w:bCs/>
                <w:sz w:val="20"/>
                <w:szCs w:val="20"/>
              </w:rPr>
              <w:t>Instrument osiguranja</w:t>
            </w:r>
          </w:p>
        </w:tc>
        <w:tc>
          <w:tcPr>
            <w:tcW w:w="1520" w:type="dxa"/>
            <w:tcBorders>
              <w:top w:val="single" w:sz="4" w:space="0" w:color="auto"/>
              <w:left w:val="nil"/>
              <w:bottom w:val="single" w:sz="4" w:space="0" w:color="auto"/>
              <w:right w:val="single" w:sz="4" w:space="0" w:color="auto"/>
            </w:tcBorders>
            <w:shd w:val="clear" w:color="000000" w:fill="DDEBF7"/>
            <w:vAlign w:val="center"/>
            <w:hideMark/>
          </w:tcPr>
          <w:p w14:paraId="53B003FC" w14:textId="77777777" w:rsidR="00E6023D" w:rsidRPr="0002422C" w:rsidRDefault="00E6023D">
            <w:pPr>
              <w:jc w:val="center"/>
              <w:rPr>
                <w:rFonts w:ascii="Calibri" w:hAnsi="Calibri" w:cs="Calibri"/>
                <w:b/>
                <w:bCs/>
                <w:sz w:val="20"/>
                <w:szCs w:val="20"/>
              </w:rPr>
            </w:pPr>
            <w:r w:rsidRPr="0002422C">
              <w:rPr>
                <w:rFonts w:ascii="Calibri" w:hAnsi="Calibri" w:cs="Calibri"/>
                <w:b/>
                <w:bCs/>
                <w:sz w:val="20"/>
                <w:szCs w:val="20"/>
              </w:rPr>
              <w:t>Iznos danog jamstva</w:t>
            </w:r>
          </w:p>
        </w:tc>
        <w:tc>
          <w:tcPr>
            <w:tcW w:w="1240" w:type="dxa"/>
            <w:tcBorders>
              <w:top w:val="single" w:sz="4" w:space="0" w:color="auto"/>
              <w:left w:val="nil"/>
              <w:bottom w:val="single" w:sz="4" w:space="0" w:color="auto"/>
              <w:right w:val="single" w:sz="4" w:space="0" w:color="auto"/>
            </w:tcBorders>
            <w:shd w:val="clear" w:color="000000" w:fill="DDEBF7"/>
            <w:vAlign w:val="center"/>
            <w:hideMark/>
          </w:tcPr>
          <w:p w14:paraId="2295BD28" w14:textId="77777777" w:rsidR="00E6023D" w:rsidRPr="0002422C" w:rsidRDefault="00E6023D">
            <w:pPr>
              <w:jc w:val="center"/>
              <w:rPr>
                <w:rFonts w:ascii="Calibri" w:hAnsi="Calibri" w:cs="Calibri"/>
                <w:b/>
                <w:bCs/>
                <w:sz w:val="20"/>
                <w:szCs w:val="20"/>
              </w:rPr>
            </w:pPr>
            <w:r w:rsidRPr="0002422C">
              <w:rPr>
                <w:rFonts w:ascii="Calibri" w:hAnsi="Calibri" w:cs="Calibri"/>
                <w:b/>
                <w:bCs/>
                <w:sz w:val="20"/>
                <w:szCs w:val="20"/>
              </w:rPr>
              <w:t xml:space="preserve">  Primatelj jamstva</w:t>
            </w:r>
          </w:p>
        </w:tc>
        <w:tc>
          <w:tcPr>
            <w:tcW w:w="1560" w:type="dxa"/>
            <w:tcBorders>
              <w:top w:val="single" w:sz="4" w:space="0" w:color="auto"/>
              <w:left w:val="nil"/>
              <w:bottom w:val="single" w:sz="4" w:space="0" w:color="auto"/>
              <w:right w:val="single" w:sz="4" w:space="0" w:color="auto"/>
            </w:tcBorders>
            <w:shd w:val="clear" w:color="000000" w:fill="DDEBF7"/>
            <w:vAlign w:val="center"/>
            <w:hideMark/>
          </w:tcPr>
          <w:p w14:paraId="65865C81" w14:textId="77777777" w:rsidR="00E6023D" w:rsidRPr="0002422C" w:rsidRDefault="00E6023D">
            <w:pPr>
              <w:jc w:val="center"/>
              <w:rPr>
                <w:rFonts w:ascii="Calibri" w:hAnsi="Calibri" w:cs="Calibri"/>
                <w:b/>
                <w:bCs/>
                <w:sz w:val="20"/>
                <w:szCs w:val="20"/>
              </w:rPr>
            </w:pPr>
            <w:r w:rsidRPr="0002422C">
              <w:rPr>
                <w:rFonts w:ascii="Calibri" w:hAnsi="Calibri" w:cs="Calibri"/>
                <w:b/>
                <w:bCs/>
                <w:sz w:val="20"/>
                <w:szCs w:val="20"/>
              </w:rPr>
              <w:t>Namjena</w:t>
            </w:r>
          </w:p>
        </w:tc>
        <w:tc>
          <w:tcPr>
            <w:tcW w:w="1275" w:type="dxa"/>
            <w:tcBorders>
              <w:top w:val="single" w:sz="4" w:space="0" w:color="auto"/>
              <w:left w:val="nil"/>
              <w:bottom w:val="single" w:sz="4" w:space="0" w:color="auto"/>
              <w:right w:val="single" w:sz="4" w:space="0" w:color="auto"/>
            </w:tcBorders>
            <w:shd w:val="clear" w:color="000000" w:fill="DDEBF7"/>
            <w:vAlign w:val="center"/>
            <w:hideMark/>
          </w:tcPr>
          <w:p w14:paraId="6E97AACF" w14:textId="77777777" w:rsidR="00E6023D" w:rsidRPr="0002422C" w:rsidRDefault="00E6023D">
            <w:pPr>
              <w:jc w:val="center"/>
              <w:rPr>
                <w:rFonts w:ascii="Calibri" w:hAnsi="Calibri" w:cs="Calibri"/>
                <w:b/>
                <w:bCs/>
                <w:sz w:val="20"/>
                <w:szCs w:val="20"/>
              </w:rPr>
            </w:pPr>
            <w:r w:rsidRPr="0002422C">
              <w:rPr>
                <w:rFonts w:ascii="Calibri" w:hAnsi="Calibri" w:cs="Calibri"/>
                <w:b/>
                <w:bCs/>
                <w:sz w:val="20"/>
                <w:szCs w:val="20"/>
              </w:rPr>
              <w:t>Dokument</w:t>
            </w:r>
          </w:p>
        </w:tc>
        <w:tc>
          <w:tcPr>
            <w:tcW w:w="851" w:type="dxa"/>
            <w:tcBorders>
              <w:top w:val="single" w:sz="4" w:space="0" w:color="auto"/>
              <w:left w:val="nil"/>
              <w:bottom w:val="single" w:sz="4" w:space="0" w:color="auto"/>
              <w:right w:val="single" w:sz="4" w:space="0" w:color="auto"/>
            </w:tcBorders>
            <w:shd w:val="clear" w:color="000000" w:fill="DDEBF7"/>
            <w:vAlign w:val="center"/>
            <w:hideMark/>
          </w:tcPr>
          <w:p w14:paraId="4B80C142" w14:textId="77777777" w:rsidR="00E6023D" w:rsidRPr="0002422C" w:rsidRDefault="00E6023D">
            <w:pPr>
              <w:jc w:val="center"/>
              <w:rPr>
                <w:rFonts w:ascii="Calibri" w:hAnsi="Calibri" w:cs="Calibri"/>
                <w:b/>
                <w:bCs/>
                <w:sz w:val="20"/>
                <w:szCs w:val="20"/>
              </w:rPr>
            </w:pPr>
            <w:r w:rsidRPr="0002422C">
              <w:rPr>
                <w:rFonts w:ascii="Calibri" w:hAnsi="Calibri" w:cs="Calibri"/>
                <w:b/>
                <w:bCs/>
                <w:sz w:val="20"/>
                <w:szCs w:val="20"/>
              </w:rPr>
              <w:t>Rok važenja</w:t>
            </w:r>
          </w:p>
        </w:tc>
      </w:tr>
      <w:tr w:rsidR="0002422C" w:rsidRPr="0002422C" w14:paraId="5EA99945" w14:textId="77777777" w:rsidTr="00AD78FF">
        <w:trPr>
          <w:trHeight w:val="600"/>
          <w:jc w:val="center"/>
        </w:trPr>
        <w:tc>
          <w:tcPr>
            <w:tcW w:w="553" w:type="dxa"/>
            <w:tcBorders>
              <w:top w:val="nil"/>
              <w:left w:val="single" w:sz="4" w:space="0" w:color="auto"/>
              <w:bottom w:val="single" w:sz="4" w:space="0" w:color="auto"/>
              <w:right w:val="single" w:sz="4" w:space="0" w:color="auto"/>
            </w:tcBorders>
            <w:noWrap/>
            <w:vAlign w:val="center"/>
            <w:hideMark/>
          </w:tcPr>
          <w:p w14:paraId="793351DF" w14:textId="77777777" w:rsidR="00E6023D" w:rsidRPr="0002422C" w:rsidRDefault="00E6023D">
            <w:pPr>
              <w:jc w:val="center"/>
              <w:rPr>
                <w:rFonts w:ascii="Calibri" w:hAnsi="Calibri" w:cs="Calibri"/>
                <w:sz w:val="20"/>
                <w:szCs w:val="20"/>
              </w:rPr>
            </w:pPr>
            <w:r w:rsidRPr="0002422C">
              <w:rPr>
                <w:rFonts w:ascii="Calibri" w:hAnsi="Calibri" w:cs="Calibri"/>
                <w:sz w:val="20"/>
                <w:szCs w:val="20"/>
              </w:rPr>
              <w:t>1.</w:t>
            </w:r>
          </w:p>
        </w:tc>
        <w:tc>
          <w:tcPr>
            <w:tcW w:w="1179" w:type="dxa"/>
            <w:tcBorders>
              <w:top w:val="nil"/>
              <w:left w:val="nil"/>
              <w:bottom w:val="single" w:sz="4" w:space="0" w:color="auto"/>
              <w:right w:val="single" w:sz="4" w:space="0" w:color="auto"/>
            </w:tcBorders>
            <w:noWrap/>
            <w:vAlign w:val="center"/>
            <w:hideMark/>
          </w:tcPr>
          <w:p w14:paraId="40D8DEBC" w14:textId="77777777" w:rsidR="00E6023D" w:rsidRPr="0002422C" w:rsidRDefault="00E6023D">
            <w:pPr>
              <w:jc w:val="center"/>
              <w:rPr>
                <w:rFonts w:ascii="Calibri" w:hAnsi="Calibri" w:cs="Calibri"/>
                <w:sz w:val="20"/>
                <w:szCs w:val="20"/>
              </w:rPr>
            </w:pPr>
            <w:r w:rsidRPr="0002422C">
              <w:rPr>
                <w:rFonts w:ascii="Calibri" w:hAnsi="Calibri" w:cs="Calibri"/>
                <w:sz w:val="20"/>
                <w:szCs w:val="20"/>
              </w:rPr>
              <w:t>23.01.2018.</w:t>
            </w:r>
          </w:p>
        </w:tc>
        <w:tc>
          <w:tcPr>
            <w:tcW w:w="1173" w:type="dxa"/>
            <w:tcBorders>
              <w:top w:val="nil"/>
              <w:left w:val="nil"/>
              <w:bottom w:val="single" w:sz="4" w:space="0" w:color="auto"/>
              <w:right w:val="single" w:sz="4" w:space="0" w:color="auto"/>
            </w:tcBorders>
            <w:noWrap/>
            <w:vAlign w:val="center"/>
            <w:hideMark/>
          </w:tcPr>
          <w:p w14:paraId="5AE59C8D" w14:textId="77777777" w:rsidR="00E6023D" w:rsidRPr="0002422C" w:rsidRDefault="00E6023D">
            <w:pPr>
              <w:jc w:val="center"/>
              <w:rPr>
                <w:rFonts w:ascii="Calibri" w:hAnsi="Calibri" w:cs="Calibri"/>
                <w:sz w:val="20"/>
                <w:szCs w:val="20"/>
              </w:rPr>
            </w:pPr>
            <w:r w:rsidRPr="0002422C">
              <w:rPr>
                <w:rFonts w:ascii="Calibri" w:hAnsi="Calibri" w:cs="Calibri"/>
                <w:sz w:val="20"/>
                <w:szCs w:val="20"/>
              </w:rPr>
              <w:t>ZADUŽNICA</w:t>
            </w:r>
          </w:p>
        </w:tc>
        <w:tc>
          <w:tcPr>
            <w:tcW w:w="1520" w:type="dxa"/>
            <w:tcBorders>
              <w:top w:val="nil"/>
              <w:left w:val="nil"/>
              <w:bottom w:val="single" w:sz="4" w:space="0" w:color="auto"/>
              <w:right w:val="single" w:sz="4" w:space="0" w:color="auto"/>
            </w:tcBorders>
            <w:noWrap/>
            <w:vAlign w:val="center"/>
            <w:hideMark/>
          </w:tcPr>
          <w:p w14:paraId="35B3A74A" w14:textId="77777777" w:rsidR="00E6023D" w:rsidRPr="0002422C" w:rsidRDefault="00E6023D">
            <w:pPr>
              <w:jc w:val="center"/>
              <w:rPr>
                <w:rFonts w:ascii="Calibri" w:hAnsi="Calibri" w:cs="Calibri"/>
                <w:sz w:val="20"/>
                <w:szCs w:val="20"/>
              </w:rPr>
            </w:pPr>
            <w:r w:rsidRPr="0002422C">
              <w:rPr>
                <w:rFonts w:ascii="Calibri" w:hAnsi="Calibri" w:cs="Calibri"/>
                <w:sz w:val="20"/>
                <w:szCs w:val="20"/>
              </w:rPr>
              <w:t>464.529,83</w:t>
            </w:r>
          </w:p>
        </w:tc>
        <w:tc>
          <w:tcPr>
            <w:tcW w:w="1240" w:type="dxa"/>
            <w:tcBorders>
              <w:top w:val="nil"/>
              <w:left w:val="nil"/>
              <w:bottom w:val="single" w:sz="4" w:space="0" w:color="auto"/>
              <w:right w:val="single" w:sz="4" w:space="0" w:color="auto"/>
            </w:tcBorders>
            <w:vAlign w:val="center"/>
            <w:hideMark/>
          </w:tcPr>
          <w:p w14:paraId="48258219" w14:textId="77777777" w:rsidR="00E6023D" w:rsidRPr="0002422C" w:rsidRDefault="00E6023D">
            <w:pPr>
              <w:jc w:val="center"/>
              <w:rPr>
                <w:rFonts w:ascii="Calibri" w:hAnsi="Calibri" w:cs="Calibri"/>
                <w:sz w:val="20"/>
                <w:szCs w:val="20"/>
              </w:rPr>
            </w:pPr>
            <w:r w:rsidRPr="0002422C">
              <w:rPr>
                <w:rFonts w:ascii="Calibri" w:hAnsi="Calibri" w:cs="Calibri"/>
                <w:sz w:val="20"/>
                <w:szCs w:val="20"/>
              </w:rPr>
              <w:t>Istarska kreditna banka d.d.</w:t>
            </w:r>
          </w:p>
        </w:tc>
        <w:tc>
          <w:tcPr>
            <w:tcW w:w="1560" w:type="dxa"/>
            <w:tcBorders>
              <w:top w:val="nil"/>
              <w:left w:val="nil"/>
              <w:bottom w:val="single" w:sz="4" w:space="0" w:color="auto"/>
              <w:right w:val="single" w:sz="4" w:space="0" w:color="auto"/>
            </w:tcBorders>
            <w:vAlign w:val="center"/>
            <w:hideMark/>
          </w:tcPr>
          <w:p w14:paraId="61FCC61B" w14:textId="77777777" w:rsidR="00E6023D" w:rsidRPr="0002422C" w:rsidRDefault="00E6023D">
            <w:pPr>
              <w:jc w:val="center"/>
              <w:rPr>
                <w:rFonts w:ascii="Calibri" w:hAnsi="Calibri" w:cs="Calibri"/>
                <w:sz w:val="18"/>
                <w:szCs w:val="18"/>
              </w:rPr>
            </w:pPr>
            <w:r w:rsidRPr="0002422C">
              <w:rPr>
                <w:rFonts w:ascii="Calibri" w:hAnsi="Calibri" w:cs="Calibri"/>
                <w:sz w:val="18"/>
                <w:szCs w:val="18"/>
              </w:rPr>
              <w:t xml:space="preserve">dugoročni kredit </w:t>
            </w:r>
            <w:proofErr w:type="spellStart"/>
            <w:r w:rsidRPr="0002422C">
              <w:rPr>
                <w:rFonts w:ascii="Calibri" w:hAnsi="Calibri" w:cs="Calibri"/>
                <w:sz w:val="18"/>
                <w:szCs w:val="18"/>
              </w:rPr>
              <w:t>amb</w:t>
            </w:r>
            <w:proofErr w:type="spellEnd"/>
            <w:r w:rsidRPr="0002422C">
              <w:rPr>
                <w:rFonts w:ascii="Calibri" w:hAnsi="Calibri" w:cs="Calibri"/>
                <w:sz w:val="18"/>
                <w:szCs w:val="18"/>
              </w:rPr>
              <w:t>. Vodnjan</w:t>
            </w:r>
          </w:p>
        </w:tc>
        <w:tc>
          <w:tcPr>
            <w:tcW w:w="1275" w:type="dxa"/>
            <w:tcBorders>
              <w:top w:val="nil"/>
              <w:left w:val="nil"/>
              <w:bottom w:val="single" w:sz="4" w:space="0" w:color="auto"/>
              <w:right w:val="single" w:sz="4" w:space="0" w:color="auto"/>
            </w:tcBorders>
            <w:vAlign w:val="center"/>
            <w:hideMark/>
          </w:tcPr>
          <w:p w14:paraId="3948EF86" w14:textId="77777777" w:rsidR="00E6023D" w:rsidRPr="0002422C" w:rsidRDefault="00E6023D">
            <w:pPr>
              <w:jc w:val="center"/>
              <w:rPr>
                <w:rFonts w:ascii="Calibri" w:hAnsi="Calibri" w:cs="Calibri"/>
                <w:sz w:val="20"/>
                <w:szCs w:val="20"/>
              </w:rPr>
            </w:pPr>
            <w:r w:rsidRPr="0002422C">
              <w:rPr>
                <w:rFonts w:ascii="Calibri" w:hAnsi="Calibri" w:cs="Calibri"/>
                <w:sz w:val="20"/>
                <w:szCs w:val="20"/>
              </w:rPr>
              <w:t>ugovor od 04.01.2018.</w:t>
            </w:r>
          </w:p>
        </w:tc>
        <w:tc>
          <w:tcPr>
            <w:tcW w:w="851" w:type="dxa"/>
            <w:tcBorders>
              <w:top w:val="nil"/>
              <w:left w:val="nil"/>
              <w:bottom w:val="single" w:sz="4" w:space="0" w:color="auto"/>
              <w:right w:val="single" w:sz="4" w:space="0" w:color="auto"/>
            </w:tcBorders>
            <w:noWrap/>
            <w:vAlign w:val="center"/>
            <w:hideMark/>
          </w:tcPr>
          <w:p w14:paraId="3E19A8DE" w14:textId="77777777" w:rsidR="00E6023D" w:rsidRPr="0002422C" w:rsidRDefault="00E6023D">
            <w:pPr>
              <w:jc w:val="center"/>
              <w:rPr>
                <w:rFonts w:ascii="Calibri" w:hAnsi="Calibri" w:cs="Calibri"/>
                <w:sz w:val="20"/>
                <w:szCs w:val="20"/>
              </w:rPr>
            </w:pPr>
            <w:r w:rsidRPr="0002422C">
              <w:rPr>
                <w:rFonts w:ascii="Calibri" w:hAnsi="Calibri" w:cs="Calibri"/>
                <w:sz w:val="20"/>
                <w:szCs w:val="20"/>
              </w:rPr>
              <w:t>7 godina</w:t>
            </w:r>
          </w:p>
        </w:tc>
      </w:tr>
      <w:tr w:rsidR="0002422C" w:rsidRPr="0002422C" w14:paraId="79FC4B4F" w14:textId="77777777" w:rsidTr="00AD78FF">
        <w:trPr>
          <w:trHeight w:val="950"/>
          <w:jc w:val="center"/>
        </w:trPr>
        <w:tc>
          <w:tcPr>
            <w:tcW w:w="553" w:type="dxa"/>
            <w:tcBorders>
              <w:top w:val="single" w:sz="4" w:space="0" w:color="auto"/>
              <w:left w:val="single" w:sz="4" w:space="0" w:color="auto"/>
              <w:bottom w:val="single" w:sz="4" w:space="0" w:color="auto"/>
              <w:right w:val="single" w:sz="4" w:space="0" w:color="auto"/>
            </w:tcBorders>
            <w:noWrap/>
            <w:vAlign w:val="center"/>
            <w:hideMark/>
          </w:tcPr>
          <w:p w14:paraId="2B69D87D" w14:textId="77777777" w:rsidR="00E6023D" w:rsidRPr="0002422C" w:rsidRDefault="00E6023D">
            <w:pPr>
              <w:jc w:val="center"/>
              <w:rPr>
                <w:rFonts w:ascii="Calibri" w:hAnsi="Calibri" w:cs="Calibri"/>
                <w:sz w:val="20"/>
                <w:szCs w:val="20"/>
              </w:rPr>
            </w:pPr>
            <w:r w:rsidRPr="0002422C">
              <w:rPr>
                <w:rFonts w:ascii="Calibri" w:hAnsi="Calibri" w:cs="Calibri"/>
                <w:sz w:val="20"/>
                <w:szCs w:val="20"/>
              </w:rPr>
              <w:t>2.</w:t>
            </w:r>
          </w:p>
        </w:tc>
        <w:tc>
          <w:tcPr>
            <w:tcW w:w="1179" w:type="dxa"/>
            <w:tcBorders>
              <w:top w:val="nil"/>
              <w:left w:val="nil"/>
              <w:bottom w:val="single" w:sz="4" w:space="0" w:color="auto"/>
              <w:right w:val="single" w:sz="4" w:space="0" w:color="auto"/>
            </w:tcBorders>
            <w:noWrap/>
            <w:vAlign w:val="center"/>
            <w:hideMark/>
          </w:tcPr>
          <w:p w14:paraId="16A306E2" w14:textId="77777777" w:rsidR="00E6023D" w:rsidRPr="0002422C" w:rsidRDefault="00E6023D">
            <w:pPr>
              <w:jc w:val="center"/>
              <w:rPr>
                <w:rFonts w:ascii="Calibri" w:hAnsi="Calibri" w:cs="Calibri"/>
                <w:sz w:val="20"/>
                <w:szCs w:val="20"/>
              </w:rPr>
            </w:pPr>
            <w:r w:rsidRPr="0002422C">
              <w:rPr>
                <w:rFonts w:ascii="Calibri" w:hAnsi="Calibri" w:cs="Calibri"/>
                <w:sz w:val="20"/>
                <w:szCs w:val="20"/>
              </w:rPr>
              <w:t>11.06.2019.</w:t>
            </w:r>
          </w:p>
        </w:tc>
        <w:tc>
          <w:tcPr>
            <w:tcW w:w="1173" w:type="dxa"/>
            <w:tcBorders>
              <w:top w:val="nil"/>
              <w:left w:val="nil"/>
              <w:bottom w:val="single" w:sz="4" w:space="0" w:color="auto"/>
              <w:right w:val="single" w:sz="4" w:space="0" w:color="auto"/>
            </w:tcBorders>
            <w:noWrap/>
            <w:vAlign w:val="center"/>
            <w:hideMark/>
          </w:tcPr>
          <w:p w14:paraId="074BCCEB" w14:textId="77777777" w:rsidR="00E6023D" w:rsidRPr="0002422C" w:rsidRDefault="00E6023D">
            <w:pPr>
              <w:jc w:val="center"/>
              <w:rPr>
                <w:rFonts w:ascii="Calibri" w:hAnsi="Calibri" w:cs="Calibri"/>
                <w:sz w:val="20"/>
                <w:szCs w:val="20"/>
              </w:rPr>
            </w:pPr>
            <w:r w:rsidRPr="0002422C">
              <w:rPr>
                <w:rFonts w:ascii="Calibri" w:hAnsi="Calibri" w:cs="Calibri"/>
                <w:sz w:val="20"/>
                <w:szCs w:val="20"/>
              </w:rPr>
              <w:t>ZADUŽNICA</w:t>
            </w:r>
          </w:p>
        </w:tc>
        <w:tc>
          <w:tcPr>
            <w:tcW w:w="1520" w:type="dxa"/>
            <w:tcBorders>
              <w:top w:val="nil"/>
              <w:left w:val="nil"/>
              <w:bottom w:val="single" w:sz="4" w:space="0" w:color="auto"/>
              <w:right w:val="single" w:sz="4" w:space="0" w:color="auto"/>
            </w:tcBorders>
            <w:noWrap/>
            <w:vAlign w:val="center"/>
            <w:hideMark/>
          </w:tcPr>
          <w:p w14:paraId="02010B6C" w14:textId="77777777" w:rsidR="00E6023D" w:rsidRPr="0002422C" w:rsidRDefault="00E6023D">
            <w:pPr>
              <w:jc w:val="center"/>
              <w:rPr>
                <w:rFonts w:ascii="Calibri" w:hAnsi="Calibri" w:cs="Calibri"/>
                <w:sz w:val="20"/>
                <w:szCs w:val="20"/>
              </w:rPr>
            </w:pPr>
            <w:r w:rsidRPr="0002422C">
              <w:rPr>
                <w:rFonts w:ascii="Calibri" w:hAnsi="Calibri" w:cs="Calibri"/>
                <w:sz w:val="20"/>
                <w:szCs w:val="20"/>
              </w:rPr>
              <w:t>862.698,25</w:t>
            </w:r>
          </w:p>
        </w:tc>
        <w:tc>
          <w:tcPr>
            <w:tcW w:w="1240" w:type="dxa"/>
            <w:tcBorders>
              <w:top w:val="nil"/>
              <w:left w:val="nil"/>
              <w:bottom w:val="single" w:sz="4" w:space="0" w:color="auto"/>
              <w:right w:val="single" w:sz="4" w:space="0" w:color="auto"/>
            </w:tcBorders>
            <w:vAlign w:val="center"/>
            <w:hideMark/>
          </w:tcPr>
          <w:p w14:paraId="7D1FDC9D" w14:textId="77777777" w:rsidR="00E6023D" w:rsidRPr="0002422C" w:rsidRDefault="00E6023D">
            <w:pPr>
              <w:jc w:val="center"/>
              <w:rPr>
                <w:rFonts w:ascii="Calibri" w:hAnsi="Calibri" w:cs="Calibri"/>
                <w:sz w:val="20"/>
                <w:szCs w:val="20"/>
              </w:rPr>
            </w:pPr>
            <w:r w:rsidRPr="0002422C">
              <w:rPr>
                <w:rFonts w:ascii="Calibri" w:hAnsi="Calibri" w:cs="Calibri"/>
                <w:sz w:val="20"/>
                <w:szCs w:val="20"/>
              </w:rPr>
              <w:t>Istarska kreditna banka d.d.</w:t>
            </w:r>
          </w:p>
        </w:tc>
        <w:tc>
          <w:tcPr>
            <w:tcW w:w="1560" w:type="dxa"/>
            <w:tcBorders>
              <w:top w:val="nil"/>
              <w:left w:val="nil"/>
              <w:bottom w:val="single" w:sz="4" w:space="0" w:color="auto"/>
              <w:right w:val="single" w:sz="4" w:space="0" w:color="auto"/>
            </w:tcBorders>
            <w:vAlign w:val="center"/>
            <w:hideMark/>
          </w:tcPr>
          <w:p w14:paraId="4A5F5D96" w14:textId="77777777" w:rsidR="00E6023D" w:rsidRPr="0002422C" w:rsidRDefault="00E6023D">
            <w:pPr>
              <w:jc w:val="center"/>
              <w:rPr>
                <w:rFonts w:ascii="Calibri" w:hAnsi="Calibri" w:cs="Calibri"/>
                <w:sz w:val="18"/>
                <w:szCs w:val="18"/>
              </w:rPr>
            </w:pPr>
            <w:r w:rsidRPr="0002422C">
              <w:rPr>
                <w:rFonts w:ascii="Calibri" w:hAnsi="Calibri" w:cs="Calibri"/>
                <w:sz w:val="18"/>
                <w:szCs w:val="18"/>
              </w:rPr>
              <w:t>dugoročni kredit digitalizacija radiološke dijagnostike</w:t>
            </w:r>
          </w:p>
        </w:tc>
        <w:tc>
          <w:tcPr>
            <w:tcW w:w="1275" w:type="dxa"/>
            <w:tcBorders>
              <w:top w:val="nil"/>
              <w:left w:val="nil"/>
              <w:bottom w:val="single" w:sz="4" w:space="0" w:color="auto"/>
              <w:right w:val="single" w:sz="4" w:space="0" w:color="auto"/>
            </w:tcBorders>
            <w:vAlign w:val="center"/>
            <w:hideMark/>
          </w:tcPr>
          <w:p w14:paraId="47961949" w14:textId="77777777" w:rsidR="00E6023D" w:rsidRPr="0002422C" w:rsidRDefault="00E6023D">
            <w:pPr>
              <w:jc w:val="center"/>
              <w:rPr>
                <w:rFonts w:ascii="Calibri" w:hAnsi="Calibri" w:cs="Calibri"/>
                <w:sz w:val="20"/>
                <w:szCs w:val="20"/>
              </w:rPr>
            </w:pPr>
            <w:r w:rsidRPr="0002422C">
              <w:rPr>
                <w:rFonts w:ascii="Calibri" w:hAnsi="Calibri" w:cs="Calibri"/>
                <w:sz w:val="20"/>
                <w:szCs w:val="20"/>
              </w:rPr>
              <w:t>ugovor od 26.04.2019.</w:t>
            </w:r>
          </w:p>
        </w:tc>
        <w:tc>
          <w:tcPr>
            <w:tcW w:w="851" w:type="dxa"/>
            <w:tcBorders>
              <w:top w:val="nil"/>
              <w:left w:val="nil"/>
              <w:bottom w:val="single" w:sz="4" w:space="0" w:color="auto"/>
              <w:right w:val="single" w:sz="4" w:space="0" w:color="auto"/>
            </w:tcBorders>
            <w:noWrap/>
            <w:vAlign w:val="center"/>
            <w:hideMark/>
          </w:tcPr>
          <w:p w14:paraId="6454DE88" w14:textId="77777777" w:rsidR="00E6023D" w:rsidRPr="0002422C" w:rsidRDefault="00E6023D">
            <w:pPr>
              <w:jc w:val="center"/>
              <w:rPr>
                <w:rFonts w:ascii="Calibri" w:hAnsi="Calibri" w:cs="Calibri"/>
                <w:sz w:val="20"/>
                <w:szCs w:val="20"/>
              </w:rPr>
            </w:pPr>
            <w:r w:rsidRPr="0002422C">
              <w:rPr>
                <w:rFonts w:ascii="Calibri" w:hAnsi="Calibri" w:cs="Calibri"/>
                <w:sz w:val="20"/>
                <w:szCs w:val="20"/>
              </w:rPr>
              <w:t>10 godina</w:t>
            </w:r>
          </w:p>
        </w:tc>
      </w:tr>
    </w:tbl>
    <w:p w14:paraId="10B1A809" w14:textId="77777777" w:rsidR="006076D2" w:rsidRDefault="006076D2" w:rsidP="00435032">
      <w:pPr>
        <w:jc w:val="both"/>
        <w:rPr>
          <w:rFonts w:ascii="Arial" w:hAnsi="Arial" w:cs="Arial"/>
          <w:sz w:val="22"/>
        </w:rPr>
      </w:pPr>
    </w:p>
    <w:p w14:paraId="58666C4F" w14:textId="42679A40" w:rsidR="00E6023D" w:rsidRPr="0002422C" w:rsidRDefault="00931C7F" w:rsidP="0002422C">
      <w:pPr>
        <w:spacing w:line="276" w:lineRule="auto"/>
        <w:jc w:val="both"/>
        <w:rPr>
          <w:rFonts w:ascii="Arial" w:hAnsi="Arial" w:cs="Arial"/>
          <w:sz w:val="22"/>
        </w:rPr>
      </w:pPr>
      <w:r w:rsidRPr="0002422C">
        <w:rPr>
          <w:rFonts w:ascii="Arial" w:hAnsi="Arial" w:cs="Arial"/>
          <w:sz w:val="22"/>
        </w:rPr>
        <w:t xml:space="preserve">Istarski domovi zdravlja </w:t>
      </w:r>
      <w:r w:rsidR="0002422C" w:rsidRPr="0002422C">
        <w:rPr>
          <w:rFonts w:ascii="Arial" w:hAnsi="Arial" w:cs="Arial"/>
          <w:sz w:val="22"/>
        </w:rPr>
        <w:t xml:space="preserve">su </w:t>
      </w:r>
      <w:r w:rsidRPr="0002422C">
        <w:rPr>
          <w:rFonts w:ascii="Arial" w:hAnsi="Arial" w:cs="Arial"/>
          <w:sz w:val="22"/>
        </w:rPr>
        <w:t>u 2018. i 2019. godini izda</w:t>
      </w:r>
      <w:r w:rsidR="00FE65ED" w:rsidRPr="0002422C">
        <w:rPr>
          <w:rFonts w:ascii="Arial" w:hAnsi="Arial" w:cs="Arial"/>
          <w:sz w:val="22"/>
        </w:rPr>
        <w:t>l</w:t>
      </w:r>
      <w:r w:rsidRPr="0002422C">
        <w:rPr>
          <w:rFonts w:ascii="Arial" w:hAnsi="Arial" w:cs="Arial"/>
          <w:sz w:val="22"/>
        </w:rPr>
        <w:t xml:space="preserve">a je jamstva u iznosu </w:t>
      </w:r>
      <w:r w:rsidR="00FE65ED" w:rsidRPr="0002422C">
        <w:rPr>
          <w:rFonts w:ascii="Arial" w:hAnsi="Arial" w:cs="Arial"/>
          <w:sz w:val="22"/>
        </w:rPr>
        <w:t>1.328.228,08 eura primatelju jamstva Istarsko</w:t>
      </w:r>
      <w:r w:rsidR="006F3CB5" w:rsidRPr="0002422C">
        <w:rPr>
          <w:rFonts w:ascii="Arial" w:hAnsi="Arial" w:cs="Arial"/>
          <w:sz w:val="22"/>
        </w:rPr>
        <w:t>j</w:t>
      </w:r>
      <w:r w:rsidR="00FE65ED" w:rsidRPr="0002422C">
        <w:rPr>
          <w:rFonts w:ascii="Arial" w:hAnsi="Arial" w:cs="Arial"/>
          <w:sz w:val="22"/>
        </w:rPr>
        <w:t xml:space="preserve"> kreditnoj banci d.d. po osnovi dva kredita: Izgradnja zdravstvene stanice Vodnjan (2018. godina) i </w:t>
      </w:r>
      <w:r w:rsidR="0002422C" w:rsidRPr="0002422C">
        <w:rPr>
          <w:rFonts w:ascii="Arial" w:hAnsi="Arial" w:cs="Arial"/>
          <w:sz w:val="22"/>
        </w:rPr>
        <w:t>Obnova radiološke dijagnostike s digitalizacijom</w:t>
      </w:r>
      <w:r w:rsidR="00FE65ED" w:rsidRPr="0002422C">
        <w:rPr>
          <w:rFonts w:ascii="Arial" w:hAnsi="Arial" w:cs="Arial"/>
          <w:sz w:val="22"/>
        </w:rPr>
        <w:t xml:space="preserve"> (2019.) godina.</w:t>
      </w:r>
    </w:p>
    <w:p w14:paraId="444E04F5" w14:textId="77777777" w:rsidR="00FE65ED" w:rsidRDefault="00FE65ED" w:rsidP="00435032">
      <w:pPr>
        <w:jc w:val="both"/>
        <w:rPr>
          <w:rFonts w:ascii="Arial" w:hAnsi="Arial" w:cs="Arial"/>
          <w:sz w:val="22"/>
        </w:rPr>
      </w:pPr>
    </w:p>
    <w:p w14:paraId="5EFEF11B" w14:textId="77777777" w:rsidR="00FE65ED" w:rsidRDefault="00FE65ED" w:rsidP="00435032">
      <w:pPr>
        <w:jc w:val="both"/>
        <w:rPr>
          <w:rFonts w:ascii="Arial" w:hAnsi="Arial" w:cs="Arial"/>
          <w:sz w:val="22"/>
        </w:rPr>
      </w:pPr>
    </w:p>
    <w:p w14:paraId="13221F0B" w14:textId="77777777" w:rsidR="00FE65ED" w:rsidRPr="004F3556" w:rsidRDefault="00FE65ED" w:rsidP="00435032">
      <w:pPr>
        <w:jc w:val="both"/>
        <w:rPr>
          <w:rFonts w:ascii="Arial" w:hAnsi="Arial" w:cs="Arial"/>
          <w:sz w:val="22"/>
        </w:rPr>
      </w:pPr>
    </w:p>
    <w:p w14:paraId="7C9AD62F" w14:textId="77777777" w:rsidR="00145D54" w:rsidRPr="004F3556" w:rsidRDefault="00145D54" w:rsidP="00177FCD">
      <w:pPr>
        <w:jc w:val="center"/>
        <w:rPr>
          <w:rFonts w:ascii="Arial" w:hAnsi="Arial" w:cs="Arial"/>
          <w:b/>
          <w:sz w:val="28"/>
          <w:szCs w:val="22"/>
          <w:u w:val="single"/>
        </w:rPr>
      </w:pPr>
      <w:r w:rsidRPr="004F3556">
        <w:rPr>
          <w:rFonts w:ascii="Arial" w:hAnsi="Arial" w:cs="Arial"/>
          <w:b/>
          <w:sz w:val="28"/>
          <w:szCs w:val="22"/>
          <w:u w:val="single"/>
        </w:rPr>
        <w:t>POSEBNI DIO</w:t>
      </w:r>
    </w:p>
    <w:p w14:paraId="5B17BDBC" w14:textId="77777777" w:rsidR="00145D54" w:rsidRPr="00273F34" w:rsidRDefault="00145D54" w:rsidP="00425962">
      <w:pPr>
        <w:rPr>
          <w:rFonts w:ascii="Arial" w:hAnsi="Arial" w:cs="Arial"/>
          <w:b/>
          <w:color w:val="1F497D" w:themeColor="text2"/>
          <w:sz w:val="22"/>
          <w:szCs w:val="22"/>
          <w:u w:val="single"/>
        </w:rPr>
      </w:pPr>
    </w:p>
    <w:p w14:paraId="38D6CE75" w14:textId="408D5CCD" w:rsidR="00AA7122" w:rsidRPr="0002422C" w:rsidRDefault="00897502" w:rsidP="00897502">
      <w:pPr>
        <w:jc w:val="both"/>
        <w:rPr>
          <w:rFonts w:ascii="Arial" w:hAnsi="Arial" w:cs="Arial"/>
          <w:sz w:val="22"/>
          <w:szCs w:val="22"/>
        </w:rPr>
      </w:pPr>
      <w:r w:rsidRPr="0002422C">
        <w:rPr>
          <w:rFonts w:ascii="Arial" w:hAnsi="Arial" w:cs="Arial"/>
          <w:sz w:val="22"/>
          <w:szCs w:val="22"/>
        </w:rPr>
        <w:t xml:space="preserve">Posebni dio </w:t>
      </w:r>
      <w:r w:rsidR="00145D54" w:rsidRPr="0002422C">
        <w:rPr>
          <w:rFonts w:ascii="Arial" w:hAnsi="Arial" w:cs="Arial"/>
          <w:sz w:val="22"/>
          <w:szCs w:val="22"/>
        </w:rPr>
        <w:t xml:space="preserve">Financijskog plana </w:t>
      </w:r>
      <w:r w:rsidR="005C7356" w:rsidRPr="0002422C">
        <w:rPr>
          <w:rFonts w:ascii="Arial" w:hAnsi="Arial" w:cs="Arial"/>
          <w:sz w:val="22"/>
          <w:szCs w:val="22"/>
        </w:rPr>
        <w:t xml:space="preserve">sastoji se </w:t>
      </w:r>
      <w:r w:rsidR="00AA7122" w:rsidRPr="0002422C">
        <w:rPr>
          <w:rFonts w:ascii="Arial" w:hAnsi="Arial" w:cs="Arial"/>
          <w:sz w:val="22"/>
          <w:szCs w:val="22"/>
        </w:rPr>
        <w:t xml:space="preserve">rashoda i izdataka </w:t>
      </w:r>
      <w:r w:rsidR="00195859" w:rsidRPr="0002422C">
        <w:rPr>
          <w:rFonts w:ascii="Arial" w:hAnsi="Arial" w:cs="Arial"/>
          <w:sz w:val="22"/>
          <w:szCs w:val="22"/>
        </w:rPr>
        <w:t xml:space="preserve">iskazanih po izvorima financiranja i ekonomskoj klasifikaciji na razini skupine, </w:t>
      </w:r>
      <w:r w:rsidR="004A085D" w:rsidRPr="0002422C">
        <w:rPr>
          <w:rFonts w:ascii="Arial" w:hAnsi="Arial" w:cs="Arial"/>
          <w:sz w:val="22"/>
          <w:szCs w:val="22"/>
        </w:rPr>
        <w:t>a isti</w:t>
      </w:r>
      <w:r w:rsidR="00195859" w:rsidRPr="0002422C">
        <w:rPr>
          <w:rFonts w:ascii="Arial" w:hAnsi="Arial" w:cs="Arial"/>
          <w:sz w:val="22"/>
          <w:szCs w:val="22"/>
        </w:rPr>
        <w:t xml:space="preserve"> su raspoređeni u programe s pripadajućim aktivnostima</w:t>
      </w:r>
      <w:r w:rsidR="00F639FD" w:rsidRPr="0002422C">
        <w:rPr>
          <w:rFonts w:ascii="Arial" w:hAnsi="Arial" w:cs="Arial"/>
          <w:sz w:val="22"/>
          <w:szCs w:val="22"/>
        </w:rPr>
        <w:t xml:space="preserve"> </w:t>
      </w:r>
      <w:r w:rsidR="00195859" w:rsidRPr="0002422C">
        <w:rPr>
          <w:rFonts w:ascii="Arial" w:hAnsi="Arial" w:cs="Arial"/>
          <w:sz w:val="22"/>
          <w:szCs w:val="22"/>
        </w:rPr>
        <w:t>(Prilog 1.)</w:t>
      </w:r>
    </w:p>
    <w:p w14:paraId="23BB2D55" w14:textId="77777777" w:rsidR="006541E4" w:rsidRPr="0002422C" w:rsidRDefault="006541E4" w:rsidP="00897502">
      <w:pPr>
        <w:jc w:val="both"/>
        <w:rPr>
          <w:rFonts w:ascii="Arial" w:hAnsi="Arial" w:cs="Arial"/>
          <w:sz w:val="22"/>
          <w:szCs w:val="22"/>
        </w:rPr>
      </w:pPr>
    </w:p>
    <w:p w14:paraId="5EC6CCA6" w14:textId="77777777" w:rsidR="005C7356" w:rsidRPr="0002422C" w:rsidRDefault="00195859" w:rsidP="00897502">
      <w:pPr>
        <w:jc w:val="both"/>
        <w:rPr>
          <w:rFonts w:ascii="Arial" w:hAnsi="Arial" w:cs="Arial"/>
          <w:sz w:val="22"/>
          <w:szCs w:val="22"/>
        </w:rPr>
      </w:pPr>
      <w:r w:rsidRPr="0002422C">
        <w:rPr>
          <w:rFonts w:ascii="Arial" w:hAnsi="Arial" w:cs="Arial"/>
          <w:sz w:val="22"/>
          <w:szCs w:val="22"/>
        </w:rPr>
        <w:t xml:space="preserve">U nastavku </w:t>
      </w:r>
      <w:r w:rsidR="005C7356" w:rsidRPr="0002422C">
        <w:rPr>
          <w:rFonts w:ascii="Arial" w:hAnsi="Arial" w:cs="Arial"/>
          <w:sz w:val="22"/>
          <w:szCs w:val="22"/>
        </w:rPr>
        <w:t xml:space="preserve">obrazloženja programa </w:t>
      </w:r>
      <w:r w:rsidRPr="0002422C">
        <w:rPr>
          <w:rFonts w:ascii="Arial" w:hAnsi="Arial" w:cs="Arial"/>
          <w:sz w:val="22"/>
          <w:szCs w:val="22"/>
        </w:rPr>
        <w:t xml:space="preserve">i </w:t>
      </w:r>
      <w:r w:rsidR="005C7356" w:rsidRPr="0002422C">
        <w:rPr>
          <w:rFonts w:ascii="Arial" w:hAnsi="Arial" w:cs="Arial"/>
          <w:sz w:val="22"/>
          <w:szCs w:val="22"/>
        </w:rPr>
        <w:t>obrazloženje svih aktivnosti</w:t>
      </w:r>
      <w:r w:rsidR="006541E4" w:rsidRPr="0002422C">
        <w:rPr>
          <w:rFonts w:ascii="Arial" w:hAnsi="Arial" w:cs="Arial"/>
          <w:sz w:val="22"/>
          <w:szCs w:val="22"/>
        </w:rPr>
        <w:t xml:space="preserve"> </w:t>
      </w:r>
      <w:r w:rsidR="005C7356" w:rsidRPr="0002422C">
        <w:rPr>
          <w:rFonts w:ascii="Arial" w:hAnsi="Arial" w:cs="Arial"/>
          <w:sz w:val="22"/>
          <w:szCs w:val="22"/>
        </w:rPr>
        <w:t>s njihovim ciljevima i pokazateljima uspješnosti.</w:t>
      </w:r>
    </w:p>
    <w:p w14:paraId="0BA5F40B" w14:textId="77777777" w:rsidR="00965E4A" w:rsidRPr="00273F34" w:rsidRDefault="00965E4A" w:rsidP="00897502">
      <w:pPr>
        <w:jc w:val="both"/>
        <w:rPr>
          <w:rFonts w:ascii="Arial" w:hAnsi="Arial" w:cs="Arial"/>
          <w:color w:val="1F497D" w:themeColor="text2"/>
          <w:sz w:val="22"/>
          <w:szCs w:val="22"/>
        </w:rPr>
      </w:pPr>
    </w:p>
    <w:p w14:paraId="14C8EC89" w14:textId="77777777" w:rsidR="002555B9" w:rsidRPr="004F3556" w:rsidRDefault="002555B9" w:rsidP="002555B9">
      <w:pPr>
        <w:jc w:val="both"/>
        <w:rPr>
          <w:rFonts w:ascii="Arial" w:hAnsi="Arial" w:cs="Arial"/>
          <w:sz w:val="22"/>
          <w:szCs w:val="22"/>
        </w:rPr>
      </w:pPr>
    </w:p>
    <w:p w14:paraId="7B27070D" w14:textId="77777777" w:rsidR="002555B9" w:rsidRPr="0002422C" w:rsidRDefault="002555B9" w:rsidP="002555B9">
      <w:pPr>
        <w:pStyle w:val="Odlomakpopisa"/>
        <w:numPr>
          <w:ilvl w:val="0"/>
          <w:numId w:val="42"/>
        </w:numPr>
        <w:jc w:val="both"/>
        <w:rPr>
          <w:rFonts w:ascii="Arial" w:hAnsi="Arial" w:cs="Arial"/>
          <w:b/>
          <w:u w:val="single"/>
        </w:rPr>
      </w:pPr>
      <w:r w:rsidRPr="0002422C">
        <w:rPr>
          <w:rFonts w:ascii="Arial" w:hAnsi="Arial" w:cs="Arial"/>
          <w:b/>
          <w:u w:val="single"/>
        </w:rPr>
        <w:t>NAZIV PROGRAMA: OSNOVNA DJELATNOST ISTARSKI DOMOVI ZDRAVLJA (6502)</w:t>
      </w:r>
    </w:p>
    <w:p w14:paraId="23468246" w14:textId="77777777" w:rsidR="002555B9" w:rsidRPr="0002422C" w:rsidRDefault="002555B9" w:rsidP="002555B9">
      <w:pPr>
        <w:jc w:val="both"/>
        <w:rPr>
          <w:rFonts w:ascii="Arial" w:hAnsi="Arial" w:cs="Arial"/>
          <w:b/>
          <w:sz w:val="22"/>
          <w:szCs w:val="22"/>
          <w:u w:val="single"/>
        </w:rPr>
      </w:pPr>
    </w:p>
    <w:p w14:paraId="63007757" w14:textId="77777777" w:rsidR="002555B9" w:rsidRPr="0002422C" w:rsidRDefault="002555B9" w:rsidP="002555B9">
      <w:pPr>
        <w:pStyle w:val="Odlomakpopisa"/>
        <w:numPr>
          <w:ilvl w:val="1"/>
          <w:numId w:val="42"/>
        </w:numPr>
        <w:rPr>
          <w:rFonts w:ascii="Arial" w:hAnsi="Arial" w:cs="Arial"/>
          <w:b/>
        </w:rPr>
      </w:pPr>
      <w:r w:rsidRPr="0002422C">
        <w:rPr>
          <w:rFonts w:ascii="Arial" w:hAnsi="Arial" w:cs="Arial"/>
          <w:b/>
        </w:rPr>
        <w:t>Provođenje zdravstvene zaštite (A650201)</w:t>
      </w:r>
    </w:p>
    <w:p w14:paraId="23EF427D" w14:textId="77777777" w:rsidR="002555B9" w:rsidRPr="0002422C" w:rsidRDefault="002555B9" w:rsidP="002555B9">
      <w:pPr>
        <w:pStyle w:val="Odlomakpopisa"/>
        <w:rPr>
          <w:rFonts w:ascii="Arial" w:hAnsi="Arial" w:cs="Arial"/>
          <w:b/>
        </w:rPr>
      </w:pPr>
    </w:p>
    <w:p w14:paraId="2CD66EE2" w14:textId="3BF55454" w:rsidR="002555B9" w:rsidRPr="0002422C" w:rsidRDefault="002555B9" w:rsidP="002555B9">
      <w:pPr>
        <w:jc w:val="both"/>
        <w:rPr>
          <w:rFonts w:ascii="Arial" w:hAnsi="Arial" w:cs="Arial"/>
          <w:sz w:val="22"/>
          <w:szCs w:val="22"/>
        </w:rPr>
      </w:pPr>
      <w:r w:rsidRPr="0002422C">
        <w:rPr>
          <w:rFonts w:ascii="Arial" w:hAnsi="Arial" w:cs="Arial"/>
          <w:bCs/>
          <w:sz w:val="22"/>
          <w:szCs w:val="22"/>
        </w:rPr>
        <w:t xml:space="preserve">U cilju pružanja potrebne, dostupne, ujednačene i kontinuirane zdravstvene zaštite u skladu sa mrežom javne zdravstvene službe na području Istarske županije provode se aktivnosti zdravstvene zaštite. Kako bi se osigurala kvalitetna i kontinuirana zdravstvena zaštita svim pacijentima, prilikom odlaska koncesionara preuzimaju se, uređuju i opremaju ordinacije, organizira se rad posebnog dežurstva. Ono što podrazumijeva aktivnost provođenja zdravstvene zaštite jest organizacija i raspored rada u djelatnostima </w:t>
      </w:r>
      <w:r w:rsidRPr="0002422C">
        <w:rPr>
          <w:rFonts w:ascii="Arial" w:hAnsi="Arial" w:cs="Arial"/>
          <w:sz w:val="22"/>
          <w:szCs w:val="22"/>
        </w:rPr>
        <w:t xml:space="preserve">primarne i specijalističko konzilijarne zdravstvene zaštite, medicinsko-biokemijskih laboratorija, medicine rada, zdravstvene njege u kući, patronaže, liječenja u </w:t>
      </w:r>
      <w:r w:rsidRPr="0002422C">
        <w:rPr>
          <w:rFonts w:ascii="Arial" w:hAnsi="Arial" w:cs="Arial"/>
          <w:sz w:val="22"/>
          <w:szCs w:val="22"/>
          <w:lang w:eastAsia="ar-SA"/>
        </w:rPr>
        <w:t xml:space="preserve">stacionaru s palijativnom skrbi, hemodijalizu i </w:t>
      </w:r>
      <w:r w:rsidRPr="0002422C">
        <w:rPr>
          <w:rFonts w:ascii="Arial" w:hAnsi="Arial" w:cs="Arial"/>
          <w:sz w:val="22"/>
          <w:szCs w:val="22"/>
        </w:rPr>
        <w:t>ljekarničku djelatnost. Na dan 31.12.202</w:t>
      </w:r>
      <w:r w:rsidR="00273F34" w:rsidRPr="0002422C">
        <w:rPr>
          <w:rFonts w:ascii="Arial" w:hAnsi="Arial" w:cs="Arial"/>
          <w:sz w:val="22"/>
          <w:szCs w:val="22"/>
        </w:rPr>
        <w:t>5</w:t>
      </w:r>
      <w:r w:rsidRPr="0002422C">
        <w:rPr>
          <w:rFonts w:ascii="Arial" w:hAnsi="Arial" w:cs="Arial"/>
          <w:sz w:val="22"/>
          <w:szCs w:val="22"/>
        </w:rPr>
        <w:t>. g. u ovoj aktivnosti zaposleno je 4</w:t>
      </w:r>
      <w:r w:rsidR="00273F34" w:rsidRPr="0002422C">
        <w:rPr>
          <w:rFonts w:ascii="Arial" w:hAnsi="Arial" w:cs="Arial"/>
          <w:sz w:val="22"/>
          <w:szCs w:val="22"/>
        </w:rPr>
        <w:t>97</w:t>
      </w:r>
      <w:r w:rsidRPr="0002422C">
        <w:rPr>
          <w:rFonts w:ascii="Arial" w:hAnsi="Arial" w:cs="Arial"/>
          <w:sz w:val="22"/>
          <w:szCs w:val="22"/>
        </w:rPr>
        <w:t xml:space="preserve"> djelatnika.</w:t>
      </w:r>
    </w:p>
    <w:p w14:paraId="3CDF0D5F" w14:textId="45036D08" w:rsidR="007F6D6F" w:rsidRPr="00C02341" w:rsidRDefault="0002422C" w:rsidP="002555B9">
      <w:pPr>
        <w:jc w:val="both"/>
        <w:rPr>
          <w:rFonts w:ascii="Arial" w:hAnsi="Arial" w:cs="Arial"/>
          <w:sz w:val="22"/>
          <w:szCs w:val="22"/>
        </w:rPr>
      </w:pPr>
      <w:r w:rsidRPr="00C02341">
        <w:rPr>
          <w:rFonts w:ascii="Arial" w:hAnsi="Arial" w:cs="Arial"/>
          <w:sz w:val="22"/>
          <w:szCs w:val="22"/>
        </w:rPr>
        <w:t xml:space="preserve">Ugovorena sredstva </w:t>
      </w:r>
      <w:r w:rsidR="007F6D6F" w:rsidRPr="00C02341">
        <w:rPr>
          <w:rFonts w:ascii="Arial" w:hAnsi="Arial" w:cs="Arial"/>
          <w:sz w:val="22"/>
          <w:szCs w:val="22"/>
        </w:rPr>
        <w:t xml:space="preserve">HZZO za </w:t>
      </w:r>
      <w:r w:rsidRPr="00C02341">
        <w:rPr>
          <w:rFonts w:ascii="Arial" w:hAnsi="Arial" w:cs="Arial"/>
          <w:sz w:val="22"/>
          <w:szCs w:val="22"/>
        </w:rPr>
        <w:t xml:space="preserve">obavljanje stacionarne djelatnosti  nisu dostatna za </w:t>
      </w:r>
      <w:r w:rsidR="007F6D6F" w:rsidRPr="00C02341">
        <w:rPr>
          <w:rFonts w:ascii="Arial" w:hAnsi="Arial" w:cs="Arial"/>
          <w:sz w:val="22"/>
          <w:szCs w:val="22"/>
        </w:rPr>
        <w:t>pokrivanje troškova poslovanja</w:t>
      </w:r>
      <w:r w:rsidR="00C02341" w:rsidRPr="00C02341">
        <w:rPr>
          <w:rFonts w:ascii="Arial" w:hAnsi="Arial" w:cs="Arial"/>
          <w:sz w:val="22"/>
          <w:szCs w:val="22"/>
        </w:rPr>
        <w:t>. C</w:t>
      </w:r>
      <w:r w:rsidR="007F6D6F" w:rsidRPr="00C02341">
        <w:rPr>
          <w:rFonts w:ascii="Arial" w:hAnsi="Arial" w:cs="Arial"/>
          <w:sz w:val="22"/>
          <w:szCs w:val="22"/>
        </w:rPr>
        <w:t xml:space="preserve">ijena BO dana </w:t>
      </w:r>
      <w:r w:rsidRPr="00C02341">
        <w:rPr>
          <w:rFonts w:ascii="Arial" w:hAnsi="Arial" w:cs="Arial"/>
          <w:sz w:val="22"/>
          <w:szCs w:val="22"/>
        </w:rPr>
        <w:t xml:space="preserve">dugo vremena </w:t>
      </w:r>
      <w:r w:rsidR="007F6D6F" w:rsidRPr="00C02341">
        <w:rPr>
          <w:rFonts w:ascii="Arial" w:hAnsi="Arial" w:cs="Arial"/>
          <w:sz w:val="22"/>
          <w:szCs w:val="22"/>
        </w:rPr>
        <w:t xml:space="preserve">nije </w:t>
      </w:r>
      <w:r w:rsidRPr="00C02341">
        <w:rPr>
          <w:rFonts w:ascii="Arial" w:hAnsi="Arial" w:cs="Arial"/>
          <w:sz w:val="22"/>
          <w:szCs w:val="22"/>
        </w:rPr>
        <w:t xml:space="preserve">se </w:t>
      </w:r>
      <w:r w:rsidR="007F6D6F" w:rsidRPr="00C02341">
        <w:rPr>
          <w:rFonts w:ascii="Arial" w:hAnsi="Arial" w:cs="Arial"/>
          <w:sz w:val="22"/>
          <w:szCs w:val="22"/>
        </w:rPr>
        <w:t>usklađ</w:t>
      </w:r>
      <w:r w:rsidRPr="00C02341">
        <w:rPr>
          <w:rFonts w:ascii="Arial" w:hAnsi="Arial" w:cs="Arial"/>
          <w:sz w:val="22"/>
          <w:szCs w:val="22"/>
        </w:rPr>
        <w:t>ivala</w:t>
      </w:r>
      <w:r w:rsidR="007F6D6F" w:rsidRPr="00C02341">
        <w:rPr>
          <w:rFonts w:ascii="Arial" w:hAnsi="Arial" w:cs="Arial"/>
          <w:sz w:val="22"/>
          <w:szCs w:val="22"/>
        </w:rPr>
        <w:t xml:space="preserve"> s rastom </w:t>
      </w:r>
      <w:r w:rsidRPr="00C02341">
        <w:rPr>
          <w:rFonts w:ascii="Arial" w:hAnsi="Arial" w:cs="Arial"/>
          <w:sz w:val="22"/>
          <w:szCs w:val="22"/>
        </w:rPr>
        <w:t>troškova hladnog pogona (</w:t>
      </w:r>
      <w:r w:rsidR="00C02341" w:rsidRPr="00C02341">
        <w:rPr>
          <w:rFonts w:ascii="Arial" w:hAnsi="Arial" w:cs="Arial"/>
          <w:sz w:val="22"/>
          <w:szCs w:val="22"/>
        </w:rPr>
        <w:t>plaće, struja, komunalne usluge…)</w:t>
      </w:r>
      <w:r w:rsidRPr="00C02341">
        <w:rPr>
          <w:rFonts w:ascii="Arial" w:hAnsi="Arial" w:cs="Arial"/>
          <w:sz w:val="22"/>
          <w:szCs w:val="22"/>
        </w:rPr>
        <w:t xml:space="preserve"> te </w:t>
      </w:r>
      <w:r w:rsidR="007F6D6F" w:rsidRPr="00C02341">
        <w:rPr>
          <w:rFonts w:ascii="Arial" w:hAnsi="Arial" w:cs="Arial"/>
          <w:sz w:val="22"/>
          <w:szCs w:val="22"/>
        </w:rPr>
        <w:t xml:space="preserve">tržišnih cijena </w:t>
      </w:r>
      <w:r w:rsidRPr="00C02341">
        <w:rPr>
          <w:rFonts w:ascii="Arial" w:hAnsi="Arial" w:cs="Arial"/>
          <w:sz w:val="22"/>
          <w:szCs w:val="22"/>
        </w:rPr>
        <w:t xml:space="preserve">ostalih usluga </w:t>
      </w:r>
      <w:r w:rsidR="00C02341" w:rsidRPr="00C02341">
        <w:rPr>
          <w:rFonts w:ascii="Arial" w:hAnsi="Arial" w:cs="Arial"/>
          <w:sz w:val="22"/>
          <w:szCs w:val="22"/>
        </w:rPr>
        <w:t xml:space="preserve">(namirnice, </w:t>
      </w:r>
      <w:proofErr w:type="spellStart"/>
      <w:r w:rsidR="00C02341" w:rsidRPr="00C02341">
        <w:rPr>
          <w:rFonts w:ascii="Arial" w:hAnsi="Arial" w:cs="Arial"/>
          <w:sz w:val="22"/>
          <w:szCs w:val="22"/>
        </w:rPr>
        <w:t>praone</w:t>
      </w:r>
      <w:proofErr w:type="spellEnd"/>
      <w:r w:rsidR="00C02341" w:rsidRPr="00C02341">
        <w:rPr>
          <w:rFonts w:ascii="Arial" w:hAnsi="Arial" w:cs="Arial"/>
          <w:sz w:val="22"/>
          <w:szCs w:val="22"/>
        </w:rPr>
        <w:t xml:space="preserve">, kuhani obroci…) </w:t>
      </w:r>
      <w:r w:rsidR="007F6D6F" w:rsidRPr="00C02341">
        <w:rPr>
          <w:rFonts w:ascii="Arial" w:hAnsi="Arial" w:cs="Arial"/>
          <w:sz w:val="22"/>
          <w:szCs w:val="22"/>
        </w:rPr>
        <w:t xml:space="preserve">zbog čega </w:t>
      </w:r>
      <w:r w:rsidR="00C02341" w:rsidRPr="00C02341">
        <w:rPr>
          <w:rFonts w:ascii="Arial" w:hAnsi="Arial" w:cs="Arial"/>
          <w:sz w:val="22"/>
          <w:szCs w:val="22"/>
        </w:rPr>
        <w:t>se navedena djelatnost konstantno</w:t>
      </w:r>
      <w:r w:rsidR="007F6D6F" w:rsidRPr="00C02341">
        <w:rPr>
          <w:rFonts w:ascii="Arial" w:hAnsi="Arial" w:cs="Arial"/>
          <w:sz w:val="22"/>
          <w:szCs w:val="22"/>
        </w:rPr>
        <w:t xml:space="preserve"> suočava s financijskim gubitkom</w:t>
      </w:r>
      <w:r w:rsidR="00C02341" w:rsidRPr="00C02341">
        <w:rPr>
          <w:rFonts w:ascii="Arial" w:hAnsi="Arial" w:cs="Arial"/>
          <w:sz w:val="22"/>
          <w:szCs w:val="22"/>
        </w:rPr>
        <w:t xml:space="preserve"> poslovanja. Istarska županija prepoznala je važnost </w:t>
      </w:r>
      <w:r w:rsidR="007F6D6F" w:rsidRPr="00C02341">
        <w:rPr>
          <w:rFonts w:ascii="Arial" w:hAnsi="Arial" w:cs="Arial"/>
          <w:sz w:val="22"/>
          <w:szCs w:val="22"/>
        </w:rPr>
        <w:t>dostupn</w:t>
      </w:r>
      <w:r w:rsidR="00C02341" w:rsidRPr="00C02341">
        <w:rPr>
          <w:rFonts w:ascii="Arial" w:hAnsi="Arial" w:cs="Arial"/>
          <w:sz w:val="22"/>
          <w:szCs w:val="22"/>
        </w:rPr>
        <w:t>e</w:t>
      </w:r>
      <w:r w:rsidR="007F6D6F" w:rsidRPr="00C02341">
        <w:rPr>
          <w:rFonts w:ascii="Arial" w:hAnsi="Arial" w:cs="Arial"/>
          <w:sz w:val="22"/>
          <w:szCs w:val="22"/>
        </w:rPr>
        <w:t xml:space="preserve"> i kvalitetn</w:t>
      </w:r>
      <w:r w:rsidR="00C02341" w:rsidRPr="00C02341">
        <w:rPr>
          <w:rFonts w:ascii="Arial" w:hAnsi="Arial" w:cs="Arial"/>
          <w:sz w:val="22"/>
          <w:szCs w:val="22"/>
        </w:rPr>
        <w:t>e</w:t>
      </w:r>
      <w:r w:rsidR="007F6D6F" w:rsidRPr="00C02341">
        <w:rPr>
          <w:rFonts w:ascii="Arial" w:hAnsi="Arial" w:cs="Arial"/>
          <w:sz w:val="22"/>
          <w:szCs w:val="22"/>
        </w:rPr>
        <w:t xml:space="preserve"> skrb</w:t>
      </w:r>
      <w:r w:rsidR="00C02341" w:rsidRPr="00C02341">
        <w:rPr>
          <w:rFonts w:ascii="Arial" w:hAnsi="Arial" w:cs="Arial"/>
          <w:sz w:val="22"/>
          <w:szCs w:val="22"/>
        </w:rPr>
        <w:t>i</w:t>
      </w:r>
      <w:r w:rsidR="007F6D6F" w:rsidRPr="00C02341">
        <w:rPr>
          <w:rFonts w:ascii="Arial" w:hAnsi="Arial" w:cs="Arial"/>
          <w:sz w:val="22"/>
          <w:szCs w:val="22"/>
        </w:rPr>
        <w:t xml:space="preserve"> svim stacionarnim pacijentima</w:t>
      </w:r>
      <w:r w:rsidR="00C02341" w:rsidRPr="00C02341">
        <w:rPr>
          <w:rFonts w:ascii="Arial" w:hAnsi="Arial" w:cs="Arial"/>
          <w:sz w:val="22"/>
          <w:szCs w:val="22"/>
        </w:rPr>
        <w:t xml:space="preserve"> te je u</w:t>
      </w:r>
      <w:r w:rsidR="007F6D6F" w:rsidRPr="00C02341">
        <w:rPr>
          <w:rFonts w:ascii="Arial" w:hAnsi="Arial" w:cs="Arial"/>
          <w:sz w:val="22"/>
          <w:szCs w:val="22"/>
        </w:rPr>
        <w:t xml:space="preserve"> 2025. godini sufinancira</w:t>
      </w:r>
      <w:r w:rsidR="00C02341" w:rsidRPr="00C02341">
        <w:rPr>
          <w:rFonts w:ascii="Arial" w:hAnsi="Arial" w:cs="Arial"/>
          <w:sz w:val="22"/>
          <w:szCs w:val="22"/>
        </w:rPr>
        <w:t>la</w:t>
      </w:r>
      <w:r w:rsidR="007F6D6F" w:rsidRPr="00C02341">
        <w:rPr>
          <w:rFonts w:ascii="Arial" w:hAnsi="Arial" w:cs="Arial"/>
          <w:sz w:val="22"/>
          <w:szCs w:val="22"/>
        </w:rPr>
        <w:t xml:space="preserve"> troškove poslovanja stacionarne djelatnosti.</w:t>
      </w:r>
    </w:p>
    <w:p w14:paraId="396893CB" w14:textId="77777777" w:rsidR="002555B9" w:rsidRPr="004F3556" w:rsidRDefault="002555B9" w:rsidP="002555B9">
      <w:pPr>
        <w:jc w:val="both"/>
        <w:rPr>
          <w:rFonts w:ascii="Arial" w:hAnsi="Arial" w:cs="Arial"/>
          <w:bCs/>
          <w:sz w:val="22"/>
          <w:szCs w:val="22"/>
        </w:rPr>
      </w:pPr>
    </w:p>
    <w:p w14:paraId="7BFA955B" w14:textId="139CFC17" w:rsidR="002555B9" w:rsidRPr="00AD78FF" w:rsidRDefault="002555B9" w:rsidP="002555B9">
      <w:pPr>
        <w:ind w:left="2977" w:hanging="2977"/>
        <w:rPr>
          <w:rFonts w:ascii="Arial" w:hAnsi="Arial" w:cs="Arial"/>
          <w:sz w:val="22"/>
          <w:szCs w:val="22"/>
        </w:rPr>
      </w:pPr>
      <w:r w:rsidRPr="00AD78FF">
        <w:rPr>
          <w:rFonts w:ascii="Arial" w:hAnsi="Arial" w:cs="Arial"/>
          <w:sz w:val="22"/>
          <w:szCs w:val="22"/>
        </w:rPr>
        <w:lastRenderedPageBreak/>
        <w:t>CILJ USPJEŠNOSTI - 2.2.8. Ostale mjere iz samoupravnog djelokruga u području zdravstva</w:t>
      </w:r>
    </w:p>
    <w:p w14:paraId="5740B041" w14:textId="77777777" w:rsidR="002555B9" w:rsidRPr="004F3556" w:rsidRDefault="002555B9" w:rsidP="002555B9">
      <w:pPr>
        <w:rPr>
          <w:rFonts w:ascii="Arial" w:hAnsi="Arial" w:cs="Arial"/>
          <w:sz w:val="22"/>
          <w:szCs w:val="22"/>
        </w:rPr>
      </w:pPr>
    </w:p>
    <w:p w14:paraId="67B6928A" w14:textId="77777777" w:rsidR="002555B9" w:rsidRPr="004F3556" w:rsidRDefault="002555B9" w:rsidP="002555B9">
      <w:pPr>
        <w:jc w:val="both"/>
        <w:rPr>
          <w:rFonts w:ascii="Arial" w:hAnsi="Arial" w:cs="Arial"/>
          <w:sz w:val="22"/>
          <w:szCs w:val="22"/>
        </w:rPr>
      </w:pPr>
      <w:r w:rsidRPr="004F3556">
        <w:rPr>
          <w:rFonts w:ascii="Arial" w:hAnsi="Arial" w:cs="Arial"/>
          <w:sz w:val="22"/>
          <w:szCs w:val="22"/>
        </w:rPr>
        <w:t>POKAZATELJI USPJEŠNOSTI</w:t>
      </w:r>
    </w:p>
    <w:tbl>
      <w:tblPr>
        <w:tblW w:w="9209" w:type="dxa"/>
        <w:jc w:val="center"/>
        <w:tblLayout w:type="fixed"/>
        <w:tblLook w:val="04A0" w:firstRow="1" w:lastRow="0" w:firstColumn="1" w:lastColumn="0" w:noHBand="0" w:noVBand="1"/>
      </w:tblPr>
      <w:tblGrid>
        <w:gridCol w:w="3114"/>
        <w:gridCol w:w="1559"/>
        <w:gridCol w:w="1559"/>
        <w:gridCol w:w="2977"/>
      </w:tblGrid>
      <w:tr w:rsidR="00C02341" w:rsidRPr="00C02341" w14:paraId="4CC7399F" w14:textId="77777777" w:rsidTr="005D4009">
        <w:trPr>
          <w:trHeight w:val="797"/>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6220ABAC" w14:textId="77777777" w:rsidR="002555B9" w:rsidRPr="00C02341" w:rsidRDefault="002555B9" w:rsidP="002555B9">
            <w:pPr>
              <w:jc w:val="center"/>
              <w:rPr>
                <w:rFonts w:ascii="Arial" w:hAnsi="Arial" w:cs="Arial"/>
                <w:b/>
                <w:bCs/>
                <w:sz w:val="22"/>
                <w:szCs w:val="22"/>
              </w:rPr>
            </w:pPr>
            <w:r w:rsidRPr="00C02341">
              <w:rPr>
                <w:rFonts w:ascii="Arial" w:hAnsi="Arial" w:cs="Arial"/>
                <w:b/>
                <w:bCs/>
                <w:sz w:val="22"/>
                <w:szCs w:val="22"/>
              </w:rPr>
              <w:t xml:space="preserve">Pokazatelj rezultata </w:t>
            </w:r>
          </w:p>
        </w:tc>
        <w:tc>
          <w:tcPr>
            <w:tcW w:w="1559"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1A66C2C6" w14:textId="60680A10" w:rsidR="002555B9" w:rsidRPr="00C02341" w:rsidRDefault="002555B9" w:rsidP="002555B9">
            <w:pPr>
              <w:jc w:val="center"/>
              <w:rPr>
                <w:rFonts w:ascii="Arial" w:hAnsi="Arial" w:cs="Arial"/>
                <w:b/>
                <w:bCs/>
                <w:sz w:val="22"/>
                <w:szCs w:val="22"/>
              </w:rPr>
            </w:pPr>
            <w:r w:rsidRPr="00C02341">
              <w:rPr>
                <w:rFonts w:ascii="Arial" w:hAnsi="Arial" w:cs="Arial"/>
                <w:b/>
                <w:bCs/>
                <w:sz w:val="22"/>
                <w:szCs w:val="22"/>
              </w:rPr>
              <w:t>Početna vrijednost</w:t>
            </w:r>
            <w:r w:rsidRPr="00C02341">
              <w:rPr>
                <w:rFonts w:ascii="Arial" w:hAnsi="Arial" w:cs="Arial"/>
                <w:b/>
                <w:bCs/>
                <w:sz w:val="22"/>
                <w:szCs w:val="22"/>
              </w:rPr>
              <w:br/>
              <w:t>(</w:t>
            </w:r>
            <w:r w:rsidR="00A93AC5" w:rsidRPr="00C02341">
              <w:rPr>
                <w:rFonts w:ascii="Arial" w:hAnsi="Arial" w:cs="Arial"/>
                <w:b/>
                <w:bCs/>
                <w:sz w:val="22"/>
                <w:szCs w:val="22"/>
              </w:rPr>
              <w:t>2025.</w:t>
            </w:r>
            <w:r w:rsidRPr="00C02341">
              <w:rPr>
                <w:rFonts w:ascii="Arial" w:hAnsi="Arial" w:cs="Arial"/>
                <w:b/>
                <w:bCs/>
                <w:sz w:val="22"/>
                <w:szCs w:val="22"/>
              </w:rPr>
              <w:t>)</w:t>
            </w:r>
          </w:p>
        </w:tc>
        <w:tc>
          <w:tcPr>
            <w:tcW w:w="1559"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734ADEDF" w14:textId="2BD6416D" w:rsidR="002555B9" w:rsidRPr="00C02341" w:rsidRDefault="002555B9" w:rsidP="002555B9">
            <w:pPr>
              <w:jc w:val="center"/>
              <w:rPr>
                <w:rFonts w:ascii="Arial" w:hAnsi="Arial" w:cs="Arial"/>
                <w:b/>
                <w:bCs/>
                <w:sz w:val="22"/>
                <w:szCs w:val="22"/>
              </w:rPr>
            </w:pPr>
            <w:r w:rsidRPr="00C02341">
              <w:rPr>
                <w:rFonts w:ascii="Arial" w:hAnsi="Arial" w:cs="Arial"/>
                <w:b/>
                <w:bCs/>
                <w:sz w:val="22"/>
                <w:szCs w:val="22"/>
              </w:rPr>
              <w:t>Ciljna</w:t>
            </w:r>
            <w:r w:rsidRPr="00C02341">
              <w:rPr>
                <w:rFonts w:ascii="Arial" w:hAnsi="Arial" w:cs="Arial"/>
                <w:b/>
                <w:bCs/>
                <w:sz w:val="22"/>
                <w:szCs w:val="22"/>
              </w:rPr>
              <w:br/>
              <w:t>vrijednost</w:t>
            </w:r>
            <w:r w:rsidRPr="00C02341">
              <w:rPr>
                <w:rFonts w:ascii="Arial" w:hAnsi="Arial" w:cs="Arial"/>
                <w:b/>
                <w:bCs/>
                <w:sz w:val="22"/>
                <w:szCs w:val="22"/>
              </w:rPr>
              <w:br/>
              <w:t>202</w:t>
            </w:r>
            <w:r w:rsidR="00A93AC5" w:rsidRPr="00C02341">
              <w:rPr>
                <w:rFonts w:ascii="Arial" w:hAnsi="Arial" w:cs="Arial"/>
                <w:b/>
                <w:bCs/>
                <w:sz w:val="22"/>
                <w:szCs w:val="22"/>
              </w:rPr>
              <w:t>5</w:t>
            </w:r>
            <w:r w:rsidRPr="00C02341">
              <w:rPr>
                <w:rFonts w:ascii="Arial" w:hAnsi="Arial" w:cs="Arial"/>
                <w:b/>
                <w:bCs/>
                <w:sz w:val="22"/>
                <w:szCs w:val="22"/>
              </w:rPr>
              <w:t>.</w:t>
            </w:r>
          </w:p>
        </w:tc>
        <w:tc>
          <w:tcPr>
            <w:tcW w:w="2977"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1A551304" w14:textId="5EB75B16" w:rsidR="002555B9" w:rsidRPr="00C02341" w:rsidRDefault="002555B9" w:rsidP="002555B9">
            <w:pPr>
              <w:jc w:val="center"/>
              <w:rPr>
                <w:rFonts w:ascii="Arial" w:hAnsi="Arial" w:cs="Arial"/>
                <w:b/>
                <w:bCs/>
                <w:sz w:val="22"/>
                <w:szCs w:val="22"/>
              </w:rPr>
            </w:pPr>
            <w:r w:rsidRPr="00C02341">
              <w:rPr>
                <w:rFonts w:ascii="Arial" w:hAnsi="Arial" w:cs="Arial"/>
                <w:b/>
                <w:bCs/>
                <w:sz w:val="22"/>
                <w:szCs w:val="22"/>
              </w:rPr>
              <w:t>Ostvarena vrijednost u periodu 01.-</w:t>
            </w:r>
            <w:r w:rsidR="00864580" w:rsidRPr="00C02341">
              <w:rPr>
                <w:rFonts w:ascii="Arial" w:hAnsi="Arial" w:cs="Arial"/>
                <w:b/>
                <w:bCs/>
                <w:sz w:val="22"/>
                <w:szCs w:val="22"/>
              </w:rPr>
              <w:t>12</w:t>
            </w:r>
            <w:r w:rsidRPr="00C02341">
              <w:rPr>
                <w:rFonts w:ascii="Arial" w:hAnsi="Arial" w:cs="Arial"/>
                <w:b/>
                <w:bCs/>
                <w:sz w:val="22"/>
                <w:szCs w:val="22"/>
              </w:rPr>
              <w:t>/202</w:t>
            </w:r>
            <w:r w:rsidR="00A93AC5" w:rsidRPr="00C02341">
              <w:rPr>
                <w:rFonts w:ascii="Arial" w:hAnsi="Arial" w:cs="Arial"/>
                <w:b/>
                <w:bCs/>
                <w:sz w:val="22"/>
                <w:szCs w:val="22"/>
              </w:rPr>
              <w:t>5</w:t>
            </w:r>
            <w:r w:rsidRPr="00C02341">
              <w:rPr>
                <w:rFonts w:ascii="Arial" w:hAnsi="Arial" w:cs="Arial"/>
                <w:b/>
                <w:bCs/>
                <w:sz w:val="22"/>
                <w:szCs w:val="22"/>
              </w:rPr>
              <w:t>.</w:t>
            </w:r>
          </w:p>
        </w:tc>
      </w:tr>
      <w:tr w:rsidR="00C02341" w:rsidRPr="00C02341" w14:paraId="7409AD3A" w14:textId="77777777" w:rsidTr="005D4009">
        <w:trPr>
          <w:trHeight w:val="455"/>
          <w:jc w:val="center"/>
        </w:trPr>
        <w:tc>
          <w:tcPr>
            <w:tcW w:w="3114" w:type="dxa"/>
            <w:tcBorders>
              <w:top w:val="nil"/>
              <w:left w:val="single" w:sz="4" w:space="0" w:color="000000"/>
              <w:bottom w:val="single" w:sz="4" w:space="0" w:color="000000"/>
              <w:right w:val="single" w:sz="4" w:space="0" w:color="000000"/>
            </w:tcBorders>
            <w:shd w:val="clear" w:color="FFFFFF" w:fill="FFFFFF"/>
            <w:vAlign w:val="center"/>
          </w:tcPr>
          <w:p w14:paraId="11FA794F" w14:textId="77777777" w:rsidR="002555B9" w:rsidRPr="00C02341" w:rsidRDefault="002555B9" w:rsidP="002555B9">
            <w:pPr>
              <w:jc w:val="center"/>
              <w:rPr>
                <w:rFonts w:ascii="Arial" w:hAnsi="Arial" w:cs="Arial"/>
                <w:sz w:val="22"/>
                <w:szCs w:val="22"/>
              </w:rPr>
            </w:pPr>
            <w:r w:rsidRPr="00C02341">
              <w:rPr>
                <w:rFonts w:ascii="Arial" w:hAnsi="Arial" w:cs="Arial"/>
                <w:sz w:val="22"/>
                <w:szCs w:val="22"/>
              </w:rPr>
              <w:t>Broj PZZ timova</w:t>
            </w:r>
          </w:p>
        </w:tc>
        <w:tc>
          <w:tcPr>
            <w:tcW w:w="1559" w:type="dxa"/>
            <w:tcBorders>
              <w:top w:val="nil"/>
              <w:left w:val="nil"/>
              <w:bottom w:val="single" w:sz="4" w:space="0" w:color="000000"/>
              <w:right w:val="single" w:sz="4" w:space="0" w:color="000000"/>
            </w:tcBorders>
            <w:shd w:val="clear" w:color="FFFFFF" w:fill="FFFFFF"/>
            <w:vAlign w:val="center"/>
          </w:tcPr>
          <w:p w14:paraId="510C786E" w14:textId="48187938" w:rsidR="002555B9" w:rsidRPr="00C02341" w:rsidRDefault="00A93AC5" w:rsidP="002555B9">
            <w:pPr>
              <w:jc w:val="center"/>
              <w:rPr>
                <w:rFonts w:ascii="Arial" w:hAnsi="Arial" w:cs="Arial"/>
                <w:sz w:val="22"/>
                <w:szCs w:val="22"/>
              </w:rPr>
            </w:pPr>
            <w:r w:rsidRPr="00C02341">
              <w:rPr>
                <w:rFonts w:ascii="Arial" w:hAnsi="Arial" w:cs="Arial"/>
                <w:sz w:val="22"/>
                <w:szCs w:val="22"/>
              </w:rPr>
              <w:t>106</w:t>
            </w:r>
          </w:p>
        </w:tc>
        <w:tc>
          <w:tcPr>
            <w:tcW w:w="1559" w:type="dxa"/>
            <w:tcBorders>
              <w:top w:val="nil"/>
              <w:left w:val="nil"/>
              <w:bottom w:val="single" w:sz="4" w:space="0" w:color="000000"/>
              <w:right w:val="single" w:sz="4" w:space="0" w:color="000000"/>
            </w:tcBorders>
            <w:shd w:val="clear" w:color="FFFFFF" w:fill="FFFFFF"/>
            <w:vAlign w:val="center"/>
          </w:tcPr>
          <w:p w14:paraId="6674FEA8" w14:textId="33D003A0" w:rsidR="002555B9" w:rsidRPr="00C02341" w:rsidRDefault="002555B9" w:rsidP="002555B9">
            <w:pPr>
              <w:jc w:val="center"/>
              <w:rPr>
                <w:rFonts w:ascii="Arial" w:hAnsi="Arial" w:cs="Arial"/>
                <w:sz w:val="22"/>
                <w:szCs w:val="22"/>
              </w:rPr>
            </w:pPr>
            <w:r w:rsidRPr="00C02341">
              <w:rPr>
                <w:rFonts w:ascii="Arial" w:hAnsi="Arial" w:cs="Arial"/>
                <w:sz w:val="22"/>
                <w:szCs w:val="22"/>
              </w:rPr>
              <w:t>1</w:t>
            </w:r>
            <w:r w:rsidR="00A93AC5" w:rsidRPr="00C02341">
              <w:rPr>
                <w:rFonts w:ascii="Arial" w:hAnsi="Arial" w:cs="Arial"/>
                <w:sz w:val="22"/>
                <w:szCs w:val="22"/>
              </w:rPr>
              <w:t>1</w:t>
            </w:r>
            <w:r w:rsidR="002541BF" w:rsidRPr="00C02341">
              <w:rPr>
                <w:rFonts w:ascii="Arial" w:hAnsi="Arial" w:cs="Arial"/>
                <w:sz w:val="22"/>
                <w:szCs w:val="22"/>
              </w:rPr>
              <w:t>0</w:t>
            </w:r>
          </w:p>
        </w:tc>
        <w:tc>
          <w:tcPr>
            <w:tcW w:w="2977" w:type="dxa"/>
            <w:tcBorders>
              <w:top w:val="nil"/>
              <w:left w:val="nil"/>
              <w:bottom w:val="single" w:sz="4" w:space="0" w:color="000000"/>
              <w:right w:val="single" w:sz="4" w:space="0" w:color="000000"/>
            </w:tcBorders>
            <w:shd w:val="clear" w:color="FFFFFF" w:fill="FFFFFF"/>
            <w:vAlign w:val="center"/>
          </w:tcPr>
          <w:p w14:paraId="315A660C" w14:textId="1BEF9DDC" w:rsidR="002555B9" w:rsidRPr="00C02341" w:rsidRDefault="00093C50" w:rsidP="002555B9">
            <w:pPr>
              <w:jc w:val="center"/>
              <w:rPr>
                <w:rFonts w:ascii="Arial" w:hAnsi="Arial" w:cs="Arial"/>
                <w:sz w:val="22"/>
                <w:szCs w:val="22"/>
              </w:rPr>
            </w:pPr>
            <w:r w:rsidRPr="00C02341">
              <w:rPr>
                <w:rFonts w:ascii="Arial" w:hAnsi="Arial" w:cs="Arial"/>
                <w:sz w:val="22"/>
                <w:szCs w:val="22"/>
              </w:rPr>
              <w:t>1</w:t>
            </w:r>
            <w:r w:rsidR="00A93AC5" w:rsidRPr="00C02341">
              <w:rPr>
                <w:rFonts w:ascii="Arial" w:hAnsi="Arial" w:cs="Arial"/>
                <w:sz w:val="22"/>
                <w:szCs w:val="22"/>
              </w:rPr>
              <w:t xml:space="preserve">10 </w:t>
            </w:r>
            <w:r w:rsidRPr="00C02341">
              <w:rPr>
                <w:rFonts w:ascii="Arial" w:hAnsi="Arial" w:cs="Arial"/>
                <w:sz w:val="22"/>
                <w:szCs w:val="22"/>
              </w:rPr>
              <w:t xml:space="preserve">                   </w:t>
            </w:r>
            <w:r w:rsidR="00396140" w:rsidRPr="00C02341">
              <w:rPr>
                <w:rFonts w:ascii="Arial" w:hAnsi="Arial" w:cs="Arial"/>
                <w:sz w:val="22"/>
                <w:szCs w:val="22"/>
              </w:rPr>
              <w:t xml:space="preserve">   </w:t>
            </w:r>
            <w:r w:rsidRPr="00C02341">
              <w:rPr>
                <w:rFonts w:ascii="Arial" w:hAnsi="Arial" w:cs="Arial"/>
                <w:sz w:val="22"/>
                <w:szCs w:val="22"/>
              </w:rPr>
              <w:t xml:space="preserve">      </w:t>
            </w:r>
            <w:r w:rsidR="00C55C42" w:rsidRPr="00C02341">
              <w:rPr>
                <w:rFonts w:ascii="Arial" w:hAnsi="Arial" w:cs="Arial"/>
                <w:sz w:val="20"/>
                <w:szCs w:val="22"/>
              </w:rPr>
              <w:t>(</w:t>
            </w:r>
            <w:r w:rsidRPr="00C02341">
              <w:rPr>
                <w:rFonts w:ascii="Arial" w:hAnsi="Arial" w:cs="Arial"/>
                <w:sz w:val="20"/>
                <w:szCs w:val="22"/>
              </w:rPr>
              <w:t>preuzet</w:t>
            </w:r>
            <w:r w:rsidR="00396140" w:rsidRPr="00C02341">
              <w:rPr>
                <w:rFonts w:ascii="Arial" w:hAnsi="Arial" w:cs="Arial"/>
                <w:sz w:val="20"/>
                <w:szCs w:val="22"/>
              </w:rPr>
              <w:t>a</w:t>
            </w:r>
            <w:r w:rsidRPr="00C02341">
              <w:rPr>
                <w:rFonts w:ascii="Arial" w:hAnsi="Arial" w:cs="Arial"/>
                <w:sz w:val="20"/>
                <w:szCs w:val="22"/>
              </w:rPr>
              <w:t xml:space="preserve"> </w:t>
            </w:r>
            <w:r w:rsidR="00396140" w:rsidRPr="00C02341">
              <w:rPr>
                <w:rFonts w:ascii="Arial" w:hAnsi="Arial" w:cs="Arial"/>
                <w:sz w:val="20"/>
                <w:szCs w:val="22"/>
              </w:rPr>
              <w:t>3</w:t>
            </w:r>
            <w:r w:rsidR="00C55C42" w:rsidRPr="00C02341">
              <w:rPr>
                <w:rFonts w:ascii="Arial" w:hAnsi="Arial" w:cs="Arial"/>
                <w:sz w:val="20"/>
                <w:szCs w:val="22"/>
              </w:rPr>
              <w:t xml:space="preserve"> tima </w:t>
            </w:r>
            <w:r w:rsidRPr="00C02341">
              <w:rPr>
                <w:rFonts w:ascii="Arial" w:hAnsi="Arial" w:cs="Arial"/>
                <w:sz w:val="20"/>
                <w:szCs w:val="22"/>
              </w:rPr>
              <w:t>obiteljske med</w:t>
            </w:r>
            <w:r w:rsidR="00396140" w:rsidRPr="00C02341">
              <w:rPr>
                <w:rFonts w:ascii="Arial" w:hAnsi="Arial" w:cs="Arial"/>
                <w:sz w:val="20"/>
                <w:szCs w:val="22"/>
              </w:rPr>
              <w:t>.</w:t>
            </w:r>
            <w:r w:rsidRPr="00C02341">
              <w:rPr>
                <w:rFonts w:ascii="Arial" w:hAnsi="Arial" w:cs="Arial"/>
                <w:sz w:val="20"/>
                <w:szCs w:val="22"/>
              </w:rPr>
              <w:t xml:space="preserve"> </w:t>
            </w:r>
            <w:r w:rsidR="00396140" w:rsidRPr="00C02341">
              <w:rPr>
                <w:rFonts w:ascii="Arial" w:hAnsi="Arial" w:cs="Arial"/>
                <w:sz w:val="20"/>
                <w:szCs w:val="22"/>
              </w:rPr>
              <w:t>i 1 tim ginekologije nakon</w:t>
            </w:r>
            <w:r w:rsidR="00C55C42" w:rsidRPr="00C02341">
              <w:rPr>
                <w:rFonts w:ascii="Arial" w:hAnsi="Arial" w:cs="Arial"/>
                <w:sz w:val="20"/>
                <w:szCs w:val="22"/>
              </w:rPr>
              <w:t xml:space="preserve"> odlaska zakupaca u mirovinu</w:t>
            </w:r>
            <w:r w:rsidRPr="00C02341">
              <w:rPr>
                <w:rFonts w:ascii="Arial" w:hAnsi="Arial" w:cs="Arial"/>
                <w:sz w:val="20"/>
                <w:szCs w:val="22"/>
              </w:rPr>
              <w:t>)</w:t>
            </w:r>
          </w:p>
        </w:tc>
      </w:tr>
      <w:tr w:rsidR="00C02341" w:rsidRPr="00C02341" w14:paraId="0E7D3E20" w14:textId="77777777" w:rsidTr="005D4009">
        <w:trPr>
          <w:trHeight w:val="513"/>
          <w:jc w:val="center"/>
        </w:trPr>
        <w:tc>
          <w:tcPr>
            <w:tcW w:w="3114" w:type="dxa"/>
            <w:tcBorders>
              <w:top w:val="single" w:sz="4" w:space="0" w:color="000000"/>
              <w:left w:val="single" w:sz="4" w:space="0" w:color="000000"/>
              <w:bottom w:val="single" w:sz="4" w:space="0" w:color="auto"/>
              <w:right w:val="single" w:sz="4" w:space="0" w:color="000000"/>
            </w:tcBorders>
            <w:shd w:val="clear" w:color="FFFFFF" w:fill="FFFFFF"/>
            <w:vAlign w:val="center"/>
          </w:tcPr>
          <w:p w14:paraId="3247863A" w14:textId="77777777" w:rsidR="002555B9" w:rsidRPr="00C02341" w:rsidRDefault="002555B9" w:rsidP="002555B9">
            <w:pPr>
              <w:jc w:val="center"/>
              <w:rPr>
                <w:rFonts w:ascii="Arial" w:hAnsi="Arial" w:cs="Arial"/>
                <w:sz w:val="22"/>
                <w:szCs w:val="22"/>
              </w:rPr>
            </w:pPr>
            <w:r w:rsidRPr="00C02341">
              <w:rPr>
                <w:rFonts w:ascii="Arial" w:hAnsi="Arial" w:cs="Arial"/>
                <w:sz w:val="22"/>
                <w:szCs w:val="22"/>
              </w:rPr>
              <w:t>Broj SKZZ djelatnosti / timova</w:t>
            </w:r>
          </w:p>
        </w:tc>
        <w:tc>
          <w:tcPr>
            <w:tcW w:w="1559" w:type="dxa"/>
            <w:tcBorders>
              <w:top w:val="single" w:sz="4" w:space="0" w:color="000000"/>
              <w:left w:val="nil"/>
              <w:bottom w:val="single" w:sz="4" w:space="0" w:color="auto"/>
              <w:right w:val="single" w:sz="4" w:space="0" w:color="000000"/>
            </w:tcBorders>
            <w:shd w:val="clear" w:color="FFFFFF" w:fill="FFFFFF"/>
            <w:vAlign w:val="center"/>
          </w:tcPr>
          <w:p w14:paraId="7CF53828" w14:textId="0F2C057D" w:rsidR="002555B9" w:rsidRPr="00C02341" w:rsidRDefault="00A93AC5" w:rsidP="002555B9">
            <w:pPr>
              <w:jc w:val="center"/>
              <w:rPr>
                <w:rFonts w:ascii="Arial" w:hAnsi="Arial" w:cs="Arial"/>
                <w:sz w:val="22"/>
                <w:szCs w:val="22"/>
              </w:rPr>
            </w:pPr>
            <w:r w:rsidRPr="00C02341">
              <w:rPr>
                <w:rFonts w:ascii="Arial" w:hAnsi="Arial" w:cs="Arial"/>
                <w:sz w:val="22"/>
                <w:szCs w:val="22"/>
              </w:rPr>
              <w:t>10</w:t>
            </w:r>
            <w:r w:rsidR="002555B9" w:rsidRPr="00C02341">
              <w:rPr>
                <w:rFonts w:ascii="Arial" w:hAnsi="Arial" w:cs="Arial"/>
                <w:sz w:val="22"/>
                <w:szCs w:val="22"/>
              </w:rPr>
              <w:t xml:space="preserve"> / 2</w:t>
            </w:r>
            <w:r w:rsidRPr="00C02341">
              <w:rPr>
                <w:rFonts w:ascii="Arial" w:hAnsi="Arial" w:cs="Arial"/>
                <w:sz w:val="22"/>
                <w:szCs w:val="22"/>
              </w:rPr>
              <w:t>5</w:t>
            </w:r>
          </w:p>
        </w:tc>
        <w:tc>
          <w:tcPr>
            <w:tcW w:w="1559" w:type="dxa"/>
            <w:tcBorders>
              <w:top w:val="single" w:sz="4" w:space="0" w:color="000000"/>
              <w:left w:val="nil"/>
              <w:bottom w:val="single" w:sz="4" w:space="0" w:color="auto"/>
              <w:right w:val="single" w:sz="4" w:space="0" w:color="000000"/>
            </w:tcBorders>
            <w:shd w:val="clear" w:color="FFFFFF" w:fill="FFFFFF"/>
            <w:vAlign w:val="center"/>
          </w:tcPr>
          <w:p w14:paraId="6678559C" w14:textId="5EA91E53" w:rsidR="002555B9" w:rsidRPr="00C02341" w:rsidRDefault="002541BF" w:rsidP="002555B9">
            <w:pPr>
              <w:jc w:val="center"/>
              <w:rPr>
                <w:rFonts w:ascii="Arial" w:hAnsi="Arial" w:cs="Arial"/>
                <w:sz w:val="22"/>
                <w:szCs w:val="22"/>
              </w:rPr>
            </w:pPr>
            <w:r w:rsidRPr="00C02341">
              <w:rPr>
                <w:rFonts w:ascii="Arial" w:hAnsi="Arial" w:cs="Arial"/>
                <w:sz w:val="22"/>
                <w:szCs w:val="22"/>
              </w:rPr>
              <w:t>10</w:t>
            </w:r>
            <w:r w:rsidR="002555B9" w:rsidRPr="00C02341">
              <w:rPr>
                <w:rFonts w:ascii="Arial" w:hAnsi="Arial" w:cs="Arial"/>
                <w:sz w:val="22"/>
                <w:szCs w:val="22"/>
              </w:rPr>
              <w:t xml:space="preserve"> / 2</w:t>
            </w:r>
            <w:r w:rsidRPr="00C02341">
              <w:rPr>
                <w:rFonts w:ascii="Arial" w:hAnsi="Arial" w:cs="Arial"/>
                <w:sz w:val="22"/>
                <w:szCs w:val="22"/>
              </w:rPr>
              <w:t>5</w:t>
            </w:r>
          </w:p>
        </w:tc>
        <w:tc>
          <w:tcPr>
            <w:tcW w:w="2977" w:type="dxa"/>
            <w:tcBorders>
              <w:top w:val="single" w:sz="4" w:space="0" w:color="000000"/>
              <w:left w:val="nil"/>
              <w:bottom w:val="single" w:sz="4" w:space="0" w:color="auto"/>
              <w:right w:val="single" w:sz="4" w:space="0" w:color="000000"/>
            </w:tcBorders>
            <w:shd w:val="clear" w:color="FFFFFF" w:fill="FFFFFF"/>
            <w:vAlign w:val="center"/>
          </w:tcPr>
          <w:p w14:paraId="44DEECAB" w14:textId="1AB8DEDF" w:rsidR="002555B9" w:rsidRPr="00C02341" w:rsidRDefault="00396140" w:rsidP="002555B9">
            <w:pPr>
              <w:jc w:val="center"/>
              <w:rPr>
                <w:rFonts w:ascii="Arial" w:hAnsi="Arial" w:cs="Arial"/>
                <w:sz w:val="22"/>
                <w:szCs w:val="22"/>
              </w:rPr>
            </w:pPr>
            <w:r w:rsidRPr="00C02341">
              <w:rPr>
                <w:rFonts w:ascii="Arial" w:hAnsi="Arial" w:cs="Arial"/>
                <w:sz w:val="22"/>
                <w:szCs w:val="22"/>
              </w:rPr>
              <w:t>9</w:t>
            </w:r>
            <w:r w:rsidR="002555B9" w:rsidRPr="00C02341">
              <w:rPr>
                <w:rFonts w:ascii="Arial" w:hAnsi="Arial" w:cs="Arial"/>
                <w:sz w:val="22"/>
                <w:szCs w:val="22"/>
              </w:rPr>
              <w:t xml:space="preserve"> / 23</w:t>
            </w:r>
          </w:p>
          <w:p w14:paraId="31791DE9" w14:textId="3B27E867" w:rsidR="002541BF" w:rsidRPr="00C02341" w:rsidRDefault="007E7BF8" w:rsidP="002555B9">
            <w:pPr>
              <w:jc w:val="center"/>
              <w:rPr>
                <w:rFonts w:ascii="Arial" w:hAnsi="Arial" w:cs="Arial"/>
                <w:sz w:val="22"/>
                <w:szCs w:val="22"/>
              </w:rPr>
            </w:pPr>
            <w:r w:rsidRPr="00C02341">
              <w:rPr>
                <w:rFonts w:ascii="Arial" w:hAnsi="Arial" w:cs="Arial"/>
                <w:sz w:val="20"/>
                <w:szCs w:val="22"/>
              </w:rPr>
              <w:t xml:space="preserve">gubitak </w:t>
            </w:r>
            <w:r w:rsidR="002541BF" w:rsidRPr="00C02341">
              <w:rPr>
                <w:rFonts w:ascii="Arial" w:hAnsi="Arial" w:cs="Arial"/>
                <w:sz w:val="20"/>
                <w:szCs w:val="22"/>
              </w:rPr>
              <w:t>ortodoncije</w:t>
            </w:r>
            <w:r w:rsidRPr="00C02341">
              <w:rPr>
                <w:rFonts w:ascii="Arial" w:hAnsi="Arial" w:cs="Arial"/>
                <w:sz w:val="20"/>
                <w:szCs w:val="22"/>
              </w:rPr>
              <w:t xml:space="preserve"> u mreži</w:t>
            </w:r>
            <w:r w:rsidR="002541BF" w:rsidRPr="00C02341">
              <w:rPr>
                <w:rFonts w:ascii="Arial" w:hAnsi="Arial" w:cs="Arial"/>
                <w:sz w:val="20"/>
                <w:szCs w:val="22"/>
              </w:rPr>
              <w:t xml:space="preserve"> </w:t>
            </w:r>
          </w:p>
        </w:tc>
      </w:tr>
      <w:tr w:rsidR="00C02341" w:rsidRPr="00C02341" w14:paraId="78A82CFA" w14:textId="77777777" w:rsidTr="005D4009">
        <w:trPr>
          <w:trHeight w:val="507"/>
          <w:jc w:val="center"/>
        </w:trPr>
        <w:tc>
          <w:tcPr>
            <w:tcW w:w="3114"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75C51A3A" w14:textId="2BB720C0" w:rsidR="002555B9" w:rsidRPr="00C02341" w:rsidRDefault="002555B9" w:rsidP="002555B9">
            <w:pPr>
              <w:jc w:val="center"/>
              <w:rPr>
                <w:rFonts w:ascii="Arial" w:hAnsi="Arial" w:cs="Arial"/>
                <w:sz w:val="22"/>
                <w:szCs w:val="22"/>
              </w:rPr>
            </w:pPr>
            <w:r w:rsidRPr="00C02341">
              <w:rPr>
                <w:rFonts w:ascii="Arial" w:hAnsi="Arial" w:cs="Arial"/>
                <w:sz w:val="22"/>
                <w:szCs w:val="22"/>
              </w:rPr>
              <w:t>Broj sestara patronaže i zdravst</w:t>
            </w:r>
            <w:r w:rsidR="00603D77" w:rsidRPr="00C02341">
              <w:rPr>
                <w:rFonts w:ascii="Arial" w:hAnsi="Arial" w:cs="Arial"/>
                <w:sz w:val="22"/>
                <w:szCs w:val="22"/>
              </w:rPr>
              <w:t>vene</w:t>
            </w:r>
            <w:r w:rsidRPr="00C02341">
              <w:rPr>
                <w:rFonts w:ascii="Arial" w:hAnsi="Arial" w:cs="Arial"/>
                <w:sz w:val="22"/>
                <w:szCs w:val="22"/>
              </w:rPr>
              <w:t xml:space="preserve"> njege u kući </w:t>
            </w:r>
          </w:p>
        </w:tc>
        <w:tc>
          <w:tcPr>
            <w:tcW w:w="1559" w:type="dxa"/>
            <w:tcBorders>
              <w:top w:val="single" w:sz="4" w:space="0" w:color="auto"/>
              <w:left w:val="nil"/>
              <w:bottom w:val="single" w:sz="4" w:space="0" w:color="000000"/>
              <w:right w:val="single" w:sz="4" w:space="0" w:color="000000"/>
            </w:tcBorders>
            <w:shd w:val="clear" w:color="FFFFFF" w:fill="FFFFFF"/>
            <w:vAlign w:val="center"/>
          </w:tcPr>
          <w:p w14:paraId="258C23A6" w14:textId="40EC564B" w:rsidR="002555B9" w:rsidRPr="00C02341" w:rsidRDefault="00FF53B3" w:rsidP="00603D77">
            <w:pPr>
              <w:jc w:val="center"/>
              <w:rPr>
                <w:rFonts w:ascii="Arial" w:hAnsi="Arial" w:cs="Arial"/>
                <w:sz w:val="22"/>
                <w:szCs w:val="22"/>
              </w:rPr>
            </w:pPr>
            <w:r w:rsidRPr="00C02341">
              <w:rPr>
                <w:rFonts w:ascii="Arial" w:hAnsi="Arial" w:cs="Arial"/>
                <w:sz w:val="22"/>
                <w:szCs w:val="22"/>
              </w:rPr>
              <w:t>5</w:t>
            </w:r>
            <w:r w:rsidR="00A93AC5" w:rsidRPr="00C02341">
              <w:rPr>
                <w:rFonts w:ascii="Arial" w:hAnsi="Arial" w:cs="Arial"/>
                <w:sz w:val="22"/>
                <w:szCs w:val="22"/>
              </w:rPr>
              <w:t>1</w:t>
            </w:r>
            <w:r w:rsidRPr="00C02341">
              <w:rPr>
                <w:rFonts w:ascii="Arial" w:hAnsi="Arial" w:cs="Arial"/>
                <w:sz w:val="22"/>
                <w:szCs w:val="22"/>
              </w:rPr>
              <w:t xml:space="preserve">  </w:t>
            </w:r>
          </w:p>
        </w:tc>
        <w:tc>
          <w:tcPr>
            <w:tcW w:w="1559" w:type="dxa"/>
            <w:tcBorders>
              <w:top w:val="single" w:sz="4" w:space="0" w:color="auto"/>
              <w:left w:val="nil"/>
              <w:bottom w:val="single" w:sz="4" w:space="0" w:color="000000"/>
              <w:right w:val="single" w:sz="4" w:space="0" w:color="000000"/>
            </w:tcBorders>
            <w:shd w:val="clear" w:color="FFFFFF" w:fill="FFFFFF"/>
            <w:vAlign w:val="center"/>
          </w:tcPr>
          <w:p w14:paraId="0C406575" w14:textId="71A0A38D" w:rsidR="002555B9" w:rsidRPr="00C02341" w:rsidRDefault="00603D77" w:rsidP="00603D77">
            <w:pPr>
              <w:jc w:val="center"/>
              <w:rPr>
                <w:rFonts w:ascii="Arial" w:hAnsi="Arial" w:cs="Arial"/>
                <w:sz w:val="22"/>
                <w:szCs w:val="22"/>
              </w:rPr>
            </w:pPr>
            <w:r w:rsidRPr="00C02341">
              <w:rPr>
                <w:rFonts w:ascii="Arial" w:hAnsi="Arial" w:cs="Arial"/>
                <w:sz w:val="22"/>
                <w:szCs w:val="22"/>
              </w:rPr>
              <w:t>51</w:t>
            </w:r>
            <w:r w:rsidR="00FF53B3" w:rsidRPr="00C02341">
              <w:rPr>
                <w:rFonts w:ascii="Arial" w:hAnsi="Arial" w:cs="Arial"/>
                <w:sz w:val="22"/>
                <w:szCs w:val="22"/>
              </w:rPr>
              <w:t xml:space="preserve">  </w:t>
            </w:r>
          </w:p>
        </w:tc>
        <w:tc>
          <w:tcPr>
            <w:tcW w:w="2977" w:type="dxa"/>
            <w:tcBorders>
              <w:top w:val="single" w:sz="4" w:space="0" w:color="auto"/>
              <w:left w:val="nil"/>
              <w:bottom w:val="single" w:sz="4" w:space="0" w:color="000000"/>
              <w:right w:val="single" w:sz="4" w:space="0" w:color="000000"/>
            </w:tcBorders>
            <w:shd w:val="clear" w:color="FFFFFF" w:fill="FFFFFF"/>
            <w:vAlign w:val="center"/>
          </w:tcPr>
          <w:p w14:paraId="58AAA173" w14:textId="77777777" w:rsidR="00FF53B3" w:rsidRPr="00C02341" w:rsidRDefault="00FF53B3" w:rsidP="002555B9">
            <w:pPr>
              <w:jc w:val="center"/>
              <w:rPr>
                <w:rFonts w:ascii="Arial" w:hAnsi="Arial" w:cs="Arial"/>
                <w:sz w:val="22"/>
                <w:szCs w:val="22"/>
              </w:rPr>
            </w:pPr>
            <w:r w:rsidRPr="00C02341">
              <w:rPr>
                <w:rFonts w:ascii="Arial" w:hAnsi="Arial" w:cs="Arial"/>
                <w:sz w:val="22"/>
                <w:szCs w:val="22"/>
              </w:rPr>
              <w:t xml:space="preserve">49 </w:t>
            </w:r>
          </w:p>
          <w:p w14:paraId="7C860D11" w14:textId="740E1D46" w:rsidR="00FF53B3" w:rsidRPr="00C02341" w:rsidRDefault="00FF53B3" w:rsidP="002555B9">
            <w:pPr>
              <w:jc w:val="center"/>
              <w:rPr>
                <w:rFonts w:ascii="Arial" w:hAnsi="Arial" w:cs="Arial"/>
                <w:sz w:val="20"/>
                <w:szCs w:val="22"/>
              </w:rPr>
            </w:pPr>
            <w:r w:rsidRPr="00C02341">
              <w:rPr>
                <w:rFonts w:ascii="Arial" w:hAnsi="Arial" w:cs="Arial"/>
                <w:sz w:val="20"/>
                <w:szCs w:val="22"/>
              </w:rPr>
              <w:t>(</w:t>
            </w:r>
            <w:r w:rsidR="00603D77" w:rsidRPr="00C02341">
              <w:rPr>
                <w:rFonts w:ascii="Arial" w:hAnsi="Arial" w:cs="Arial"/>
                <w:sz w:val="20"/>
                <w:szCs w:val="22"/>
              </w:rPr>
              <w:t>2</w:t>
            </w:r>
            <w:r w:rsidRPr="00C02341">
              <w:rPr>
                <w:rFonts w:ascii="Arial" w:hAnsi="Arial" w:cs="Arial"/>
                <w:sz w:val="20"/>
                <w:szCs w:val="22"/>
              </w:rPr>
              <w:t xml:space="preserve"> poseban standard) </w:t>
            </w:r>
          </w:p>
          <w:p w14:paraId="1D80FE4A" w14:textId="0167A02A" w:rsidR="002555B9" w:rsidRPr="00C02341" w:rsidRDefault="00FF53B3" w:rsidP="002555B9">
            <w:pPr>
              <w:jc w:val="center"/>
              <w:rPr>
                <w:rFonts w:ascii="Arial" w:hAnsi="Arial" w:cs="Arial"/>
                <w:sz w:val="22"/>
                <w:szCs w:val="22"/>
              </w:rPr>
            </w:pPr>
            <w:r w:rsidRPr="00C02341">
              <w:rPr>
                <w:rFonts w:ascii="Arial" w:hAnsi="Arial" w:cs="Arial"/>
                <w:sz w:val="20"/>
                <w:szCs w:val="22"/>
              </w:rPr>
              <w:t xml:space="preserve">Mirovina </w:t>
            </w:r>
            <w:r w:rsidR="00C02341" w:rsidRPr="00C02341">
              <w:rPr>
                <w:rFonts w:ascii="Arial" w:hAnsi="Arial" w:cs="Arial"/>
                <w:sz w:val="20"/>
                <w:szCs w:val="22"/>
              </w:rPr>
              <w:t>dva</w:t>
            </w:r>
            <w:r w:rsidRPr="00C02341">
              <w:rPr>
                <w:rFonts w:ascii="Arial" w:hAnsi="Arial" w:cs="Arial"/>
                <w:sz w:val="20"/>
                <w:szCs w:val="22"/>
              </w:rPr>
              <w:t xml:space="preserve"> djelatnika patronaže</w:t>
            </w:r>
          </w:p>
        </w:tc>
      </w:tr>
      <w:tr w:rsidR="00C02341" w:rsidRPr="00C02341" w14:paraId="00168071" w14:textId="77777777" w:rsidTr="005D4009">
        <w:trPr>
          <w:trHeight w:val="501"/>
          <w:jc w:val="center"/>
        </w:trPr>
        <w:tc>
          <w:tcPr>
            <w:tcW w:w="3114"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66D279B0" w14:textId="77777777" w:rsidR="002555B9" w:rsidRPr="00C02341" w:rsidRDefault="002555B9" w:rsidP="002555B9">
            <w:pPr>
              <w:jc w:val="center"/>
              <w:rPr>
                <w:rFonts w:ascii="Arial" w:hAnsi="Arial" w:cs="Arial"/>
                <w:sz w:val="22"/>
                <w:szCs w:val="22"/>
              </w:rPr>
            </w:pPr>
            <w:r w:rsidRPr="00C02341">
              <w:rPr>
                <w:rFonts w:ascii="Arial" w:hAnsi="Arial" w:cs="Arial"/>
                <w:sz w:val="22"/>
                <w:szCs w:val="22"/>
              </w:rPr>
              <w:t>Broj timova medicine rada</w:t>
            </w:r>
          </w:p>
        </w:tc>
        <w:tc>
          <w:tcPr>
            <w:tcW w:w="1559" w:type="dxa"/>
            <w:tcBorders>
              <w:top w:val="single" w:sz="4" w:space="0" w:color="auto"/>
              <w:left w:val="nil"/>
              <w:bottom w:val="single" w:sz="4" w:space="0" w:color="000000"/>
              <w:right w:val="single" w:sz="4" w:space="0" w:color="000000"/>
            </w:tcBorders>
            <w:shd w:val="clear" w:color="FFFFFF" w:fill="FFFFFF"/>
            <w:vAlign w:val="center"/>
          </w:tcPr>
          <w:p w14:paraId="33935358" w14:textId="77777777" w:rsidR="002555B9" w:rsidRPr="00C02341" w:rsidRDefault="002555B9" w:rsidP="002555B9">
            <w:pPr>
              <w:jc w:val="center"/>
              <w:rPr>
                <w:rFonts w:ascii="Arial" w:hAnsi="Arial" w:cs="Arial"/>
                <w:sz w:val="22"/>
                <w:szCs w:val="22"/>
              </w:rPr>
            </w:pPr>
            <w:r w:rsidRPr="00C02341">
              <w:rPr>
                <w:rFonts w:ascii="Arial" w:hAnsi="Arial" w:cs="Arial"/>
                <w:sz w:val="22"/>
                <w:szCs w:val="22"/>
              </w:rPr>
              <w:t>2</w:t>
            </w:r>
          </w:p>
        </w:tc>
        <w:tc>
          <w:tcPr>
            <w:tcW w:w="1559" w:type="dxa"/>
            <w:tcBorders>
              <w:top w:val="single" w:sz="4" w:space="0" w:color="auto"/>
              <w:left w:val="nil"/>
              <w:bottom w:val="single" w:sz="4" w:space="0" w:color="000000"/>
              <w:right w:val="single" w:sz="4" w:space="0" w:color="000000"/>
            </w:tcBorders>
            <w:shd w:val="clear" w:color="FFFFFF" w:fill="FFFFFF"/>
            <w:vAlign w:val="center"/>
          </w:tcPr>
          <w:p w14:paraId="35F11ADB" w14:textId="77777777" w:rsidR="002555B9" w:rsidRPr="00C02341" w:rsidRDefault="002555B9" w:rsidP="002555B9">
            <w:pPr>
              <w:jc w:val="center"/>
              <w:rPr>
                <w:rFonts w:ascii="Arial" w:hAnsi="Arial" w:cs="Arial"/>
                <w:sz w:val="22"/>
                <w:szCs w:val="22"/>
              </w:rPr>
            </w:pPr>
            <w:r w:rsidRPr="00C02341">
              <w:rPr>
                <w:rFonts w:ascii="Arial" w:hAnsi="Arial" w:cs="Arial"/>
                <w:sz w:val="22"/>
                <w:szCs w:val="22"/>
              </w:rPr>
              <w:t>2</w:t>
            </w:r>
          </w:p>
        </w:tc>
        <w:tc>
          <w:tcPr>
            <w:tcW w:w="2977" w:type="dxa"/>
            <w:tcBorders>
              <w:top w:val="single" w:sz="4" w:space="0" w:color="auto"/>
              <w:left w:val="nil"/>
              <w:bottom w:val="single" w:sz="4" w:space="0" w:color="000000"/>
              <w:right w:val="single" w:sz="4" w:space="0" w:color="000000"/>
            </w:tcBorders>
            <w:shd w:val="clear" w:color="FFFFFF" w:fill="FFFFFF"/>
            <w:vAlign w:val="center"/>
          </w:tcPr>
          <w:p w14:paraId="7DA00CC3" w14:textId="77777777" w:rsidR="002555B9" w:rsidRPr="00C02341" w:rsidRDefault="002555B9" w:rsidP="002555B9">
            <w:pPr>
              <w:jc w:val="center"/>
              <w:rPr>
                <w:rFonts w:ascii="Arial" w:hAnsi="Arial" w:cs="Arial"/>
                <w:sz w:val="22"/>
                <w:szCs w:val="22"/>
              </w:rPr>
            </w:pPr>
            <w:r w:rsidRPr="00C02341">
              <w:rPr>
                <w:rFonts w:ascii="Arial" w:hAnsi="Arial" w:cs="Arial"/>
                <w:sz w:val="22"/>
                <w:szCs w:val="22"/>
              </w:rPr>
              <w:t>2</w:t>
            </w:r>
          </w:p>
        </w:tc>
      </w:tr>
      <w:tr w:rsidR="00C02341" w:rsidRPr="00C02341" w14:paraId="1CF440CD" w14:textId="77777777" w:rsidTr="005D4009">
        <w:trPr>
          <w:trHeight w:val="560"/>
          <w:jc w:val="center"/>
        </w:trPr>
        <w:tc>
          <w:tcPr>
            <w:tcW w:w="3114" w:type="dxa"/>
            <w:tcBorders>
              <w:top w:val="single" w:sz="4" w:space="0" w:color="auto"/>
              <w:left w:val="single" w:sz="4" w:space="0" w:color="000000"/>
              <w:bottom w:val="single" w:sz="4" w:space="0" w:color="auto"/>
              <w:right w:val="single" w:sz="4" w:space="0" w:color="000000"/>
            </w:tcBorders>
            <w:shd w:val="clear" w:color="FFFFFF" w:fill="FFFFFF"/>
            <w:vAlign w:val="center"/>
          </w:tcPr>
          <w:p w14:paraId="7A4A1C3B" w14:textId="77777777" w:rsidR="002555B9" w:rsidRPr="00C02341" w:rsidRDefault="002555B9" w:rsidP="002555B9">
            <w:pPr>
              <w:jc w:val="center"/>
              <w:rPr>
                <w:rFonts w:ascii="Arial" w:hAnsi="Arial" w:cs="Arial"/>
                <w:sz w:val="22"/>
                <w:szCs w:val="22"/>
              </w:rPr>
            </w:pPr>
            <w:r w:rsidRPr="00C02341">
              <w:rPr>
                <w:rFonts w:ascii="Arial" w:hAnsi="Arial" w:cs="Arial"/>
                <w:sz w:val="22"/>
                <w:szCs w:val="22"/>
              </w:rPr>
              <w:t>Broj medicinsko-</w:t>
            </w:r>
            <w:proofErr w:type="spellStart"/>
            <w:r w:rsidRPr="00C02341">
              <w:rPr>
                <w:rFonts w:ascii="Arial" w:hAnsi="Arial" w:cs="Arial"/>
                <w:sz w:val="22"/>
                <w:szCs w:val="22"/>
              </w:rPr>
              <w:t>biokem</w:t>
            </w:r>
            <w:proofErr w:type="spellEnd"/>
            <w:r w:rsidRPr="00C02341">
              <w:rPr>
                <w:rFonts w:ascii="Arial" w:hAnsi="Arial" w:cs="Arial"/>
                <w:sz w:val="22"/>
                <w:szCs w:val="22"/>
              </w:rPr>
              <w:t>. laboratorija</w:t>
            </w:r>
          </w:p>
        </w:tc>
        <w:tc>
          <w:tcPr>
            <w:tcW w:w="1559" w:type="dxa"/>
            <w:tcBorders>
              <w:top w:val="single" w:sz="4" w:space="0" w:color="auto"/>
              <w:left w:val="nil"/>
              <w:bottom w:val="single" w:sz="4" w:space="0" w:color="auto"/>
              <w:right w:val="single" w:sz="4" w:space="0" w:color="000000"/>
            </w:tcBorders>
            <w:shd w:val="clear" w:color="FFFFFF" w:fill="FFFFFF"/>
            <w:vAlign w:val="center"/>
          </w:tcPr>
          <w:p w14:paraId="0829F195" w14:textId="77777777" w:rsidR="002555B9" w:rsidRPr="00C02341" w:rsidRDefault="002555B9" w:rsidP="002555B9">
            <w:pPr>
              <w:jc w:val="center"/>
              <w:rPr>
                <w:rFonts w:ascii="Arial" w:hAnsi="Arial" w:cs="Arial"/>
                <w:sz w:val="22"/>
                <w:szCs w:val="22"/>
              </w:rPr>
            </w:pPr>
            <w:r w:rsidRPr="00C02341">
              <w:rPr>
                <w:rFonts w:ascii="Arial" w:hAnsi="Arial" w:cs="Arial"/>
                <w:sz w:val="22"/>
                <w:szCs w:val="22"/>
              </w:rPr>
              <w:t>5</w:t>
            </w:r>
          </w:p>
        </w:tc>
        <w:tc>
          <w:tcPr>
            <w:tcW w:w="1559" w:type="dxa"/>
            <w:tcBorders>
              <w:top w:val="single" w:sz="4" w:space="0" w:color="auto"/>
              <w:left w:val="nil"/>
              <w:bottom w:val="single" w:sz="4" w:space="0" w:color="auto"/>
              <w:right w:val="single" w:sz="4" w:space="0" w:color="000000"/>
            </w:tcBorders>
            <w:shd w:val="clear" w:color="FFFFFF" w:fill="FFFFFF"/>
            <w:vAlign w:val="center"/>
          </w:tcPr>
          <w:p w14:paraId="4C25A2D7" w14:textId="77777777" w:rsidR="002555B9" w:rsidRPr="00C02341" w:rsidRDefault="002555B9" w:rsidP="002555B9">
            <w:pPr>
              <w:jc w:val="center"/>
              <w:rPr>
                <w:rFonts w:ascii="Arial" w:hAnsi="Arial" w:cs="Arial"/>
                <w:sz w:val="22"/>
                <w:szCs w:val="22"/>
              </w:rPr>
            </w:pPr>
            <w:r w:rsidRPr="00C02341">
              <w:rPr>
                <w:rFonts w:ascii="Arial" w:hAnsi="Arial" w:cs="Arial"/>
                <w:sz w:val="22"/>
                <w:szCs w:val="22"/>
              </w:rPr>
              <w:t>5</w:t>
            </w:r>
          </w:p>
        </w:tc>
        <w:tc>
          <w:tcPr>
            <w:tcW w:w="2977" w:type="dxa"/>
            <w:tcBorders>
              <w:top w:val="single" w:sz="4" w:space="0" w:color="auto"/>
              <w:left w:val="nil"/>
              <w:bottom w:val="single" w:sz="4" w:space="0" w:color="auto"/>
              <w:right w:val="single" w:sz="4" w:space="0" w:color="000000"/>
            </w:tcBorders>
            <w:shd w:val="clear" w:color="FFFFFF" w:fill="FFFFFF"/>
            <w:vAlign w:val="center"/>
          </w:tcPr>
          <w:p w14:paraId="5AE4F768" w14:textId="77777777" w:rsidR="002555B9" w:rsidRPr="00C02341" w:rsidRDefault="002555B9" w:rsidP="002555B9">
            <w:pPr>
              <w:jc w:val="center"/>
              <w:rPr>
                <w:rFonts w:ascii="Arial" w:hAnsi="Arial" w:cs="Arial"/>
                <w:sz w:val="22"/>
                <w:szCs w:val="22"/>
              </w:rPr>
            </w:pPr>
            <w:r w:rsidRPr="00C02341">
              <w:rPr>
                <w:rFonts w:ascii="Arial" w:hAnsi="Arial" w:cs="Arial"/>
                <w:sz w:val="22"/>
                <w:szCs w:val="22"/>
              </w:rPr>
              <w:t>5</w:t>
            </w:r>
          </w:p>
        </w:tc>
      </w:tr>
      <w:tr w:rsidR="00C02341" w:rsidRPr="00C02341" w14:paraId="4745D340" w14:textId="77777777" w:rsidTr="005D4009">
        <w:trPr>
          <w:trHeight w:val="560"/>
          <w:jc w:val="center"/>
        </w:trPr>
        <w:tc>
          <w:tcPr>
            <w:tcW w:w="3114"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491CA3E6" w14:textId="65683A02" w:rsidR="005D4009" w:rsidRPr="00C02341" w:rsidRDefault="005D4009" w:rsidP="002555B9">
            <w:pPr>
              <w:jc w:val="center"/>
              <w:rPr>
                <w:rFonts w:ascii="Arial" w:hAnsi="Arial" w:cs="Arial"/>
                <w:sz w:val="22"/>
                <w:szCs w:val="22"/>
              </w:rPr>
            </w:pPr>
            <w:r w:rsidRPr="00C02341">
              <w:rPr>
                <w:rFonts w:ascii="Arial" w:hAnsi="Arial" w:cs="Arial"/>
                <w:sz w:val="22"/>
                <w:szCs w:val="22"/>
              </w:rPr>
              <w:t>Sufinanciranje stacionarne djelatnosti IŽ</w:t>
            </w:r>
          </w:p>
        </w:tc>
        <w:tc>
          <w:tcPr>
            <w:tcW w:w="1559" w:type="dxa"/>
            <w:tcBorders>
              <w:top w:val="single" w:sz="4" w:space="0" w:color="auto"/>
              <w:left w:val="nil"/>
              <w:bottom w:val="single" w:sz="4" w:space="0" w:color="000000"/>
              <w:right w:val="single" w:sz="4" w:space="0" w:color="000000"/>
            </w:tcBorders>
            <w:shd w:val="clear" w:color="FFFFFF" w:fill="FFFFFF"/>
            <w:vAlign w:val="center"/>
          </w:tcPr>
          <w:p w14:paraId="6AC896FE" w14:textId="6A86448D" w:rsidR="005D4009" w:rsidRPr="00C02341" w:rsidRDefault="005D4009" w:rsidP="002555B9">
            <w:pPr>
              <w:jc w:val="center"/>
              <w:rPr>
                <w:rFonts w:ascii="Arial" w:hAnsi="Arial" w:cs="Arial"/>
                <w:sz w:val="22"/>
                <w:szCs w:val="22"/>
              </w:rPr>
            </w:pPr>
            <w:r w:rsidRPr="00C02341">
              <w:rPr>
                <w:rFonts w:ascii="Arial" w:hAnsi="Arial" w:cs="Arial"/>
                <w:sz w:val="22"/>
                <w:szCs w:val="22"/>
              </w:rPr>
              <w:t>0</w:t>
            </w:r>
          </w:p>
        </w:tc>
        <w:tc>
          <w:tcPr>
            <w:tcW w:w="1559" w:type="dxa"/>
            <w:tcBorders>
              <w:top w:val="single" w:sz="4" w:space="0" w:color="auto"/>
              <w:left w:val="nil"/>
              <w:bottom w:val="single" w:sz="4" w:space="0" w:color="000000"/>
              <w:right w:val="single" w:sz="4" w:space="0" w:color="000000"/>
            </w:tcBorders>
            <w:shd w:val="clear" w:color="FFFFFF" w:fill="FFFFFF"/>
            <w:vAlign w:val="center"/>
          </w:tcPr>
          <w:p w14:paraId="2C558722" w14:textId="37FAF04F" w:rsidR="005D4009" w:rsidRPr="00C02341" w:rsidRDefault="005D4009" w:rsidP="002555B9">
            <w:pPr>
              <w:jc w:val="center"/>
              <w:rPr>
                <w:rFonts w:ascii="Arial" w:hAnsi="Arial" w:cs="Arial"/>
                <w:sz w:val="20"/>
                <w:szCs w:val="20"/>
              </w:rPr>
            </w:pPr>
            <w:r w:rsidRPr="00C02341">
              <w:rPr>
                <w:rFonts w:ascii="Arial" w:hAnsi="Arial" w:cs="Arial"/>
                <w:bCs/>
                <w:sz w:val="20"/>
                <w:szCs w:val="20"/>
              </w:rPr>
              <w:t>Sufinanciranje rada medicinskog osoblja na stacionarima</w:t>
            </w:r>
          </w:p>
        </w:tc>
        <w:tc>
          <w:tcPr>
            <w:tcW w:w="2977" w:type="dxa"/>
            <w:tcBorders>
              <w:top w:val="single" w:sz="4" w:space="0" w:color="auto"/>
              <w:left w:val="nil"/>
              <w:bottom w:val="single" w:sz="4" w:space="0" w:color="000000"/>
              <w:right w:val="single" w:sz="4" w:space="0" w:color="000000"/>
            </w:tcBorders>
            <w:shd w:val="clear" w:color="FFFFFF" w:fill="FFFFFF"/>
            <w:vAlign w:val="center"/>
          </w:tcPr>
          <w:p w14:paraId="682DFCBD" w14:textId="77A28451" w:rsidR="005D4009" w:rsidRPr="00C02341" w:rsidRDefault="005D4009" w:rsidP="002555B9">
            <w:pPr>
              <w:jc w:val="center"/>
              <w:rPr>
                <w:rFonts w:ascii="Arial" w:hAnsi="Arial" w:cs="Arial"/>
                <w:sz w:val="20"/>
                <w:szCs w:val="20"/>
              </w:rPr>
            </w:pPr>
            <w:r w:rsidRPr="00C02341">
              <w:rPr>
                <w:rFonts w:ascii="Arial" w:hAnsi="Arial" w:cs="Arial"/>
                <w:bCs/>
                <w:sz w:val="20"/>
                <w:szCs w:val="20"/>
              </w:rPr>
              <w:t xml:space="preserve">Zahvaljujući dodijeli sredstava Istarske županije u iznosu od 64.051 eura, sufinanciran rad medicinskog osoblja </w:t>
            </w:r>
            <w:r w:rsidR="00C02341">
              <w:rPr>
                <w:rFonts w:ascii="Arial" w:hAnsi="Arial" w:cs="Arial"/>
                <w:bCs/>
                <w:sz w:val="20"/>
                <w:szCs w:val="20"/>
              </w:rPr>
              <w:t>koje je u 2025. g. skrbilo za</w:t>
            </w:r>
            <w:r w:rsidRPr="00C02341">
              <w:rPr>
                <w:rFonts w:ascii="Arial" w:hAnsi="Arial" w:cs="Arial"/>
                <w:bCs/>
                <w:sz w:val="20"/>
                <w:szCs w:val="20"/>
              </w:rPr>
              <w:t xml:space="preserve"> 980 pacijenata</w:t>
            </w:r>
          </w:p>
        </w:tc>
      </w:tr>
    </w:tbl>
    <w:p w14:paraId="6166C127" w14:textId="77777777" w:rsidR="002555B9" w:rsidRPr="004F3556" w:rsidRDefault="002555B9" w:rsidP="002555B9">
      <w:pPr>
        <w:rPr>
          <w:rFonts w:ascii="Arial" w:hAnsi="Arial" w:cs="Arial"/>
          <w:sz w:val="22"/>
          <w:szCs w:val="22"/>
        </w:rPr>
      </w:pPr>
      <w:r w:rsidRPr="004F3556">
        <w:rPr>
          <w:rFonts w:ascii="Arial" w:hAnsi="Arial" w:cs="Arial"/>
          <w:sz w:val="22"/>
          <w:szCs w:val="22"/>
        </w:rPr>
        <w:t xml:space="preserve"> </w:t>
      </w:r>
    </w:p>
    <w:p w14:paraId="3E0CD65A" w14:textId="77777777" w:rsidR="002555B9" w:rsidRPr="004F3556" w:rsidRDefault="002555B9" w:rsidP="002555B9">
      <w:pPr>
        <w:rPr>
          <w:rFonts w:ascii="Arial" w:hAnsi="Arial" w:cs="Arial"/>
          <w:sz w:val="22"/>
          <w:szCs w:val="22"/>
        </w:rPr>
      </w:pPr>
    </w:p>
    <w:p w14:paraId="0D8804BA" w14:textId="77777777" w:rsidR="002555B9" w:rsidRPr="00C02341" w:rsidRDefault="002555B9" w:rsidP="002555B9">
      <w:pPr>
        <w:pStyle w:val="Odlomakpopisa"/>
        <w:numPr>
          <w:ilvl w:val="1"/>
          <w:numId w:val="42"/>
        </w:numPr>
        <w:rPr>
          <w:rFonts w:ascii="Arial" w:hAnsi="Arial" w:cs="Arial"/>
          <w:b/>
        </w:rPr>
      </w:pPr>
      <w:r w:rsidRPr="00C02341">
        <w:rPr>
          <w:rFonts w:ascii="Arial" w:hAnsi="Arial" w:cs="Arial"/>
          <w:b/>
        </w:rPr>
        <w:t>Osiguranje funkcionalnosti (A650202)</w:t>
      </w:r>
    </w:p>
    <w:p w14:paraId="362A18BB" w14:textId="77777777" w:rsidR="002555B9" w:rsidRPr="00C02341" w:rsidRDefault="002555B9" w:rsidP="002555B9">
      <w:pPr>
        <w:pStyle w:val="Odlomakpopisa"/>
        <w:rPr>
          <w:rFonts w:ascii="Arial" w:hAnsi="Arial" w:cs="Arial"/>
          <w:b/>
        </w:rPr>
      </w:pPr>
    </w:p>
    <w:p w14:paraId="08038A84" w14:textId="30BB0A11" w:rsidR="002555B9" w:rsidRPr="00C02341" w:rsidRDefault="002555B9" w:rsidP="002555B9">
      <w:pPr>
        <w:jc w:val="both"/>
        <w:rPr>
          <w:rFonts w:ascii="Arial" w:hAnsi="Arial" w:cs="Arial"/>
          <w:sz w:val="22"/>
          <w:szCs w:val="22"/>
        </w:rPr>
      </w:pPr>
      <w:r w:rsidRPr="00C02341">
        <w:rPr>
          <w:rFonts w:ascii="Arial" w:hAnsi="Arial" w:cs="Arial"/>
          <w:bCs/>
          <w:sz w:val="22"/>
          <w:szCs w:val="22"/>
        </w:rPr>
        <w:t>Poslovi na održavanju zgrada i opreme, zamjeni dotrajale medicinske i ostale opreme novom</w:t>
      </w:r>
      <w:r w:rsidR="00C02341" w:rsidRPr="00C02341">
        <w:rPr>
          <w:rFonts w:ascii="Arial" w:hAnsi="Arial" w:cs="Arial"/>
          <w:bCs/>
          <w:sz w:val="22"/>
          <w:szCs w:val="22"/>
        </w:rPr>
        <w:t>,</w:t>
      </w:r>
      <w:r w:rsidRPr="00C02341">
        <w:rPr>
          <w:rFonts w:ascii="Arial" w:hAnsi="Arial" w:cs="Arial"/>
          <w:bCs/>
          <w:sz w:val="22"/>
          <w:szCs w:val="22"/>
        </w:rPr>
        <w:t xml:space="preserve">  preduvjet su za osiguranje funkcionalnosti kontinuiteta pružanja zdravstvene zaštite. Aktivnost obuhvaća </w:t>
      </w:r>
      <w:r w:rsidRPr="00C02341">
        <w:rPr>
          <w:rFonts w:ascii="Arial" w:hAnsi="Arial" w:cs="Arial"/>
          <w:sz w:val="22"/>
          <w:szCs w:val="22"/>
        </w:rPr>
        <w:t xml:space="preserve">obavljanje svih stručno-administrativnih i pomoćnih poslova radi optimalnog funkcioniranja ustanove. U ovu je aktivnost uključeno </w:t>
      </w:r>
      <w:r w:rsidRPr="00C02341">
        <w:rPr>
          <w:rFonts w:ascii="Arial" w:hAnsi="Arial" w:cs="Arial"/>
          <w:bCs/>
          <w:sz w:val="22"/>
          <w:szCs w:val="22"/>
        </w:rPr>
        <w:t>12</w:t>
      </w:r>
      <w:r w:rsidR="00AF53AC" w:rsidRPr="00C02341">
        <w:rPr>
          <w:rFonts w:ascii="Arial" w:hAnsi="Arial" w:cs="Arial"/>
          <w:bCs/>
          <w:sz w:val="22"/>
          <w:szCs w:val="22"/>
        </w:rPr>
        <w:t>9</w:t>
      </w:r>
      <w:r w:rsidRPr="00C02341">
        <w:rPr>
          <w:rFonts w:ascii="Arial" w:hAnsi="Arial" w:cs="Arial"/>
          <w:bCs/>
          <w:sz w:val="22"/>
          <w:szCs w:val="22"/>
        </w:rPr>
        <w:t xml:space="preserve"> djelatnika.</w:t>
      </w:r>
      <w:r w:rsidR="004367E3" w:rsidRPr="00C02341">
        <w:rPr>
          <w:rFonts w:ascii="Arial" w:hAnsi="Arial" w:cs="Arial"/>
          <w:bCs/>
          <w:sz w:val="22"/>
          <w:szCs w:val="22"/>
        </w:rPr>
        <w:t xml:space="preserve"> </w:t>
      </w:r>
    </w:p>
    <w:p w14:paraId="0AE58F7F" w14:textId="77777777" w:rsidR="002555B9" w:rsidRPr="00C02341" w:rsidRDefault="002555B9" w:rsidP="002555B9">
      <w:pPr>
        <w:jc w:val="both"/>
        <w:rPr>
          <w:rFonts w:ascii="Arial" w:hAnsi="Arial" w:cs="Arial"/>
          <w:sz w:val="22"/>
          <w:szCs w:val="22"/>
        </w:rPr>
      </w:pPr>
    </w:p>
    <w:p w14:paraId="23BEAEB0" w14:textId="77777777" w:rsidR="002555B9" w:rsidRPr="004F3556" w:rsidRDefault="002555B9" w:rsidP="002555B9">
      <w:pPr>
        <w:ind w:left="2835" w:hanging="2835"/>
        <w:rPr>
          <w:rFonts w:ascii="Arial" w:hAnsi="Arial" w:cs="Arial"/>
          <w:sz w:val="22"/>
          <w:szCs w:val="22"/>
        </w:rPr>
      </w:pPr>
      <w:r w:rsidRPr="004F3556">
        <w:rPr>
          <w:rFonts w:ascii="Arial" w:hAnsi="Arial" w:cs="Arial"/>
          <w:sz w:val="22"/>
          <w:szCs w:val="22"/>
        </w:rPr>
        <w:t>CILJ USPJEŠNOSTI - 2.2.8. Ostale mjere iz samoupravnog djelokruga u području zdravstva</w:t>
      </w:r>
    </w:p>
    <w:p w14:paraId="152C6B86" w14:textId="087FB9DA" w:rsidR="00194C77" w:rsidRPr="004F3556" w:rsidRDefault="00194C77" w:rsidP="002555B9">
      <w:pPr>
        <w:rPr>
          <w:rFonts w:ascii="Arial" w:hAnsi="Arial" w:cs="Arial"/>
          <w:sz w:val="22"/>
          <w:szCs w:val="22"/>
        </w:rPr>
      </w:pPr>
    </w:p>
    <w:p w14:paraId="73DEF908" w14:textId="77777777" w:rsidR="002555B9" w:rsidRPr="004F3556" w:rsidRDefault="002555B9" w:rsidP="002555B9">
      <w:pPr>
        <w:jc w:val="both"/>
        <w:rPr>
          <w:rFonts w:ascii="Arial" w:hAnsi="Arial" w:cs="Arial"/>
          <w:sz w:val="22"/>
          <w:szCs w:val="22"/>
        </w:rPr>
      </w:pPr>
      <w:r w:rsidRPr="004F3556">
        <w:rPr>
          <w:rFonts w:ascii="Arial" w:hAnsi="Arial" w:cs="Arial"/>
          <w:sz w:val="22"/>
          <w:szCs w:val="22"/>
        </w:rPr>
        <w:t>POKAZATELJI USPJEŠNOSTI</w:t>
      </w:r>
    </w:p>
    <w:tbl>
      <w:tblPr>
        <w:tblW w:w="9634" w:type="dxa"/>
        <w:jc w:val="center"/>
        <w:tblLayout w:type="fixed"/>
        <w:tblLook w:val="04A0" w:firstRow="1" w:lastRow="0" w:firstColumn="1" w:lastColumn="0" w:noHBand="0" w:noVBand="1"/>
      </w:tblPr>
      <w:tblGrid>
        <w:gridCol w:w="1696"/>
        <w:gridCol w:w="2127"/>
        <w:gridCol w:w="1984"/>
        <w:gridCol w:w="3827"/>
      </w:tblGrid>
      <w:tr w:rsidR="00C02341" w:rsidRPr="00C02341" w14:paraId="6252F069" w14:textId="77777777" w:rsidTr="004367E3">
        <w:trPr>
          <w:trHeight w:val="797"/>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4C049CDE" w14:textId="774D51F0" w:rsidR="0052172F" w:rsidRPr="00C02341" w:rsidRDefault="0052172F" w:rsidP="0052172F">
            <w:pPr>
              <w:jc w:val="center"/>
              <w:rPr>
                <w:rFonts w:ascii="Arial" w:hAnsi="Arial" w:cs="Arial"/>
                <w:b/>
                <w:bCs/>
                <w:sz w:val="22"/>
                <w:szCs w:val="22"/>
              </w:rPr>
            </w:pPr>
            <w:r w:rsidRPr="00C02341">
              <w:rPr>
                <w:rFonts w:ascii="Arial" w:hAnsi="Arial" w:cs="Arial"/>
                <w:b/>
                <w:bCs/>
                <w:sz w:val="22"/>
                <w:szCs w:val="22"/>
              </w:rPr>
              <w:t xml:space="preserve">Pokazatelj rezultata </w:t>
            </w:r>
          </w:p>
        </w:tc>
        <w:tc>
          <w:tcPr>
            <w:tcW w:w="2127"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6802DF51" w14:textId="716732C2" w:rsidR="0052172F" w:rsidRPr="00C02341" w:rsidRDefault="0052172F" w:rsidP="0052172F">
            <w:pPr>
              <w:jc w:val="center"/>
              <w:rPr>
                <w:rFonts w:ascii="Arial" w:hAnsi="Arial" w:cs="Arial"/>
                <w:b/>
                <w:bCs/>
                <w:sz w:val="22"/>
                <w:szCs w:val="22"/>
              </w:rPr>
            </w:pPr>
            <w:r w:rsidRPr="00C02341">
              <w:rPr>
                <w:rFonts w:ascii="Arial" w:hAnsi="Arial" w:cs="Arial"/>
                <w:b/>
                <w:bCs/>
                <w:sz w:val="22"/>
                <w:szCs w:val="22"/>
              </w:rPr>
              <w:t>Početna vrijednost</w:t>
            </w:r>
            <w:r w:rsidRPr="00C02341">
              <w:rPr>
                <w:rFonts w:ascii="Arial" w:hAnsi="Arial" w:cs="Arial"/>
                <w:b/>
                <w:bCs/>
                <w:sz w:val="22"/>
                <w:szCs w:val="22"/>
              </w:rPr>
              <w:br/>
              <w:t>(2025.)</w:t>
            </w:r>
          </w:p>
        </w:tc>
        <w:tc>
          <w:tcPr>
            <w:tcW w:w="1984"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513E0B21" w14:textId="3D934D69" w:rsidR="0052172F" w:rsidRPr="00C02341" w:rsidRDefault="0052172F" w:rsidP="0052172F">
            <w:pPr>
              <w:jc w:val="center"/>
              <w:rPr>
                <w:rFonts w:ascii="Arial" w:hAnsi="Arial" w:cs="Arial"/>
                <w:b/>
                <w:bCs/>
                <w:sz w:val="22"/>
                <w:szCs w:val="22"/>
              </w:rPr>
            </w:pPr>
            <w:r w:rsidRPr="00C02341">
              <w:rPr>
                <w:rFonts w:ascii="Arial" w:hAnsi="Arial" w:cs="Arial"/>
                <w:b/>
                <w:bCs/>
                <w:sz w:val="22"/>
                <w:szCs w:val="22"/>
              </w:rPr>
              <w:t>Ciljna</w:t>
            </w:r>
            <w:r w:rsidRPr="00C02341">
              <w:rPr>
                <w:rFonts w:ascii="Arial" w:hAnsi="Arial" w:cs="Arial"/>
                <w:b/>
                <w:bCs/>
                <w:sz w:val="22"/>
                <w:szCs w:val="22"/>
              </w:rPr>
              <w:br/>
              <w:t>vrijednost</w:t>
            </w:r>
            <w:r w:rsidRPr="00C02341">
              <w:rPr>
                <w:rFonts w:ascii="Arial" w:hAnsi="Arial" w:cs="Arial"/>
                <w:b/>
                <w:bCs/>
                <w:sz w:val="22"/>
                <w:szCs w:val="22"/>
              </w:rPr>
              <w:br/>
              <w:t>2025.</w:t>
            </w:r>
          </w:p>
        </w:tc>
        <w:tc>
          <w:tcPr>
            <w:tcW w:w="3827"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543DCF9F" w14:textId="3D10D848" w:rsidR="0052172F" w:rsidRPr="00C02341" w:rsidRDefault="0052172F" w:rsidP="0052172F">
            <w:pPr>
              <w:jc w:val="center"/>
              <w:rPr>
                <w:rFonts w:ascii="Arial" w:hAnsi="Arial" w:cs="Arial"/>
                <w:b/>
                <w:bCs/>
                <w:sz w:val="22"/>
                <w:szCs w:val="22"/>
              </w:rPr>
            </w:pPr>
            <w:r w:rsidRPr="00C02341">
              <w:rPr>
                <w:rFonts w:ascii="Arial" w:hAnsi="Arial" w:cs="Arial"/>
                <w:b/>
                <w:bCs/>
                <w:sz w:val="22"/>
                <w:szCs w:val="22"/>
              </w:rPr>
              <w:t>Ostvarena vrijednost u periodu 01.-12/2025.</w:t>
            </w:r>
          </w:p>
        </w:tc>
      </w:tr>
      <w:tr w:rsidR="00C02341" w:rsidRPr="00C02341" w14:paraId="768477DF" w14:textId="77777777" w:rsidTr="004367E3">
        <w:trPr>
          <w:trHeight w:val="455"/>
          <w:jc w:val="center"/>
        </w:trPr>
        <w:tc>
          <w:tcPr>
            <w:tcW w:w="1696" w:type="dxa"/>
            <w:tcBorders>
              <w:top w:val="nil"/>
              <w:left w:val="single" w:sz="4" w:space="0" w:color="000000"/>
              <w:bottom w:val="single" w:sz="4" w:space="0" w:color="000000"/>
              <w:right w:val="single" w:sz="4" w:space="0" w:color="000000"/>
            </w:tcBorders>
            <w:shd w:val="clear" w:color="FFFFFF" w:fill="FFFFFF"/>
            <w:vAlign w:val="center"/>
          </w:tcPr>
          <w:p w14:paraId="22DDCA55" w14:textId="77777777" w:rsidR="002555B9" w:rsidRPr="00C02341" w:rsidRDefault="002555B9" w:rsidP="002555B9">
            <w:pPr>
              <w:jc w:val="center"/>
              <w:rPr>
                <w:rFonts w:ascii="Arial" w:hAnsi="Arial" w:cs="Arial"/>
                <w:sz w:val="22"/>
                <w:szCs w:val="22"/>
              </w:rPr>
            </w:pPr>
            <w:r w:rsidRPr="00C02341">
              <w:rPr>
                <w:rFonts w:ascii="Arial" w:hAnsi="Arial" w:cs="Arial"/>
                <w:sz w:val="22"/>
                <w:szCs w:val="22"/>
              </w:rPr>
              <w:t>Osiguran kontinuitet pružanja zdravstvene zaštite</w:t>
            </w:r>
          </w:p>
        </w:tc>
        <w:tc>
          <w:tcPr>
            <w:tcW w:w="2127" w:type="dxa"/>
            <w:tcBorders>
              <w:top w:val="nil"/>
              <w:left w:val="nil"/>
              <w:bottom w:val="single" w:sz="4" w:space="0" w:color="000000"/>
              <w:right w:val="single" w:sz="4" w:space="0" w:color="000000"/>
            </w:tcBorders>
            <w:shd w:val="clear" w:color="FFFFFF" w:fill="FFFFFF"/>
            <w:vAlign w:val="center"/>
          </w:tcPr>
          <w:p w14:paraId="31A7DEB8" w14:textId="77777777" w:rsidR="002555B9" w:rsidRPr="00C02341" w:rsidRDefault="002555B9" w:rsidP="002555B9">
            <w:pPr>
              <w:jc w:val="center"/>
              <w:rPr>
                <w:rFonts w:ascii="Arial" w:hAnsi="Arial" w:cs="Arial"/>
                <w:sz w:val="22"/>
                <w:szCs w:val="22"/>
              </w:rPr>
            </w:pPr>
            <w:r w:rsidRPr="00C02341">
              <w:rPr>
                <w:rFonts w:ascii="Arial" w:hAnsi="Arial" w:cs="Arial"/>
                <w:sz w:val="22"/>
                <w:szCs w:val="22"/>
              </w:rPr>
              <w:t>Uspješno obavljeni svi opći i pomoćni poslovi radi pravovremenog tijeka pružanja zdrav. zaštite</w:t>
            </w:r>
          </w:p>
        </w:tc>
        <w:tc>
          <w:tcPr>
            <w:tcW w:w="1984" w:type="dxa"/>
            <w:tcBorders>
              <w:top w:val="nil"/>
              <w:left w:val="nil"/>
              <w:bottom w:val="single" w:sz="4" w:space="0" w:color="000000"/>
              <w:right w:val="single" w:sz="4" w:space="0" w:color="000000"/>
            </w:tcBorders>
            <w:shd w:val="clear" w:color="FFFFFF" w:fill="FFFFFF"/>
            <w:vAlign w:val="center"/>
          </w:tcPr>
          <w:p w14:paraId="10180965" w14:textId="77777777" w:rsidR="002555B9" w:rsidRPr="00C02341" w:rsidRDefault="002555B9" w:rsidP="002555B9">
            <w:pPr>
              <w:ind w:hanging="106"/>
              <w:jc w:val="center"/>
              <w:rPr>
                <w:rFonts w:ascii="Arial" w:hAnsi="Arial" w:cs="Arial"/>
                <w:sz w:val="22"/>
                <w:szCs w:val="22"/>
              </w:rPr>
            </w:pPr>
            <w:r w:rsidRPr="00C02341">
              <w:rPr>
                <w:rFonts w:ascii="Arial" w:hAnsi="Arial" w:cs="Arial"/>
                <w:sz w:val="22"/>
                <w:szCs w:val="22"/>
              </w:rPr>
              <w:t>Uspješno obavljeni svi opći i pomoćni poslovi radi pravovremenog tijeka pružanja zdrav. zaštite</w:t>
            </w:r>
          </w:p>
        </w:tc>
        <w:tc>
          <w:tcPr>
            <w:tcW w:w="3827" w:type="dxa"/>
            <w:tcBorders>
              <w:top w:val="nil"/>
              <w:left w:val="nil"/>
              <w:bottom w:val="single" w:sz="4" w:space="0" w:color="000000"/>
              <w:right w:val="single" w:sz="4" w:space="0" w:color="000000"/>
            </w:tcBorders>
            <w:shd w:val="clear" w:color="FFFFFF" w:fill="FFFFFF"/>
            <w:vAlign w:val="center"/>
          </w:tcPr>
          <w:p w14:paraId="2FFC20D6" w14:textId="21575279" w:rsidR="002555B9" w:rsidRPr="00C02341" w:rsidRDefault="002555B9" w:rsidP="004367E3">
            <w:pPr>
              <w:jc w:val="center"/>
              <w:rPr>
                <w:rFonts w:ascii="Arial" w:hAnsi="Arial" w:cs="Arial"/>
                <w:sz w:val="22"/>
                <w:szCs w:val="22"/>
              </w:rPr>
            </w:pPr>
            <w:r w:rsidRPr="00C02341">
              <w:rPr>
                <w:rFonts w:ascii="Arial" w:hAnsi="Arial" w:cs="Arial"/>
                <w:sz w:val="22"/>
                <w:szCs w:val="22"/>
              </w:rPr>
              <w:t xml:space="preserve">Uspješno obavljeni svi opći i pomoćni poslovi radi pravovremenog tijeka pružanja zdrav. </w:t>
            </w:r>
            <w:r w:rsidR="004367E3" w:rsidRPr="00C02341">
              <w:rPr>
                <w:rFonts w:ascii="Arial" w:hAnsi="Arial" w:cs="Arial"/>
                <w:sz w:val="22"/>
                <w:szCs w:val="22"/>
              </w:rPr>
              <w:t>z</w:t>
            </w:r>
            <w:r w:rsidRPr="00C02341">
              <w:rPr>
                <w:rFonts w:ascii="Arial" w:hAnsi="Arial" w:cs="Arial"/>
                <w:sz w:val="22"/>
                <w:szCs w:val="22"/>
              </w:rPr>
              <w:t>aštite</w:t>
            </w:r>
            <w:r w:rsidR="004367E3" w:rsidRPr="00C02341">
              <w:rPr>
                <w:rFonts w:ascii="Arial" w:hAnsi="Arial" w:cs="Arial"/>
                <w:sz w:val="22"/>
                <w:szCs w:val="22"/>
              </w:rPr>
              <w:t xml:space="preserve">. </w:t>
            </w:r>
          </w:p>
        </w:tc>
      </w:tr>
    </w:tbl>
    <w:p w14:paraId="52F7A6D0" w14:textId="77777777" w:rsidR="002555B9" w:rsidRPr="004F3556" w:rsidRDefault="002555B9" w:rsidP="002555B9">
      <w:pPr>
        <w:rPr>
          <w:rFonts w:ascii="Arial" w:hAnsi="Arial" w:cs="Arial"/>
          <w:sz w:val="22"/>
          <w:szCs w:val="22"/>
        </w:rPr>
      </w:pPr>
    </w:p>
    <w:p w14:paraId="1DB0F47D" w14:textId="77777777" w:rsidR="002555B9" w:rsidRPr="004F3556" w:rsidRDefault="002555B9" w:rsidP="002555B9">
      <w:pPr>
        <w:rPr>
          <w:rFonts w:ascii="Arial" w:hAnsi="Arial" w:cs="Arial"/>
          <w:sz w:val="22"/>
          <w:szCs w:val="22"/>
        </w:rPr>
      </w:pPr>
    </w:p>
    <w:p w14:paraId="28A02D43" w14:textId="77777777" w:rsidR="002555B9" w:rsidRPr="004F3556" w:rsidRDefault="002555B9" w:rsidP="002555B9">
      <w:pPr>
        <w:pStyle w:val="Odlomakpopisa"/>
        <w:numPr>
          <w:ilvl w:val="1"/>
          <w:numId w:val="42"/>
        </w:numPr>
        <w:rPr>
          <w:rFonts w:ascii="Arial" w:hAnsi="Arial" w:cs="Arial"/>
          <w:b/>
        </w:rPr>
      </w:pPr>
      <w:r w:rsidRPr="004F3556">
        <w:rPr>
          <w:rFonts w:ascii="Arial" w:hAnsi="Arial" w:cs="Arial"/>
          <w:b/>
        </w:rPr>
        <w:t>Provođenje palijativne skrbi s posudionicom medicinskih pomagala (A650203)</w:t>
      </w:r>
    </w:p>
    <w:p w14:paraId="0D52244D" w14:textId="36C21C75" w:rsidR="002555B9" w:rsidRPr="004F3556" w:rsidRDefault="00A21C60" w:rsidP="00DC27DD">
      <w:pPr>
        <w:spacing w:before="100" w:beforeAutospacing="1" w:after="100" w:afterAutospacing="1" w:line="276" w:lineRule="auto"/>
        <w:jc w:val="both"/>
        <w:rPr>
          <w:rFonts w:ascii="Arial" w:hAnsi="Arial" w:cs="Arial"/>
          <w:sz w:val="22"/>
          <w:szCs w:val="22"/>
        </w:rPr>
      </w:pPr>
      <w:r w:rsidRPr="00C02341">
        <w:rPr>
          <w:rFonts w:ascii="Arial" w:hAnsi="Arial" w:cs="Arial"/>
          <w:sz w:val="22"/>
          <w:szCs w:val="22"/>
        </w:rPr>
        <w:t xml:space="preserve">Palijativna skrb je cjelovit pristup koji ima za cilj unaprijediti kvalitetu života osoba suočenih s teškim i neizlječivim bolestima, kao i pružiti podršku njihovim obiteljima. Obuhvaća zdravstvenu, psihološku, socijalnu i duhovnu podršku, s ciljem ublažavanja patnje i očuvanja dostojanstva pacijenta. Osnovna ideja palijativne skrbi je pružanje potrebne pomoći bez obzira na mjesto boravka bolesnika, bilo u vlastitom domu ili zdravstvenoj ustanovi, uz stalno nastojanje da se </w:t>
      </w:r>
      <w:r w:rsidRPr="00C02341">
        <w:rPr>
          <w:rFonts w:ascii="Arial" w:hAnsi="Arial" w:cs="Arial"/>
          <w:sz w:val="22"/>
          <w:szCs w:val="22"/>
        </w:rPr>
        <w:lastRenderedPageBreak/>
        <w:t>održi što viša kvaliteta života sve do njegova kraja. Ova aktivnost započela je 2011. godine u sklopu „Projekta izvanbolničke palijativne skrbi u Istarskoj županiji“, dok se od 2017. godine financira i putem ugovornog odnosa s HZZO-om. Uz ugovorene timove palijativne skrbi, u cilju pružanja što kvalitetnije usluge pacijentima, uključuju se i vanjski suradnici različitih specijalnosti, poput neurologa, kirurga, psihijatara i socijalnih radnika, čiji se rad financira iz sredstava Istarske županije. Neprekidna dostupnost skrbi osigurana je i kroz pripravnost tijekom vikenda i blagdana. Kako bi se dodatno olakšala svakodnevica teško bolesnih pacijenata na kućnoj njezi i njihovih obitelji, organizirana je posudionica medicinskih pomagala. Ona omogućuje besplatno korištenje potrebne opreme poput bolničkih kreveta, hodalica, invalidskih kolica, koncentratora kisika i sličnih pomagala, uz stalnu suradnju s drugim ustanovama i udrugama na području Istarske županije.</w:t>
      </w:r>
    </w:p>
    <w:p w14:paraId="234766A8" w14:textId="77777777" w:rsidR="002555B9" w:rsidRPr="004F3556" w:rsidRDefault="002555B9" w:rsidP="002555B9">
      <w:pPr>
        <w:ind w:left="2835" w:hanging="2835"/>
        <w:rPr>
          <w:rFonts w:ascii="Arial" w:hAnsi="Arial" w:cs="Arial"/>
          <w:sz w:val="22"/>
          <w:szCs w:val="22"/>
        </w:rPr>
      </w:pPr>
      <w:r w:rsidRPr="00BA700C">
        <w:rPr>
          <w:rFonts w:ascii="Arial" w:hAnsi="Arial" w:cs="Arial"/>
          <w:sz w:val="22"/>
          <w:szCs w:val="22"/>
        </w:rPr>
        <w:t>CILJ USPJEŠNOSTI - 2.2.1. Uvođenje i korištenje novih tehnologija u prevenciji, ranom otkrivanju, liječenju i rehabilitaciji</w:t>
      </w:r>
    </w:p>
    <w:p w14:paraId="0539F5DB" w14:textId="77777777" w:rsidR="002555B9" w:rsidRPr="004F3556" w:rsidRDefault="002555B9" w:rsidP="002555B9">
      <w:pPr>
        <w:rPr>
          <w:rFonts w:ascii="Arial" w:hAnsi="Arial" w:cs="Arial"/>
          <w:sz w:val="22"/>
          <w:szCs w:val="22"/>
        </w:rPr>
      </w:pPr>
    </w:p>
    <w:p w14:paraId="1B99763A" w14:textId="77777777" w:rsidR="002555B9" w:rsidRPr="004F3556" w:rsidRDefault="002555B9" w:rsidP="002555B9">
      <w:pPr>
        <w:jc w:val="both"/>
        <w:rPr>
          <w:rFonts w:ascii="Arial" w:hAnsi="Arial" w:cs="Arial"/>
          <w:sz w:val="22"/>
          <w:szCs w:val="22"/>
        </w:rPr>
      </w:pPr>
      <w:r w:rsidRPr="004F3556">
        <w:rPr>
          <w:rFonts w:ascii="Arial" w:hAnsi="Arial" w:cs="Arial"/>
          <w:sz w:val="22"/>
          <w:szCs w:val="22"/>
        </w:rPr>
        <w:t>POKAZATELJI USPJEŠNOSTI</w:t>
      </w:r>
    </w:p>
    <w:tbl>
      <w:tblPr>
        <w:tblW w:w="9210" w:type="dxa"/>
        <w:jc w:val="center"/>
        <w:tblLayout w:type="fixed"/>
        <w:tblLook w:val="04A0" w:firstRow="1" w:lastRow="0" w:firstColumn="1" w:lastColumn="0" w:noHBand="0" w:noVBand="1"/>
      </w:tblPr>
      <w:tblGrid>
        <w:gridCol w:w="3397"/>
        <w:gridCol w:w="1843"/>
        <w:gridCol w:w="1701"/>
        <w:gridCol w:w="2269"/>
      </w:tblGrid>
      <w:tr w:rsidR="00C02341" w:rsidRPr="00C02341" w14:paraId="5FC08213" w14:textId="77777777" w:rsidTr="002555B9">
        <w:trPr>
          <w:trHeight w:val="797"/>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6959543A" w14:textId="77057D49" w:rsidR="0052172F" w:rsidRPr="00C02341" w:rsidRDefault="0052172F" w:rsidP="0052172F">
            <w:pPr>
              <w:jc w:val="center"/>
              <w:rPr>
                <w:rFonts w:ascii="Arial" w:hAnsi="Arial" w:cs="Arial"/>
                <w:b/>
                <w:bCs/>
                <w:sz w:val="22"/>
                <w:szCs w:val="22"/>
              </w:rPr>
            </w:pPr>
            <w:r w:rsidRPr="00C02341">
              <w:rPr>
                <w:rFonts w:ascii="Arial" w:hAnsi="Arial" w:cs="Arial"/>
                <w:b/>
                <w:bCs/>
                <w:sz w:val="22"/>
                <w:szCs w:val="22"/>
              </w:rPr>
              <w:t xml:space="preserve">Pokazatelj rezultata </w:t>
            </w:r>
          </w:p>
        </w:tc>
        <w:tc>
          <w:tcPr>
            <w:tcW w:w="1843"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23012803" w14:textId="409AA7FE" w:rsidR="0052172F" w:rsidRPr="00C02341" w:rsidRDefault="0052172F" w:rsidP="0052172F">
            <w:pPr>
              <w:jc w:val="center"/>
              <w:rPr>
                <w:rFonts w:ascii="Arial" w:hAnsi="Arial" w:cs="Arial"/>
                <w:b/>
                <w:bCs/>
                <w:sz w:val="22"/>
                <w:szCs w:val="22"/>
              </w:rPr>
            </w:pPr>
            <w:r w:rsidRPr="00C02341">
              <w:rPr>
                <w:rFonts w:ascii="Arial" w:hAnsi="Arial" w:cs="Arial"/>
                <w:b/>
                <w:bCs/>
                <w:sz w:val="22"/>
                <w:szCs w:val="22"/>
              </w:rPr>
              <w:t>Početna vrijednost</w:t>
            </w:r>
            <w:r w:rsidRPr="00C02341">
              <w:rPr>
                <w:rFonts w:ascii="Arial" w:hAnsi="Arial" w:cs="Arial"/>
                <w:b/>
                <w:bCs/>
                <w:sz w:val="22"/>
                <w:szCs w:val="22"/>
              </w:rPr>
              <w:br/>
              <w:t>(2025.)</w:t>
            </w:r>
          </w:p>
        </w:tc>
        <w:tc>
          <w:tcPr>
            <w:tcW w:w="1701"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7E68C6FD" w14:textId="08668958" w:rsidR="0052172F" w:rsidRPr="00C02341" w:rsidRDefault="0052172F" w:rsidP="0052172F">
            <w:pPr>
              <w:jc w:val="center"/>
              <w:rPr>
                <w:rFonts w:ascii="Arial" w:hAnsi="Arial" w:cs="Arial"/>
                <w:b/>
                <w:bCs/>
                <w:sz w:val="22"/>
                <w:szCs w:val="22"/>
              </w:rPr>
            </w:pPr>
            <w:r w:rsidRPr="00C02341">
              <w:rPr>
                <w:rFonts w:ascii="Arial" w:hAnsi="Arial" w:cs="Arial"/>
                <w:b/>
                <w:bCs/>
                <w:sz w:val="22"/>
                <w:szCs w:val="22"/>
              </w:rPr>
              <w:t>Ciljna</w:t>
            </w:r>
            <w:r w:rsidRPr="00C02341">
              <w:rPr>
                <w:rFonts w:ascii="Arial" w:hAnsi="Arial" w:cs="Arial"/>
                <w:b/>
                <w:bCs/>
                <w:sz w:val="22"/>
                <w:szCs w:val="22"/>
              </w:rPr>
              <w:br/>
              <w:t>vrijednost</w:t>
            </w:r>
            <w:r w:rsidRPr="00C02341">
              <w:rPr>
                <w:rFonts w:ascii="Arial" w:hAnsi="Arial" w:cs="Arial"/>
                <w:b/>
                <w:bCs/>
                <w:sz w:val="22"/>
                <w:szCs w:val="22"/>
              </w:rPr>
              <w:br/>
              <w:t>2025.</w:t>
            </w:r>
          </w:p>
        </w:tc>
        <w:tc>
          <w:tcPr>
            <w:tcW w:w="2269"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14A6D831" w14:textId="4DF7CDEC" w:rsidR="0052172F" w:rsidRPr="00C02341" w:rsidRDefault="0052172F" w:rsidP="0052172F">
            <w:pPr>
              <w:jc w:val="center"/>
              <w:rPr>
                <w:rFonts w:ascii="Arial" w:hAnsi="Arial" w:cs="Arial"/>
                <w:b/>
                <w:bCs/>
                <w:sz w:val="22"/>
                <w:szCs w:val="22"/>
              </w:rPr>
            </w:pPr>
            <w:r w:rsidRPr="00C02341">
              <w:rPr>
                <w:rFonts w:ascii="Arial" w:hAnsi="Arial" w:cs="Arial"/>
                <w:b/>
                <w:bCs/>
                <w:sz w:val="22"/>
                <w:szCs w:val="22"/>
              </w:rPr>
              <w:t>Ostvarena vrijednost u periodu 01.-12/2025.</w:t>
            </w:r>
          </w:p>
        </w:tc>
      </w:tr>
      <w:tr w:rsidR="00C02341" w:rsidRPr="00C02341" w14:paraId="0C21DD20" w14:textId="77777777" w:rsidTr="002555B9">
        <w:trPr>
          <w:trHeight w:val="455"/>
          <w:jc w:val="center"/>
        </w:trPr>
        <w:tc>
          <w:tcPr>
            <w:tcW w:w="3397" w:type="dxa"/>
            <w:tcBorders>
              <w:top w:val="nil"/>
              <w:left w:val="single" w:sz="4" w:space="0" w:color="000000"/>
              <w:bottom w:val="single" w:sz="4" w:space="0" w:color="000000"/>
              <w:right w:val="single" w:sz="4" w:space="0" w:color="000000"/>
            </w:tcBorders>
            <w:shd w:val="clear" w:color="FFFFFF" w:fill="FFFFFF"/>
            <w:vAlign w:val="center"/>
          </w:tcPr>
          <w:p w14:paraId="774B0E88" w14:textId="77777777" w:rsidR="002555B9" w:rsidRPr="00C02341" w:rsidRDefault="002555B9" w:rsidP="002555B9">
            <w:pPr>
              <w:jc w:val="center"/>
              <w:rPr>
                <w:rFonts w:ascii="Arial" w:hAnsi="Arial" w:cs="Arial"/>
                <w:sz w:val="22"/>
                <w:szCs w:val="22"/>
              </w:rPr>
            </w:pPr>
            <w:r w:rsidRPr="00C02341">
              <w:rPr>
                <w:rFonts w:ascii="Arial" w:hAnsi="Arial" w:cs="Arial"/>
                <w:sz w:val="22"/>
                <w:szCs w:val="22"/>
              </w:rPr>
              <w:t>Broj pruženih usluga palijativnih timova i broj palijativnih pacijenata u skrbi</w:t>
            </w:r>
          </w:p>
        </w:tc>
        <w:tc>
          <w:tcPr>
            <w:tcW w:w="1843" w:type="dxa"/>
            <w:tcBorders>
              <w:top w:val="nil"/>
              <w:left w:val="nil"/>
              <w:bottom w:val="single" w:sz="4" w:space="0" w:color="000000"/>
              <w:right w:val="single" w:sz="4" w:space="0" w:color="000000"/>
            </w:tcBorders>
            <w:shd w:val="clear" w:color="FFFFFF" w:fill="FFFFFF"/>
            <w:vAlign w:val="center"/>
          </w:tcPr>
          <w:p w14:paraId="15796C5F" w14:textId="2F6FDB5D" w:rsidR="002555B9" w:rsidRPr="00C02341" w:rsidRDefault="00F05064" w:rsidP="002555B9">
            <w:pPr>
              <w:jc w:val="center"/>
              <w:rPr>
                <w:rFonts w:ascii="Arial" w:hAnsi="Arial" w:cs="Arial"/>
                <w:sz w:val="22"/>
                <w:szCs w:val="22"/>
                <w:highlight w:val="yellow"/>
              </w:rPr>
            </w:pPr>
            <w:r w:rsidRPr="00C02341">
              <w:rPr>
                <w:rFonts w:ascii="Arial" w:hAnsi="Arial" w:cs="Arial"/>
                <w:sz w:val="22"/>
                <w:szCs w:val="22"/>
              </w:rPr>
              <w:t>18.000 usluga</w:t>
            </w:r>
            <w:r w:rsidR="002555B9" w:rsidRPr="00C02341">
              <w:rPr>
                <w:rFonts w:ascii="Arial" w:hAnsi="Arial" w:cs="Arial"/>
                <w:sz w:val="22"/>
                <w:szCs w:val="22"/>
              </w:rPr>
              <w:t xml:space="preserve"> / </w:t>
            </w:r>
            <w:r w:rsidRPr="00C02341">
              <w:rPr>
                <w:rFonts w:ascii="Arial" w:hAnsi="Arial" w:cs="Arial"/>
                <w:sz w:val="22"/>
                <w:szCs w:val="22"/>
              </w:rPr>
              <w:t>400</w:t>
            </w:r>
            <w:r w:rsidR="002555B9" w:rsidRPr="00C02341">
              <w:rPr>
                <w:rFonts w:ascii="Arial" w:hAnsi="Arial" w:cs="Arial"/>
                <w:sz w:val="22"/>
                <w:szCs w:val="22"/>
              </w:rPr>
              <w:t xml:space="preserve"> pacijenata</w:t>
            </w:r>
          </w:p>
        </w:tc>
        <w:tc>
          <w:tcPr>
            <w:tcW w:w="1701" w:type="dxa"/>
            <w:tcBorders>
              <w:top w:val="nil"/>
              <w:left w:val="nil"/>
              <w:bottom w:val="single" w:sz="4" w:space="0" w:color="000000"/>
              <w:right w:val="single" w:sz="4" w:space="0" w:color="000000"/>
            </w:tcBorders>
            <w:shd w:val="clear" w:color="FFFFFF" w:fill="FFFFFF"/>
            <w:vAlign w:val="center"/>
          </w:tcPr>
          <w:p w14:paraId="6E3F40D1" w14:textId="03DB9DE2" w:rsidR="002555B9" w:rsidRPr="00C02341" w:rsidRDefault="00F05064" w:rsidP="002555B9">
            <w:pPr>
              <w:jc w:val="center"/>
              <w:rPr>
                <w:rFonts w:ascii="Arial" w:hAnsi="Arial" w:cs="Arial"/>
                <w:sz w:val="22"/>
                <w:szCs w:val="22"/>
              </w:rPr>
            </w:pPr>
            <w:r w:rsidRPr="00C02341">
              <w:rPr>
                <w:rFonts w:ascii="Arial" w:hAnsi="Arial" w:cs="Arial"/>
                <w:sz w:val="22"/>
                <w:szCs w:val="22"/>
              </w:rPr>
              <w:t>19.000</w:t>
            </w:r>
            <w:r w:rsidR="00E172E2" w:rsidRPr="00C02341">
              <w:rPr>
                <w:rFonts w:ascii="Arial" w:hAnsi="Arial" w:cs="Arial"/>
                <w:sz w:val="22"/>
                <w:szCs w:val="22"/>
              </w:rPr>
              <w:t xml:space="preserve"> </w:t>
            </w:r>
            <w:r w:rsidRPr="00C02341">
              <w:rPr>
                <w:rFonts w:ascii="Arial" w:hAnsi="Arial" w:cs="Arial"/>
                <w:sz w:val="22"/>
                <w:szCs w:val="22"/>
              </w:rPr>
              <w:t>usluga</w:t>
            </w:r>
            <w:r w:rsidR="00E172E2" w:rsidRPr="00C02341">
              <w:rPr>
                <w:rFonts w:ascii="Arial" w:hAnsi="Arial" w:cs="Arial"/>
                <w:sz w:val="22"/>
                <w:szCs w:val="22"/>
              </w:rPr>
              <w:t xml:space="preserve"> / </w:t>
            </w:r>
            <w:r w:rsidRPr="00C02341">
              <w:rPr>
                <w:rFonts w:ascii="Arial" w:hAnsi="Arial" w:cs="Arial"/>
                <w:sz w:val="22"/>
                <w:szCs w:val="22"/>
              </w:rPr>
              <w:t>400</w:t>
            </w:r>
            <w:r w:rsidR="002555B9" w:rsidRPr="00C02341">
              <w:rPr>
                <w:rFonts w:ascii="Arial" w:hAnsi="Arial" w:cs="Arial"/>
                <w:sz w:val="22"/>
                <w:szCs w:val="22"/>
              </w:rPr>
              <w:t xml:space="preserve"> pacijenata</w:t>
            </w:r>
          </w:p>
        </w:tc>
        <w:tc>
          <w:tcPr>
            <w:tcW w:w="2269" w:type="dxa"/>
            <w:tcBorders>
              <w:top w:val="nil"/>
              <w:left w:val="nil"/>
              <w:bottom w:val="single" w:sz="4" w:space="0" w:color="000000"/>
              <w:right w:val="single" w:sz="4" w:space="0" w:color="000000"/>
            </w:tcBorders>
            <w:shd w:val="clear" w:color="FFFFFF" w:fill="FFFFFF"/>
            <w:vAlign w:val="center"/>
          </w:tcPr>
          <w:p w14:paraId="0BA676A2" w14:textId="11987CF1" w:rsidR="002555B9" w:rsidRPr="00C02341" w:rsidRDefault="002555B9" w:rsidP="002555B9">
            <w:pPr>
              <w:jc w:val="center"/>
              <w:rPr>
                <w:rFonts w:ascii="Arial" w:hAnsi="Arial" w:cs="Arial"/>
                <w:sz w:val="22"/>
                <w:szCs w:val="22"/>
              </w:rPr>
            </w:pPr>
            <w:r w:rsidRPr="00C02341">
              <w:rPr>
                <w:rFonts w:ascii="Arial" w:hAnsi="Arial" w:cs="Arial"/>
                <w:sz w:val="22"/>
                <w:szCs w:val="22"/>
              </w:rPr>
              <w:t>2</w:t>
            </w:r>
            <w:r w:rsidR="0092427C" w:rsidRPr="00C02341">
              <w:rPr>
                <w:rFonts w:ascii="Arial" w:hAnsi="Arial" w:cs="Arial"/>
                <w:sz w:val="22"/>
                <w:szCs w:val="22"/>
              </w:rPr>
              <w:t>5.130</w:t>
            </w:r>
            <w:r w:rsidRPr="00C02341">
              <w:rPr>
                <w:rFonts w:ascii="Arial" w:hAnsi="Arial" w:cs="Arial"/>
                <w:sz w:val="22"/>
                <w:szCs w:val="22"/>
              </w:rPr>
              <w:t xml:space="preserve"> postupaka/ 6</w:t>
            </w:r>
            <w:r w:rsidR="0092427C" w:rsidRPr="00C02341">
              <w:rPr>
                <w:rFonts w:ascii="Arial" w:hAnsi="Arial" w:cs="Arial"/>
                <w:sz w:val="22"/>
                <w:szCs w:val="22"/>
              </w:rPr>
              <w:t>23</w:t>
            </w:r>
            <w:r w:rsidRPr="00C02341">
              <w:rPr>
                <w:rFonts w:ascii="Arial" w:hAnsi="Arial" w:cs="Arial"/>
                <w:sz w:val="22"/>
                <w:szCs w:val="22"/>
              </w:rPr>
              <w:t xml:space="preserve"> pacijenata</w:t>
            </w:r>
          </w:p>
        </w:tc>
      </w:tr>
      <w:tr w:rsidR="00C02341" w:rsidRPr="00C02341" w14:paraId="6A37A4C8" w14:textId="77777777" w:rsidTr="002555B9">
        <w:trPr>
          <w:trHeight w:val="560"/>
          <w:jc w:val="center"/>
        </w:trPr>
        <w:tc>
          <w:tcPr>
            <w:tcW w:w="3397" w:type="dxa"/>
            <w:tcBorders>
              <w:top w:val="single" w:sz="4" w:space="0" w:color="000000"/>
              <w:left w:val="single" w:sz="4" w:space="0" w:color="000000"/>
              <w:bottom w:val="single" w:sz="4" w:space="0" w:color="auto"/>
              <w:right w:val="single" w:sz="4" w:space="0" w:color="000000"/>
            </w:tcBorders>
            <w:shd w:val="clear" w:color="FFFFFF" w:fill="FFFFFF"/>
            <w:vAlign w:val="center"/>
          </w:tcPr>
          <w:p w14:paraId="0A2CD7EA" w14:textId="77777777" w:rsidR="002555B9" w:rsidRPr="00C02341" w:rsidRDefault="002555B9" w:rsidP="002555B9">
            <w:pPr>
              <w:jc w:val="center"/>
              <w:rPr>
                <w:rFonts w:ascii="Arial" w:hAnsi="Arial" w:cs="Arial"/>
                <w:sz w:val="22"/>
                <w:szCs w:val="22"/>
              </w:rPr>
            </w:pPr>
            <w:r w:rsidRPr="00C02341">
              <w:rPr>
                <w:rFonts w:ascii="Arial" w:hAnsi="Arial" w:cs="Arial"/>
                <w:sz w:val="22"/>
                <w:szCs w:val="22"/>
              </w:rPr>
              <w:t>Broj izdanih pomagala u posudionici</w:t>
            </w:r>
          </w:p>
        </w:tc>
        <w:tc>
          <w:tcPr>
            <w:tcW w:w="1843" w:type="dxa"/>
            <w:tcBorders>
              <w:top w:val="single" w:sz="4" w:space="0" w:color="000000"/>
              <w:left w:val="nil"/>
              <w:bottom w:val="single" w:sz="4" w:space="0" w:color="auto"/>
              <w:right w:val="single" w:sz="4" w:space="0" w:color="000000"/>
            </w:tcBorders>
            <w:shd w:val="clear" w:color="FFFFFF" w:fill="FFFFFF"/>
            <w:vAlign w:val="center"/>
          </w:tcPr>
          <w:p w14:paraId="7563E3D4" w14:textId="6DF8F408" w:rsidR="002555B9" w:rsidRPr="00C02341" w:rsidRDefault="002555B9" w:rsidP="002555B9">
            <w:pPr>
              <w:jc w:val="center"/>
              <w:rPr>
                <w:rFonts w:ascii="Arial" w:hAnsi="Arial" w:cs="Arial"/>
                <w:sz w:val="22"/>
                <w:szCs w:val="22"/>
                <w:highlight w:val="yellow"/>
              </w:rPr>
            </w:pPr>
            <w:r w:rsidRPr="00C02341">
              <w:rPr>
                <w:rFonts w:ascii="Arial" w:hAnsi="Arial" w:cs="Arial"/>
                <w:sz w:val="22"/>
                <w:szCs w:val="22"/>
              </w:rPr>
              <w:t>4</w:t>
            </w:r>
            <w:r w:rsidR="00F05064" w:rsidRPr="00C02341">
              <w:rPr>
                <w:rFonts w:ascii="Arial" w:hAnsi="Arial" w:cs="Arial"/>
                <w:sz w:val="22"/>
                <w:szCs w:val="22"/>
              </w:rPr>
              <w:t>00</w:t>
            </w:r>
          </w:p>
        </w:tc>
        <w:tc>
          <w:tcPr>
            <w:tcW w:w="1701" w:type="dxa"/>
            <w:tcBorders>
              <w:top w:val="single" w:sz="4" w:space="0" w:color="000000"/>
              <w:left w:val="nil"/>
              <w:bottom w:val="single" w:sz="4" w:space="0" w:color="auto"/>
              <w:right w:val="single" w:sz="4" w:space="0" w:color="000000"/>
            </w:tcBorders>
            <w:shd w:val="clear" w:color="FFFFFF" w:fill="FFFFFF"/>
            <w:vAlign w:val="center"/>
          </w:tcPr>
          <w:p w14:paraId="14282239" w14:textId="00AA76B9" w:rsidR="002555B9" w:rsidRPr="00C02341" w:rsidRDefault="00F05064" w:rsidP="002555B9">
            <w:pPr>
              <w:jc w:val="center"/>
              <w:rPr>
                <w:rFonts w:ascii="Arial" w:hAnsi="Arial" w:cs="Arial"/>
                <w:sz w:val="22"/>
                <w:szCs w:val="22"/>
              </w:rPr>
            </w:pPr>
            <w:r w:rsidRPr="00C02341">
              <w:rPr>
                <w:rFonts w:ascii="Arial" w:hAnsi="Arial" w:cs="Arial"/>
                <w:sz w:val="22"/>
                <w:szCs w:val="22"/>
              </w:rPr>
              <w:t>420</w:t>
            </w:r>
          </w:p>
        </w:tc>
        <w:tc>
          <w:tcPr>
            <w:tcW w:w="2269" w:type="dxa"/>
            <w:tcBorders>
              <w:top w:val="single" w:sz="4" w:space="0" w:color="000000"/>
              <w:left w:val="nil"/>
              <w:bottom w:val="single" w:sz="4" w:space="0" w:color="auto"/>
              <w:right w:val="single" w:sz="4" w:space="0" w:color="000000"/>
            </w:tcBorders>
            <w:shd w:val="clear" w:color="FFFFFF" w:fill="FFFFFF"/>
            <w:vAlign w:val="center"/>
          </w:tcPr>
          <w:p w14:paraId="08FF8A6D" w14:textId="773F9491" w:rsidR="007C5289" w:rsidRPr="00C02341" w:rsidRDefault="002555B9" w:rsidP="002555B9">
            <w:pPr>
              <w:jc w:val="center"/>
              <w:rPr>
                <w:rFonts w:ascii="Arial" w:hAnsi="Arial" w:cs="Arial"/>
                <w:sz w:val="22"/>
                <w:szCs w:val="22"/>
              </w:rPr>
            </w:pPr>
            <w:r w:rsidRPr="00C02341">
              <w:rPr>
                <w:rFonts w:ascii="Arial" w:hAnsi="Arial" w:cs="Arial"/>
                <w:sz w:val="22"/>
                <w:szCs w:val="22"/>
              </w:rPr>
              <w:t>4</w:t>
            </w:r>
            <w:r w:rsidR="0092427C" w:rsidRPr="00C02341">
              <w:rPr>
                <w:rFonts w:ascii="Arial" w:hAnsi="Arial" w:cs="Arial"/>
                <w:sz w:val="22"/>
                <w:szCs w:val="22"/>
              </w:rPr>
              <w:t>35</w:t>
            </w:r>
            <w:r w:rsidR="007C5289" w:rsidRPr="00C02341">
              <w:rPr>
                <w:rFonts w:ascii="Arial" w:hAnsi="Arial" w:cs="Arial"/>
                <w:sz w:val="22"/>
                <w:szCs w:val="22"/>
              </w:rPr>
              <w:t xml:space="preserve">  </w:t>
            </w:r>
            <w:r w:rsidR="00C02341" w:rsidRPr="00C02341">
              <w:rPr>
                <w:rFonts w:ascii="Arial" w:hAnsi="Arial" w:cs="Arial"/>
                <w:sz w:val="22"/>
                <w:szCs w:val="22"/>
              </w:rPr>
              <w:t xml:space="preserve">posudbi </w:t>
            </w:r>
            <w:r w:rsidR="00C02341" w:rsidRPr="00C02341">
              <w:rPr>
                <w:rFonts w:ascii="Arial" w:hAnsi="Arial" w:cs="Arial"/>
                <w:sz w:val="20"/>
                <w:szCs w:val="20"/>
              </w:rPr>
              <w:t>te</w:t>
            </w:r>
          </w:p>
          <w:p w14:paraId="62B58EE4" w14:textId="39DC5E54" w:rsidR="002555B9" w:rsidRPr="00C02341" w:rsidRDefault="007C5289" w:rsidP="002555B9">
            <w:pPr>
              <w:jc w:val="center"/>
              <w:rPr>
                <w:rFonts w:ascii="Arial" w:hAnsi="Arial" w:cs="Arial"/>
                <w:sz w:val="22"/>
                <w:szCs w:val="22"/>
              </w:rPr>
            </w:pPr>
            <w:r w:rsidRPr="00C02341">
              <w:rPr>
                <w:rFonts w:ascii="Arial" w:hAnsi="Arial" w:cs="Arial"/>
                <w:bCs/>
                <w:sz w:val="20"/>
                <w:szCs w:val="22"/>
              </w:rPr>
              <w:t>nabavljeno dodatnih 1</w:t>
            </w:r>
            <w:r w:rsidR="0092427C" w:rsidRPr="00C02341">
              <w:rPr>
                <w:rFonts w:ascii="Arial" w:hAnsi="Arial" w:cs="Arial"/>
                <w:bCs/>
                <w:sz w:val="20"/>
                <w:szCs w:val="22"/>
              </w:rPr>
              <w:t>5</w:t>
            </w:r>
            <w:r w:rsidRPr="00C02341">
              <w:rPr>
                <w:rFonts w:ascii="Arial" w:hAnsi="Arial" w:cs="Arial"/>
                <w:bCs/>
                <w:sz w:val="20"/>
                <w:szCs w:val="22"/>
              </w:rPr>
              <w:t xml:space="preserve"> električnih kreveta za posudionicu</w:t>
            </w:r>
          </w:p>
        </w:tc>
      </w:tr>
    </w:tbl>
    <w:p w14:paraId="73B97255" w14:textId="7840C5CC" w:rsidR="002555B9" w:rsidRPr="004F3556" w:rsidRDefault="002555B9" w:rsidP="002555B9">
      <w:pPr>
        <w:rPr>
          <w:rFonts w:ascii="Arial" w:hAnsi="Arial" w:cs="Arial"/>
          <w:sz w:val="22"/>
          <w:szCs w:val="22"/>
        </w:rPr>
      </w:pPr>
    </w:p>
    <w:p w14:paraId="67F12209" w14:textId="77777777" w:rsidR="00194C77" w:rsidRPr="004F3556" w:rsidRDefault="00194C77" w:rsidP="002555B9">
      <w:pPr>
        <w:rPr>
          <w:rFonts w:ascii="Arial" w:hAnsi="Arial" w:cs="Arial"/>
          <w:sz w:val="22"/>
          <w:szCs w:val="22"/>
        </w:rPr>
      </w:pPr>
    </w:p>
    <w:p w14:paraId="2C641360" w14:textId="77777777" w:rsidR="002555B9" w:rsidRPr="004F3556" w:rsidRDefault="002555B9" w:rsidP="002555B9">
      <w:pPr>
        <w:pStyle w:val="Odlomakpopisa"/>
        <w:numPr>
          <w:ilvl w:val="1"/>
          <w:numId w:val="42"/>
        </w:numPr>
        <w:rPr>
          <w:rFonts w:ascii="Arial" w:hAnsi="Arial" w:cs="Arial"/>
          <w:b/>
        </w:rPr>
      </w:pPr>
      <w:r w:rsidRPr="004F3556">
        <w:rPr>
          <w:rFonts w:ascii="Arial" w:hAnsi="Arial" w:cs="Arial"/>
          <w:b/>
        </w:rPr>
        <w:t>Zdravstvena zaštita turista (A650205)</w:t>
      </w:r>
    </w:p>
    <w:p w14:paraId="3F49E473" w14:textId="04328662" w:rsidR="007D22C7" w:rsidRPr="003015EB" w:rsidRDefault="007D22C7" w:rsidP="003015EB">
      <w:pPr>
        <w:spacing w:before="100" w:beforeAutospacing="1" w:line="276" w:lineRule="auto"/>
        <w:jc w:val="both"/>
        <w:rPr>
          <w:rFonts w:ascii="Arial" w:hAnsi="Arial" w:cs="Arial"/>
          <w:sz w:val="22"/>
          <w:szCs w:val="22"/>
        </w:rPr>
      </w:pPr>
      <w:r w:rsidRPr="003015EB">
        <w:rPr>
          <w:rFonts w:ascii="Arial" w:hAnsi="Arial" w:cs="Arial"/>
          <w:sz w:val="22"/>
          <w:szCs w:val="22"/>
        </w:rPr>
        <w:t xml:space="preserve">U okviru aktivnosti zdravstvene zaštite turista tijekom turističke sezone organiziraju se dodatne ambulante kako bi se osigurala pravovremena i dostupna zdravstvena skrb za posjetitelje. S obzirom na to da je Istarska županija prepoznata kao izrazito atraktivna turistička destinacija, broj stranih gostiju u sezoni značajno raste, čime potreba za ovim oblikom zdravstvene zaštite dobiva poseban značaj za cijelu županiju. Turističke ambulante organizirane su u ispostavama Poreč, Pula, Rovinj i Umag dok je u ispostavi Labin dodatno reorganiziran rad obiteljskih ambulanti, a u suradnji s privatnim praksama obiteljske medicine </w:t>
      </w:r>
      <w:r w:rsidR="003015EB" w:rsidRPr="003015EB">
        <w:rPr>
          <w:rFonts w:ascii="Arial" w:hAnsi="Arial" w:cs="Arial"/>
          <w:sz w:val="22"/>
          <w:szCs w:val="22"/>
        </w:rPr>
        <w:t xml:space="preserve">kako bi se </w:t>
      </w:r>
      <w:r w:rsidRPr="003015EB">
        <w:rPr>
          <w:rFonts w:ascii="Arial" w:hAnsi="Arial" w:cs="Arial"/>
          <w:sz w:val="22"/>
          <w:szCs w:val="22"/>
        </w:rPr>
        <w:t>osigura</w:t>
      </w:r>
      <w:r w:rsidR="003015EB" w:rsidRPr="003015EB">
        <w:rPr>
          <w:rFonts w:ascii="Arial" w:hAnsi="Arial" w:cs="Arial"/>
          <w:sz w:val="22"/>
          <w:szCs w:val="22"/>
        </w:rPr>
        <w:t>o</w:t>
      </w:r>
      <w:r w:rsidRPr="003015EB">
        <w:rPr>
          <w:rFonts w:ascii="Arial" w:hAnsi="Arial" w:cs="Arial"/>
          <w:sz w:val="22"/>
          <w:szCs w:val="22"/>
        </w:rPr>
        <w:t xml:space="preserve"> prihvat svih turista koji su zatražili liječničku pomoć. Provedba ove aktivnosti sufinancira se sredstvima Ministarstva turizma, Ministarstva zdravstva</w:t>
      </w:r>
      <w:r w:rsidR="003015EB" w:rsidRPr="003015EB">
        <w:rPr>
          <w:rFonts w:ascii="Arial" w:hAnsi="Arial" w:cs="Arial"/>
          <w:sz w:val="22"/>
          <w:szCs w:val="22"/>
        </w:rPr>
        <w:t xml:space="preserve"> te </w:t>
      </w:r>
      <w:r w:rsidRPr="003015EB">
        <w:rPr>
          <w:rFonts w:ascii="Arial" w:hAnsi="Arial" w:cs="Arial"/>
          <w:sz w:val="22"/>
          <w:szCs w:val="22"/>
        </w:rPr>
        <w:t>Turističkih zajednica jedinica lokalne samouprave</w:t>
      </w:r>
      <w:r w:rsidR="003015EB" w:rsidRPr="003015EB">
        <w:rPr>
          <w:rFonts w:ascii="Arial" w:hAnsi="Arial" w:cs="Arial"/>
          <w:sz w:val="22"/>
          <w:szCs w:val="22"/>
        </w:rPr>
        <w:t>.</w:t>
      </w:r>
      <w:r w:rsidRPr="003015EB">
        <w:rPr>
          <w:rFonts w:ascii="Arial" w:hAnsi="Arial" w:cs="Arial"/>
          <w:sz w:val="22"/>
          <w:szCs w:val="22"/>
        </w:rPr>
        <w:t xml:space="preserve"> U 2024. godini turističke su ambulante po prvi put ugovorene s HZZO-om, čime je stranim turistima koji posjeduju EKZO karticu omogućeno ostvarivanje prava na besplatnu zdravstvenu zaštitu tijekom boravka u turističkoj sezoni. U radu turističkih ambulanti sudjeluju djelatnici Istarskih domova zdravlja (u redovnom i prekovremenom radu), liječnici iz privatnih praksi temeljem ugovora o poslovnoj suradnji te zdravstveni djelatnici drugih ustanova putem burze rada.</w:t>
      </w:r>
      <w:r w:rsidRPr="003015EB">
        <w:rPr>
          <w:rFonts w:ascii="Arial" w:hAnsi="Arial" w:cs="Arial"/>
          <w:vanish/>
          <w:sz w:val="16"/>
          <w:szCs w:val="16"/>
        </w:rPr>
        <w:t>Vrh obrasca</w:t>
      </w:r>
    </w:p>
    <w:p w14:paraId="14F818D7" w14:textId="77777777" w:rsidR="003015EB" w:rsidRPr="003015EB" w:rsidRDefault="003015EB" w:rsidP="003015EB">
      <w:pPr>
        <w:spacing w:before="100" w:beforeAutospacing="1" w:line="276" w:lineRule="auto"/>
        <w:jc w:val="both"/>
        <w:rPr>
          <w:rFonts w:ascii="Arial" w:hAnsi="Arial" w:cs="Arial"/>
          <w:vanish/>
          <w:sz w:val="16"/>
          <w:szCs w:val="16"/>
        </w:rPr>
      </w:pPr>
    </w:p>
    <w:p w14:paraId="478DB84D" w14:textId="77777777" w:rsidR="007D22C7" w:rsidRPr="003015EB" w:rsidRDefault="007D22C7" w:rsidP="003015EB">
      <w:pPr>
        <w:pBdr>
          <w:top w:val="single" w:sz="6" w:space="1" w:color="auto"/>
        </w:pBdr>
        <w:spacing w:line="276" w:lineRule="auto"/>
        <w:jc w:val="both"/>
        <w:rPr>
          <w:rFonts w:ascii="Arial" w:hAnsi="Arial" w:cs="Arial"/>
          <w:vanish/>
          <w:sz w:val="16"/>
          <w:szCs w:val="16"/>
        </w:rPr>
      </w:pPr>
      <w:r w:rsidRPr="003015EB">
        <w:rPr>
          <w:rFonts w:ascii="Arial" w:hAnsi="Arial" w:cs="Arial"/>
          <w:vanish/>
          <w:sz w:val="16"/>
          <w:szCs w:val="16"/>
        </w:rPr>
        <w:t>Dno obrasca</w:t>
      </w:r>
    </w:p>
    <w:p w14:paraId="3FB467CC" w14:textId="41B925D1" w:rsidR="002555B9" w:rsidRPr="003015EB" w:rsidRDefault="002555B9" w:rsidP="003015EB">
      <w:pPr>
        <w:spacing w:line="276" w:lineRule="auto"/>
        <w:jc w:val="both"/>
        <w:rPr>
          <w:rFonts w:ascii="Arial" w:hAnsi="Arial" w:cs="Arial"/>
          <w:sz w:val="22"/>
          <w:szCs w:val="22"/>
        </w:rPr>
      </w:pPr>
      <w:r w:rsidRPr="003015EB">
        <w:rPr>
          <w:rFonts w:ascii="Arial" w:hAnsi="Arial" w:cs="Arial"/>
          <w:sz w:val="22"/>
          <w:szCs w:val="22"/>
        </w:rPr>
        <w:t>Kako većina turista posjeduje EKZO kartice, a cijene postupaka po cjeniku HZZO prilično</w:t>
      </w:r>
      <w:r w:rsidR="007D22C7" w:rsidRPr="003015EB">
        <w:rPr>
          <w:rFonts w:ascii="Arial" w:hAnsi="Arial" w:cs="Arial"/>
          <w:sz w:val="22"/>
          <w:szCs w:val="22"/>
        </w:rPr>
        <w:t xml:space="preserve"> su</w:t>
      </w:r>
      <w:r w:rsidRPr="003015EB">
        <w:rPr>
          <w:rFonts w:ascii="Arial" w:hAnsi="Arial" w:cs="Arial"/>
          <w:sz w:val="22"/>
          <w:szCs w:val="22"/>
        </w:rPr>
        <w:t xml:space="preserve"> niske, turističke su ambulante evidentirale male prihode od strane HZZO-a te bi ovakav oblik poslovanja bez sufinanciranja ostalih </w:t>
      </w:r>
      <w:r w:rsidR="007D22C7" w:rsidRPr="003015EB">
        <w:rPr>
          <w:rFonts w:ascii="Arial" w:hAnsi="Arial" w:cs="Arial"/>
          <w:sz w:val="22"/>
          <w:szCs w:val="22"/>
        </w:rPr>
        <w:t>su</w:t>
      </w:r>
      <w:r w:rsidRPr="003015EB">
        <w:rPr>
          <w:rFonts w:ascii="Arial" w:hAnsi="Arial" w:cs="Arial"/>
          <w:sz w:val="22"/>
          <w:szCs w:val="22"/>
        </w:rPr>
        <w:t>dionika bio financijski neodrživ.</w:t>
      </w:r>
    </w:p>
    <w:p w14:paraId="06FED30E" w14:textId="77777777" w:rsidR="002555B9" w:rsidRPr="004F3556" w:rsidRDefault="002555B9" w:rsidP="002555B9">
      <w:pPr>
        <w:rPr>
          <w:rFonts w:ascii="Arial" w:hAnsi="Arial" w:cs="Arial"/>
          <w:sz w:val="22"/>
          <w:szCs w:val="22"/>
        </w:rPr>
      </w:pPr>
    </w:p>
    <w:p w14:paraId="78F380AC" w14:textId="77777777" w:rsidR="002555B9" w:rsidRPr="003015EB" w:rsidRDefault="002555B9" w:rsidP="002555B9">
      <w:pPr>
        <w:rPr>
          <w:rFonts w:ascii="Arial" w:hAnsi="Arial" w:cs="Arial"/>
          <w:sz w:val="22"/>
          <w:szCs w:val="22"/>
        </w:rPr>
      </w:pPr>
      <w:r w:rsidRPr="003015EB">
        <w:rPr>
          <w:rFonts w:ascii="Arial" w:hAnsi="Arial" w:cs="Arial"/>
          <w:sz w:val="22"/>
          <w:szCs w:val="22"/>
        </w:rPr>
        <w:t>CILJ USPJEŠNOSTI - 2.2.4. Osiguranje uvjeta za pružanje zdravstvene zaštite turistima</w:t>
      </w:r>
    </w:p>
    <w:p w14:paraId="309C365B" w14:textId="77777777" w:rsidR="002555B9" w:rsidRPr="004F3556" w:rsidRDefault="002555B9" w:rsidP="002555B9">
      <w:pPr>
        <w:jc w:val="both"/>
        <w:rPr>
          <w:rFonts w:ascii="Arial" w:hAnsi="Arial" w:cs="Arial"/>
          <w:b/>
          <w:sz w:val="22"/>
          <w:szCs w:val="22"/>
        </w:rPr>
      </w:pPr>
      <w:bookmarkStart w:id="0" w:name="_Hlk83637724"/>
    </w:p>
    <w:p w14:paraId="3975AC17" w14:textId="77777777" w:rsidR="00AD78FF" w:rsidRDefault="00AD78FF" w:rsidP="002555B9">
      <w:pPr>
        <w:jc w:val="both"/>
        <w:rPr>
          <w:rFonts w:ascii="Arial" w:hAnsi="Arial" w:cs="Arial"/>
          <w:sz w:val="22"/>
          <w:szCs w:val="22"/>
        </w:rPr>
      </w:pPr>
    </w:p>
    <w:p w14:paraId="73DDFBE0" w14:textId="6E2FC3C1" w:rsidR="002555B9" w:rsidRPr="004F3556" w:rsidRDefault="002555B9" w:rsidP="002555B9">
      <w:pPr>
        <w:jc w:val="both"/>
        <w:rPr>
          <w:rFonts w:ascii="Arial" w:hAnsi="Arial" w:cs="Arial"/>
          <w:sz w:val="22"/>
          <w:szCs w:val="22"/>
        </w:rPr>
      </w:pPr>
      <w:r w:rsidRPr="004F3556">
        <w:rPr>
          <w:rFonts w:ascii="Arial" w:hAnsi="Arial" w:cs="Arial"/>
          <w:sz w:val="22"/>
          <w:szCs w:val="22"/>
        </w:rPr>
        <w:lastRenderedPageBreak/>
        <w:t>POKAZATELJI USPJEŠNOSTI</w:t>
      </w:r>
    </w:p>
    <w:tbl>
      <w:tblPr>
        <w:tblW w:w="9634" w:type="dxa"/>
        <w:jc w:val="center"/>
        <w:tblLayout w:type="fixed"/>
        <w:tblLook w:val="04A0" w:firstRow="1" w:lastRow="0" w:firstColumn="1" w:lastColumn="0" w:noHBand="0" w:noVBand="1"/>
      </w:tblPr>
      <w:tblGrid>
        <w:gridCol w:w="1555"/>
        <w:gridCol w:w="1376"/>
        <w:gridCol w:w="1459"/>
        <w:gridCol w:w="5244"/>
      </w:tblGrid>
      <w:tr w:rsidR="003015EB" w:rsidRPr="003015EB" w14:paraId="56AFA7AB" w14:textId="77777777" w:rsidTr="00650B14">
        <w:trPr>
          <w:trHeight w:val="797"/>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2614B0C5" w14:textId="1F4BE097" w:rsidR="0052172F" w:rsidRPr="003015EB" w:rsidRDefault="0052172F" w:rsidP="0052172F">
            <w:pPr>
              <w:jc w:val="center"/>
              <w:rPr>
                <w:rFonts w:ascii="Arial" w:hAnsi="Arial" w:cs="Arial"/>
                <w:b/>
                <w:bCs/>
                <w:sz w:val="22"/>
                <w:szCs w:val="22"/>
              </w:rPr>
            </w:pPr>
            <w:r w:rsidRPr="003015EB">
              <w:rPr>
                <w:rFonts w:ascii="Arial" w:hAnsi="Arial" w:cs="Arial"/>
                <w:b/>
                <w:bCs/>
                <w:sz w:val="22"/>
                <w:szCs w:val="22"/>
              </w:rPr>
              <w:t xml:space="preserve">Pokazatelj rezultata </w:t>
            </w:r>
          </w:p>
        </w:tc>
        <w:tc>
          <w:tcPr>
            <w:tcW w:w="1376"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02CE3ABB" w14:textId="70FFFD02" w:rsidR="0052172F" w:rsidRPr="003015EB" w:rsidRDefault="0052172F" w:rsidP="0052172F">
            <w:pPr>
              <w:jc w:val="center"/>
              <w:rPr>
                <w:rFonts w:ascii="Arial" w:hAnsi="Arial" w:cs="Arial"/>
                <w:b/>
                <w:bCs/>
                <w:sz w:val="22"/>
                <w:szCs w:val="22"/>
              </w:rPr>
            </w:pPr>
            <w:r w:rsidRPr="003015EB">
              <w:rPr>
                <w:rFonts w:ascii="Arial" w:hAnsi="Arial" w:cs="Arial"/>
                <w:b/>
                <w:bCs/>
                <w:sz w:val="22"/>
                <w:szCs w:val="22"/>
              </w:rPr>
              <w:t>Početna vrijednost</w:t>
            </w:r>
            <w:r w:rsidRPr="003015EB">
              <w:rPr>
                <w:rFonts w:ascii="Arial" w:hAnsi="Arial" w:cs="Arial"/>
                <w:b/>
                <w:bCs/>
                <w:sz w:val="22"/>
                <w:szCs w:val="22"/>
              </w:rPr>
              <w:br/>
              <w:t>(2025.)</w:t>
            </w:r>
          </w:p>
        </w:tc>
        <w:tc>
          <w:tcPr>
            <w:tcW w:w="1459"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3CAFBE26" w14:textId="5F4ADD47" w:rsidR="0052172F" w:rsidRPr="003015EB" w:rsidRDefault="0052172F" w:rsidP="0052172F">
            <w:pPr>
              <w:jc w:val="center"/>
              <w:rPr>
                <w:rFonts w:ascii="Arial" w:hAnsi="Arial" w:cs="Arial"/>
                <w:b/>
                <w:bCs/>
                <w:sz w:val="22"/>
                <w:szCs w:val="22"/>
              </w:rPr>
            </w:pPr>
            <w:r w:rsidRPr="003015EB">
              <w:rPr>
                <w:rFonts w:ascii="Arial" w:hAnsi="Arial" w:cs="Arial"/>
                <w:b/>
                <w:bCs/>
                <w:sz w:val="22"/>
                <w:szCs w:val="22"/>
              </w:rPr>
              <w:t>Ciljna</w:t>
            </w:r>
            <w:r w:rsidRPr="003015EB">
              <w:rPr>
                <w:rFonts w:ascii="Arial" w:hAnsi="Arial" w:cs="Arial"/>
                <w:b/>
                <w:bCs/>
                <w:sz w:val="22"/>
                <w:szCs w:val="22"/>
              </w:rPr>
              <w:br/>
              <w:t>vrijednost</w:t>
            </w:r>
            <w:r w:rsidRPr="003015EB">
              <w:rPr>
                <w:rFonts w:ascii="Arial" w:hAnsi="Arial" w:cs="Arial"/>
                <w:b/>
                <w:bCs/>
                <w:sz w:val="22"/>
                <w:szCs w:val="22"/>
              </w:rPr>
              <w:br/>
              <w:t>2025.</w:t>
            </w:r>
          </w:p>
        </w:tc>
        <w:tc>
          <w:tcPr>
            <w:tcW w:w="5244"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3D1E83B6" w14:textId="6DD4F0DA" w:rsidR="0052172F" w:rsidRPr="003015EB" w:rsidRDefault="0052172F" w:rsidP="0052172F">
            <w:pPr>
              <w:jc w:val="center"/>
              <w:rPr>
                <w:rFonts w:ascii="Arial" w:hAnsi="Arial" w:cs="Arial"/>
                <w:b/>
                <w:bCs/>
                <w:sz w:val="22"/>
                <w:szCs w:val="22"/>
              </w:rPr>
            </w:pPr>
            <w:r w:rsidRPr="003015EB">
              <w:rPr>
                <w:rFonts w:ascii="Arial" w:hAnsi="Arial" w:cs="Arial"/>
                <w:b/>
                <w:bCs/>
                <w:sz w:val="22"/>
                <w:szCs w:val="22"/>
              </w:rPr>
              <w:t>Ostvarena vrijednost u periodu 01.-12/2025.</w:t>
            </w:r>
          </w:p>
        </w:tc>
      </w:tr>
      <w:tr w:rsidR="003015EB" w:rsidRPr="003015EB" w14:paraId="1C65B689" w14:textId="77777777" w:rsidTr="00650B14">
        <w:trPr>
          <w:trHeight w:val="54"/>
          <w:jc w:val="center"/>
        </w:trPr>
        <w:tc>
          <w:tcPr>
            <w:tcW w:w="1555" w:type="dxa"/>
            <w:tcBorders>
              <w:top w:val="nil"/>
              <w:left w:val="single" w:sz="4" w:space="0" w:color="000000"/>
              <w:bottom w:val="single" w:sz="4" w:space="0" w:color="000000"/>
              <w:right w:val="single" w:sz="4" w:space="0" w:color="000000"/>
            </w:tcBorders>
            <w:shd w:val="clear" w:color="FFFFFF" w:fill="FFFFFF"/>
            <w:vAlign w:val="center"/>
          </w:tcPr>
          <w:p w14:paraId="2BC0410F" w14:textId="77777777" w:rsidR="002555B9" w:rsidRPr="003015EB" w:rsidRDefault="002555B9" w:rsidP="002555B9">
            <w:pPr>
              <w:jc w:val="center"/>
              <w:rPr>
                <w:rFonts w:ascii="Arial" w:hAnsi="Arial" w:cs="Arial"/>
                <w:sz w:val="22"/>
                <w:szCs w:val="22"/>
              </w:rPr>
            </w:pPr>
            <w:r w:rsidRPr="003015EB">
              <w:rPr>
                <w:rFonts w:ascii="Arial" w:hAnsi="Arial" w:cs="Arial"/>
                <w:sz w:val="22"/>
                <w:szCs w:val="22"/>
              </w:rPr>
              <w:t>Broj pregledanih turista</w:t>
            </w:r>
          </w:p>
        </w:tc>
        <w:tc>
          <w:tcPr>
            <w:tcW w:w="1376" w:type="dxa"/>
            <w:tcBorders>
              <w:top w:val="nil"/>
              <w:left w:val="nil"/>
              <w:bottom w:val="single" w:sz="4" w:space="0" w:color="000000"/>
              <w:right w:val="single" w:sz="4" w:space="0" w:color="000000"/>
            </w:tcBorders>
            <w:shd w:val="clear" w:color="FFFFFF" w:fill="FFFFFF"/>
            <w:vAlign w:val="center"/>
          </w:tcPr>
          <w:p w14:paraId="098CB28C" w14:textId="40C45594" w:rsidR="002555B9" w:rsidRPr="003015EB" w:rsidRDefault="00F929EE" w:rsidP="002555B9">
            <w:pPr>
              <w:jc w:val="center"/>
              <w:rPr>
                <w:rFonts w:ascii="Arial" w:hAnsi="Arial" w:cs="Arial"/>
                <w:sz w:val="22"/>
                <w:szCs w:val="22"/>
              </w:rPr>
            </w:pPr>
            <w:r w:rsidRPr="003015EB">
              <w:rPr>
                <w:rFonts w:ascii="Arial" w:hAnsi="Arial" w:cs="Arial"/>
                <w:sz w:val="22"/>
                <w:szCs w:val="22"/>
              </w:rPr>
              <w:t>9.000</w:t>
            </w:r>
          </w:p>
        </w:tc>
        <w:tc>
          <w:tcPr>
            <w:tcW w:w="1459" w:type="dxa"/>
            <w:tcBorders>
              <w:top w:val="nil"/>
              <w:left w:val="nil"/>
              <w:bottom w:val="single" w:sz="4" w:space="0" w:color="000000"/>
              <w:right w:val="single" w:sz="4" w:space="0" w:color="000000"/>
            </w:tcBorders>
            <w:shd w:val="clear" w:color="FFFFFF" w:fill="FFFFFF"/>
            <w:vAlign w:val="center"/>
          </w:tcPr>
          <w:p w14:paraId="75AA4D05" w14:textId="3AF918F9" w:rsidR="002555B9" w:rsidRPr="003015EB" w:rsidRDefault="00F929EE" w:rsidP="002555B9">
            <w:pPr>
              <w:jc w:val="center"/>
              <w:rPr>
                <w:rFonts w:ascii="Arial" w:hAnsi="Arial" w:cs="Arial"/>
                <w:sz w:val="22"/>
                <w:szCs w:val="22"/>
              </w:rPr>
            </w:pPr>
            <w:r w:rsidRPr="003015EB">
              <w:rPr>
                <w:rFonts w:ascii="Arial" w:hAnsi="Arial" w:cs="Arial"/>
                <w:sz w:val="22"/>
                <w:szCs w:val="22"/>
              </w:rPr>
              <w:t>10</w:t>
            </w:r>
            <w:r w:rsidR="002555B9" w:rsidRPr="003015EB">
              <w:rPr>
                <w:rFonts w:ascii="Arial" w:hAnsi="Arial" w:cs="Arial"/>
                <w:sz w:val="22"/>
                <w:szCs w:val="22"/>
              </w:rPr>
              <w:t>.000 pacijenata</w:t>
            </w:r>
          </w:p>
        </w:tc>
        <w:tc>
          <w:tcPr>
            <w:tcW w:w="5244" w:type="dxa"/>
            <w:tcBorders>
              <w:top w:val="nil"/>
              <w:left w:val="nil"/>
              <w:bottom w:val="single" w:sz="4" w:space="0" w:color="000000"/>
              <w:right w:val="single" w:sz="4" w:space="0" w:color="000000"/>
            </w:tcBorders>
            <w:shd w:val="clear" w:color="FFFFFF" w:fill="FFFFFF"/>
            <w:vAlign w:val="center"/>
          </w:tcPr>
          <w:p w14:paraId="066CF0FC" w14:textId="117FF275" w:rsidR="002555B9" w:rsidRPr="003015EB" w:rsidRDefault="00194C77" w:rsidP="00791D8C">
            <w:pPr>
              <w:ind w:firstLine="153"/>
              <w:jc w:val="center"/>
              <w:rPr>
                <w:rFonts w:ascii="Arial" w:hAnsi="Arial" w:cs="Arial"/>
                <w:sz w:val="22"/>
                <w:szCs w:val="22"/>
              </w:rPr>
            </w:pPr>
            <w:r w:rsidRPr="003015EB">
              <w:rPr>
                <w:rFonts w:ascii="Arial" w:hAnsi="Arial" w:cs="Arial"/>
                <w:sz w:val="22"/>
                <w:szCs w:val="22"/>
              </w:rPr>
              <w:t xml:space="preserve">Otvorene 4 turističke ambulante u ispostavama Pula, Rovinj, Poreč i Umag te </w:t>
            </w:r>
            <w:r w:rsidR="00791D8C" w:rsidRPr="003015EB">
              <w:rPr>
                <w:rFonts w:ascii="Arial" w:hAnsi="Arial" w:cs="Arial"/>
                <w:sz w:val="22"/>
                <w:szCs w:val="22"/>
              </w:rPr>
              <w:t xml:space="preserve">su </w:t>
            </w:r>
            <w:r w:rsidRPr="003015EB">
              <w:rPr>
                <w:rFonts w:ascii="Arial" w:hAnsi="Arial" w:cs="Arial"/>
                <w:sz w:val="22"/>
                <w:szCs w:val="22"/>
              </w:rPr>
              <w:t>se dodatnom organizacijom rada timova obiteljske medicine u isp</w:t>
            </w:r>
            <w:r w:rsidR="00650B14" w:rsidRPr="003015EB">
              <w:rPr>
                <w:rFonts w:ascii="Arial" w:hAnsi="Arial" w:cs="Arial"/>
                <w:sz w:val="22"/>
                <w:szCs w:val="22"/>
              </w:rPr>
              <w:t>.</w:t>
            </w:r>
            <w:r w:rsidRPr="003015EB">
              <w:rPr>
                <w:rFonts w:ascii="Arial" w:hAnsi="Arial" w:cs="Arial"/>
                <w:sz w:val="22"/>
                <w:szCs w:val="22"/>
              </w:rPr>
              <w:t xml:space="preserve"> Labin također primali turisti. </w:t>
            </w:r>
            <w:r w:rsidR="002555B9" w:rsidRPr="003015EB">
              <w:rPr>
                <w:rFonts w:ascii="Arial" w:hAnsi="Arial" w:cs="Arial"/>
                <w:sz w:val="22"/>
                <w:szCs w:val="22"/>
              </w:rPr>
              <w:t>Ukup</w:t>
            </w:r>
            <w:r w:rsidR="00791D8C" w:rsidRPr="003015EB">
              <w:rPr>
                <w:rFonts w:ascii="Arial" w:hAnsi="Arial" w:cs="Arial"/>
                <w:sz w:val="22"/>
                <w:szCs w:val="22"/>
              </w:rPr>
              <w:t xml:space="preserve">no pregledano </w:t>
            </w:r>
            <w:r w:rsidR="00F608A1" w:rsidRPr="003015EB">
              <w:rPr>
                <w:rFonts w:ascii="Arial" w:hAnsi="Arial" w:cs="Arial"/>
                <w:sz w:val="22"/>
                <w:szCs w:val="22"/>
              </w:rPr>
              <w:t>8.304</w:t>
            </w:r>
            <w:r w:rsidR="00791D8C" w:rsidRPr="003015EB">
              <w:rPr>
                <w:rFonts w:ascii="Arial" w:hAnsi="Arial" w:cs="Arial"/>
                <w:sz w:val="22"/>
                <w:szCs w:val="22"/>
              </w:rPr>
              <w:t xml:space="preserve"> turista. </w:t>
            </w:r>
          </w:p>
        </w:tc>
      </w:tr>
      <w:bookmarkEnd w:id="0"/>
    </w:tbl>
    <w:p w14:paraId="05186816" w14:textId="4467ABED" w:rsidR="002555B9" w:rsidRPr="004F3556" w:rsidRDefault="002555B9" w:rsidP="002555B9">
      <w:pPr>
        <w:jc w:val="both"/>
        <w:rPr>
          <w:rFonts w:ascii="Arial" w:hAnsi="Arial" w:cs="Arial"/>
          <w:sz w:val="12"/>
          <w:szCs w:val="22"/>
        </w:rPr>
      </w:pPr>
    </w:p>
    <w:p w14:paraId="1E9D18B7" w14:textId="77777777" w:rsidR="00887B83" w:rsidRDefault="00887B83" w:rsidP="002555B9">
      <w:pPr>
        <w:jc w:val="both"/>
        <w:rPr>
          <w:rFonts w:ascii="Arial" w:hAnsi="Arial" w:cs="Arial"/>
          <w:sz w:val="22"/>
          <w:szCs w:val="22"/>
        </w:rPr>
      </w:pPr>
    </w:p>
    <w:p w14:paraId="1054316A" w14:textId="5A103103" w:rsidR="00887B83" w:rsidRPr="004F3556" w:rsidRDefault="00F11A39" w:rsidP="00887B83">
      <w:pPr>
        <w:pStyle w:val="Odlomakpopisa"/>
        <w:numPr>
          <w:ilvl w:val="1"/>
          <w:numId w:val="42"/>
        </w:numPr>
        <w:jc w:val="both"/>
        <w:rPr>
          <w:rFonts w:ascii="Arial" w:hAnsi="Arial" w:cs="Arial"/>
          <w:b/>
        </w:rPr>
      </w:pPr>
      <w:r>
        <w:rPr>
          <w:rFonts w:ascii="Arial" w:hAnsi="Arial" w:cs="Arial"/>
          <w:b/>
        </w:rPr>
        <w:t>Sufinanciranje a</w:t>
      </w:r>
      <w:r w:rsidR="00887B83" w:rsidRPr="004F3556">
        <w:rPr>
          <w:rFonts w:ascii="Arial" w:hAnsi="Arial" w:cs="Arial"/>
          <w:b/>
        </w:rPr>
        <w:t>dministrator</w:t>
      </w:r>
      <w:r>
        <w:rPr>
          <w:rFonts w:ascii="Arial" w:hAnsi="Arial" w:cs="Arial"/>
          <w:b/>
        </w:rPr>
        <w:t>a</w:t>
      </w:r>
      <w:r w:rsidR="00887B83" w:rsidRPr="004F3556">
        <w:rPr>
          <w:rFonts w:ascii="Arial" w:hAnsi="Arial" w:cs="Arial"/>
          <w:b/>
        </w:rPr>
        <w:t xml:space="preserve"> (A650209)</w:t>
      </w:r>
    </w:p>
    <w:p w14:paraId="08F86802" w14:textId="77777777" w:rsidR="00887B83" w:rsidRPr="003015EB" w:rsidRDefault="00887B83" w:rsidP="00DC27DD">
      <w:pPr>
        <w:spacing w:before="100" w:beforeAutospacing="1" w:line="276" w:lineRule="auto"/>
        <w:jc w:val="both"/>
        <w:rPr>
          <w:rFonts w:ascii="Arial" w:hAnsi="Arial" w:cs="Arial"/>
          <w:sz w:val="22"/>
          <w:szCs w:val="22"/>
        </w:rPr>
      </w:pPr>
      <w:r w:rsidRPr="003015EB">
        <w:rPr>
          <w:rFonts w:ascii="Arial" w:hAnsi="Arial" w:cs="Arial"/>
          <w:sz w:val="22"/>
          <w:szCs w:val="22"/>
        </w:rPr>
        <w:t>Uvođenje administratora u Istarske domove zdravlja postaje sve nužnije zbog sve većeg administrativnog opterećenja koje utječe na medicinsko osoblje. Administratori preuzimaju zadatke poput zakazivanja termina, vođenja evidencija i upravljanja komunikacijom s pacijentima, čime značajno rasterećuju medicinske djelatnike i omogućuju im da se u većoj mjeri posvete izravnoj skrbi za pacijente. Ovakva organizacija rada dovodi do povećane operativne efikasnosti, smanjenja vremena čekanja pacijenata i poboljšanja zadovoljstva pruženom uslugom. Implementacija administratora također unapređuje komunikaciju unutar tima i s pacijentima. Uvođenje administratora omogućuje domovima zdravlja da se učinkovitije nose s izazovima modernog zdravstvenog sustava, poboljšavajući pristup skrbi, kvalitetu usluga i uvjete rada zdravstvenog osoblja. Kontinuirana podrška i razvoj administrativnih procesa donose dugoročne koristi kako za pacijente, tako i za timove zdravstvenih djelatnika, a ulaganje u administrativnu podršku postaje ključno za održavanje visokih standarda skrbi i efikasnosti u zdravstvenom sustavu.</w:t>
      </w:r>
    </w:p>
    <w:p w14:paraId="3CBAC68E" w14:textId="77777777" w:rsidR="00887B83" w:rsidRPr="00BA700C" w:rsidRDefault="00887B83" w:rsidP="00DC27DD">
      <w:pPr>
        <w:pBdr>
          <w:bottom w:val="single" w:sz="6" w:space="1" w:color="auto"/>
        </w:pBdr>
        <w:jc w:val="center"/>
        <w:rPr>
          <w:rFonts w:ascii="Arial" w:hAnsi="Arial" w:cs="Arial"/>
          <w:vanish/>
          <w:sz w:val="16"/>
          <w:szCs w:val="16"/>
        </w:rPr>
      </w:pPr>
      <w:r w:rsidRPr="00BA700C">
        <w:rPr>
          <w:rFonts w:ascii="Arial" w:hAnsi="Arial" w:cs="Arial"/>
          <w:vanish/>
          <w:sz w:val="16"/>
          <w:szCs w:val="16"/>
        </w:rPr>
        <w:t>Vrh obrasca</w:t>
      </w:r>
    </w:p>
    <w:p w14:paraId="64600768" w14:textId="77777777" w:rsidR="00887B83" w:rsidRPr="00BA700C" w:rsidRDefault="00887B83" w:rsidP="00DC27DD">
      <w:pPr>
        <w:pBdr>
          <w:top w:val="single" w:sz="6" w:space="1" w:color="auto"/>
        </w:pBdr>
        <w:jc w:val="center"/>
        <w:rPr>
          <w:rFonts w:ascii="Arial" w:hAnsi="Arial" w:cs="Arial"/>
          <w:vanish/>
          <w:sz w:val="16"/>
          <w:szCs w:val="16"/>
        </w:rPr>
      </w:pPr>
      <w:r w:rsidRPr="00BA700C">
        <w:rPr>
          <w:rFonts w:ascii="Arial" w:hAnsi="Arial" w:cs="Arial"/>
          <w:vanish/>
          <w:sz w:val="16"/>
          <w:szCs w:val="16"/>
        </w:rPr>
        <w:t>Dno obrasca</w:t>
      </w:r>
    </w:p>
    <w:p w14:paraId="5309081B" w14:textId="77777777" w:rsidR="00887B83" w:rsidRPr="00BA700C" w:rsidRDefault="00887B83" w:rsidP="00DC27DD">
      <w:pPr>
        <w:jc w:val="both"/>
        <w:rPr>
          <w:rFonts w:ascii="Arial" w:hAnsi="Arial" w:cs="Arial"/>
          <w:b/>
          <w:sz w:val="22"/>
          <w:szCs w:val="22"/>
        </w:rPr>
      </w:pPr>
    </w:p>
    <w:p w14:paraId="1C88E028" w14:textId="77777777" w:rsidR="00887B83" w:rsidRPr="00DC27DD" w:rsidRDefault="00887B83" w:rsidP="00DC27DD">
      <w:pPr>
        <w:pStyle w:val="Naslov5"/>
        <w:shd w:val="clear" w:color="auto" w:fill="FFFFFF"/>
        <w:spacing w:before="0" w:after="0"/>
        <w:jc w:val="both"/>
        <w:rPr>
          <w:rFonts w:ascii="Arial" w:hAnsi="Arial" w:cs="Arial"/>
          <w:b w:val="0"/>
          <w:bCs w:val="0"/>
          <w:i w:val="0"/>
          <w:iCs w:val="0"/>
          <w:sz w:val="22"/>
          <w:szCs w:val="22"/>
        </w:rPr>
      </w:pPr>
      <w:r w:rsidRPr="00DC27DD">
        <w:rPr>
          <w:rFonts w:ascii="Arial" w:hAnsi="Arial" w:cs="Arial"/>
          <w:b w:val="0"/>
          <w:bCs w:val="0"/>
          <w:i w:val="0"/>
          <w:iCs w:val="0"/>
          <w:sz w:val="22"/>
          <w:szCs w:val="22"/>
        </w:rPr>
        <w:t>CILJ USPJEŠNOSTI -</w:t>
      </w:r>
      <w:r w:rsidRPr="00DC27DD">
        <w:rPr>
          <w:rFonts w:ascii="Arial" w:hAnsi="Arial" w:cs="Arial"/>
          <w:i w:val="0"/>
          <w:iCs w:val="0"/>
          <w:sz w:val="22"/>
          <w:szCs w:val="22"/>
        </w:rPr>
        <w:t xml:space="preserve"> </w:t>
      </w:r>
      <w:r w:rsidRPr="00DC27DD">
        <w:rPr>
          <w:rFonts w:ascii="Arial" w:hAnsi="Arial" w:cs="Arial"/>
          <w:b w:val="0"/>
          <w:bCs w:val="0"/>
          <w:i w:val="0"/>
          <w:iCs w:val="0"/>
          <w:sz w:val="22"/>
          <w:szCs w:val="22"/>
        </w:rPr>
        <w:t>2.2.2. Jačanje ljudskih kapaciteta u zdravstvu</w:t>
      </w:r>
    </w:p>
    <w:p w14:paraId="47255147" w14:textId="77777777" w:rsidR="00DC27DD" w:rsidRPr="00DC27DD" w:rsidRDefault="00DC27DD" w:rsidP="00DC27DD"/>
    <w:p w14:paraId="4A0C2B08" w14:textId="77777777" w:rsidR="00887B83" w:rsidRPr="004F3556" w:rsidRDefault="00887B83" w:rsidP="00887B83">
      <w:pPr>
        <w:pStyle w:val="Naslov5"/>
        <w:shd w:val="clear" w:color="auto" w:fill="FFFFFF"/>
        <w:spacing w:before="0" w:after="0"/>
        <w:jc w:val="both"/>
        <w:rPr>
          <w:rFonts w:ascii="Arial" w:hAnsi="Arial" w:cs="Arial"/>
          <w:b w:val="0"/>
          <w:bCs w:val="0"/>
          <w:i w:val="0"/>
          <w:iCs w:val="0"/>
          <w:sz w:val="22"/>
          <w:szCs w:val="22"/>
        </w:rPr>
      </w:pPr>
      <w:r w:rsidRPr="004F3556">
        <w:rPr>
          <w:rFonts w:ascii="Arial" w:hAnsi="Arial" w:cs="Arial"/>
          <w:b w:val="0"/>
          <w:bCs w:val="0"/>
          <w:i w:val="0"/>
          <w:iCs w:val="0"/>
          <w:sz w:val="22"/>
          <w:szCs w:val="22"/>
        </w:rPr>
        <w:t>POKAZATELJI USPJEŠNOSTI</w:t>
      </w:r>
    </w:p>
    <w:tbl>
      <w:tblPr>
        <w:tblW w:w="9781" w:type="dxa"/>
        <w:tblInd w:w="-147" w:type="dxa"/>
        <w:tblLayout w:type="fixed"/>
        <w:tblLook w:val="04A0" w:firstRow="1" w:lastRow="0" w:firstColumn="1" w:lastColumn="0" w:noHBand="0" w:noVBand="1"/>
      </w:tblPr>
      <w:tblGrid>
        <w:gridCol w:w="1843"/>
        <w:gridCol w:w="1276"/>
        <w:gridCol w:w="1317"/>
        <w:gridCol w:w="5345"/>
      </w:tblGrid>
      <w:tr w:rsidR="00DC27DD" w:rsidRPr="00DC27DD" w14:paraId="7C8963AE" w14:textId="77777777" w:rsidTr="00DC27DD">
        <w:trPr>
          <w:trHeight w:val="694"/>
        </w:trPr>
        <w:tc>
          <w:tcPr>
            <w:tcW w:w="18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4FDBBD34" w14:textId="77777777" w:rsidR="00887B83" w:rsidRPr="00DC27DD" w:rsidRDefault="00887B83" w:rsidP="005D252F">
            <w:pPr>
              <w:jc w:val="center"/>
              <w:rPr>
                <w:rFonts w:ascii="Arial" w:hAnsi="Arial" w:cs="Arial"/>
                <w:b/>
                <w:bCs/>
                <w:sz w:val="22"/>
                <w:szCs w:val="22"/>
              </w:rPr>
            </w:pPr>
            <w:r w:rsidRPr="00DC27DD">
              <w:rPr>
                <w:rFonts w:ascii="Arial" w:hAnsi="Arial" w:cs="Arial"/>
                <w:b/>
                <w:bCs/>
                <w:sz w:val="22"/>
                <w:szCs w:val="22"/>
              </w:rPr>
              <w:t xml:space="preserve">Pokazatelj rezultata </w:t>
            </w:r>
          </w:p>
        </w:tc>
        <w:tc>
          <w:tcPr>
            <w:tcW w:w="1276"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3BF651ED" w14:textId="77777777" w:rsidR="00887B83" w:rsidRPr="00DC27DD" w:rsidRDefault="00887B83" w:rsidP="005D252F">
            <w:pPr>
              <w:jc w:val="center"/>
              <w:rPr>
                <w:rFonts w:ascii="Arial" w:hAnsi="Arial" w:cs="Arial"/>
                <w:b/>
                <w:bCs/>
                <w:sz w:val="22"/>
                <w:szCs w:val="22"/>
              </w:rPr>
            </w:pPr>
            <w:r w:rsidRPr="00DC27DD">
              <w:rPr>
                <w:rFonts w:ascii="Arial" w:hAnsi="Arial" w:cs="Arial"/>
                <w:b/>
                <w:bCs/>
                <w:sz w:val="22"/>
                <w:szCs w:val="22"/>
              </w:rPr>
              <w:t>Početna vrijednost</w:t>
            </w:r>
            <w:r w:rsidRPr="00DC27DD">
              <w:rPr>
                <w:rFonts w:ascii="Arial" w:hAnsi="Arial" w:cs="Arial"/>
                <w:b/>
                <w:bCs/>
                <w:sz w:val="22"/>
                <w:szCs w:val="22"/>
              </w:rPr>
              <w:br/>
              <w:t>(2025.)</w:t>
            </w:r>
          </w:p>
        </w:tc>
        <w:tc>
          <w:tcPr>
            <w:tcW w:w="1317"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73B1C95C" w14:textId="77777777" w:rsidR="00887B83" w:rsidRPr="00DC27DD" w:rsidRDefault="00887B83" w:rsidP="005D252F">
            <w:pPr>
              <w:jc w:val="center"/>
              <w:rPr>
                <w:rFonts w:ascii="Arial" w:hAnsi="Arial" w:cs="Arial"/>
                <w:b/>
                <w:bCs/>
                <w:sz w:val="22"/>
                <w:szCs w:val="22"/>
              </w:rPr>
            </w:pPr>
            <w:r w:rsidRPr="00DC27DD">
              <w:rPr>
                <w:rFonts w:ascii="Arial" w:hAnsi="Arial" w:cs="Arial"/>
                <w:b/>
                <w:bCs/>
                <w:sz w:val="22"/>
                <w:szCs w:val="22"/>
              </w:rPr>
              <w:t>Ciljna</w:t>
            </w:r>
            <w:r w:rsidRPr="00DC27DD">
              <w:rPr>
                <w:rFonts w:ascii="Arial" w:hAnsi="Arial" w:cs="Arial"/>
                <w:b/>
                <w:bCs/>
                <w:sz w:val="22"/>
                <w:szCs w:val="22"/>
              </w:rPr>
              <w:br/>
              <w:t>vrijednost</w:t>
            </w:r>
            <w:r w:rsidRPr="00DC27DD">
              <w:rPr>
                <w:rFonts w:ascii="Arial" w:hAnsi="Arial" w:cs="Arial"/>
                <w:b/>
                <w:bCs/>
                <w:sz w:val="22"/>
                <w:szCs w:val="22"/>
              </w:rPr>
              <w:br/>
              <w:t>2025.</w:t>
            </w:r>
          </w:p>
        </w:tc>
        <w:tc>
          <w:tcPr>
            <w:tcW w:w="5345"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0686CD94" w14:textId="77777777" w:rsidR="00887B83" w:rsidRPr="00DC27DD" w:rsidRDefault="00887B83" w:rsidP="005D252F">
            <w:pPr>
              <w:jc w:val="center"/>
              <w:rPr>
                <w:rFonts w:ascii="Arial" w:hAnsi="Arial" w:cs="Arial"/>
                <w:b/>
                <w:bCs/>
                <w:sz w:val="22"/>
                <w:szCs w:val="22"/>
              </w:rPr>
            </w:pPr>
            <w:r w:rsidRPr="00DC27DD">
              <w:rPr>
                <w:rFonts w:ascii="Arial" w:hAnsi="Arial" w:cs="Arial"/>
                <w:b/>
                <w:bCs/>
                <w:sz w:val="22"/>
                <w:szCs w:val="22"/>
              </w:rPr>
              <w:t>Ostvarena vrijednost u periodu 01.-12/2025.</w:t>
            </w:r>
          </w:p>
        </w:tc>
      </w:tr>
      <w:tr w:rsidR="00DC27DD" w:rsidRPr="00DC27DD" w14:paraId="3D42F6B1" w14:textId="77777777" w:rsidTr="00DC27DD">
        <w:trPr>
          <w:trHeight w:val="415"/>
        </w:trPr>
        <w:tc>
          <w:tcPr>
            <w:tcW w:w="1843" w:type="dxa"/>
            <w:tcBorders>
              <w:top w:val="nil"/>
              <w:left w:val="single" w:sz="4" w:space="0" w:color="000000"/>
              <w:bottom w:val="single" w:sz="4" w:space="0" w:color="000000"/>
              <w:right w:val="single" w:sz="4" w:space="0" w:color="000000"/>
            </w:tcBorders>
            <w:shd w:val="clear" w:color="FFFFFF" w:fill="FFFFFF"/>
            <w:vAlign w:val="center"/>
          </w:tcPr>
          <w:p w14:paraId="3DC1FDE7" w14:textId="77777777" w:rsidR="00887B83" w:rsidRPr="00DC27DD" w:rsidRDefault="00887B83" w:rsidP="005D252F">
            <w:pPr>
              <w:jc w:val="center"/>
              <w:rPr>
                <w:rFonts w:ascii="Arial" w:hAnsi="Arial" w:cs="Arial"/>
                <w:sz w:val="22"/>
                <w:szCs w:val="22"/>
              </w:rPr>
            </w:pPr>
            <w:r w:rsidRPr="00DC27DD">
              <w:rPr>
                <w:rFonts w:ascii="Arial" w:hAnsi="Arial" w:cs="Arial"/>
                <w:sz w:val="22"/>
                <w:szCs w:val="22"/>
              </w:rPr>
              <w:t>Broj zaposlenih administratora</w:t>
            </w:r>
          </w:p>
        </w:tc>
        <w:tc>
          <w:tcPr>
            <w:tcW w:w="1276" w:type="dxa"/>
            <w:tcBorders>
              <w:top w:val="nil"/>
              <w:left w:val="nil"/>
              <w:bottom w:val="single" w:sz="4" w:space="0" w:color="000000"/>
              <w:right w:val="single" w:sz="4" w:space="0" w:color="000000"/>
            </w:tcBorders>
            <w:shd w:val="clear" w:color="FFFFFF" w:fill="FFFFFF"/>
            <w:vAlign w:val="center"/>
          </w:tcPr>
          <w:p w14:paraId="56364BC7" w14:textId="77777777" w:rsidR="00887B83" w:rsidRPr="00DC27DD" w:rsidRDefault="00887B83" w:rsidP="005D252F">
            <w:pPr>
              <w:jc w:val="center"/>
              <w:rPr>
                <w:rFonts w:ascii="Arial" w:hAnsi="Arial" w:cs="Arial"/>
                <w:sz w:val="22"/>
                <w:szCs w:val="22"/>
              </w:rPr>
            </w:pPr>
            <w:r w:rsidRPr="00DC27DD">
              <w:rPr>
                <w:rFonts w:ascii="Arial" w:hAnsi="Arial" w:cs="Arial"/>
                <w:sz w:val="22"/>
                <w:szCs w:val="22"/>
              </w:rPr>
              <w:t>10</w:t>
            </w:r>
          </w:p>
        </w:tc>
        <w:tc>
          <w:tcPr>
            <w:tcW w:w="1317" w:type="dxa"/>
            <w:tcBorders>
              <w:top w:val="nil"/>
              <w:left w:val="nil"/>
              <w:bottom w:val="single" w:sz="4" w:space="0" w:color="000000"/>
              <w:right w:val="single" w:sz="4" w:space="0" w:color="000000"/>
            </w:tcBorders>
            <w:shd w:val="clear" w:color="FFFFFF" w:fill="FFFFFF"/>
            <w:vAlign w:val="center"/>
          </w:tcPr>
          <w:p w14:paraId="7C05E85B" w14:textId="77777777" w:rsidR="00887B83" w:rsidRPr="00DC27DD" w:rsidRDefault="00887B83" w:rsidP="005D252F">
            <w:pPr>
              <w:jc w:val="center"/>
              <w:rPr>
                <w:rFonts w:ascii="Arial" w:hAnsi="Arial" w:cs="Arial"/>
                <w:sz w:val="22"/>
                <w:szCs w:val="22"/>
              </w:rPr>
            </w:pPr>
            <w:r w:rsidRPr="00DC27DD">
              <w:rPr>
                <w:rFonts w:ascii="Arial" w:hAnsi="Arial" w:cs="Arial"/>
                <w:sz w:val="22"/>
                <w:szCs w:val="22"/>
              </w:rPr>
              <w:t>15</w:t>
            </w:r>
          </w:p>
        </w:tc>
        <w:tc>
          <w:tcPr>
            <w:tcW w:w="5345" w:type="dxa"/>
            <w:tcBorders>
              <w:top w:val="nil"/>
              <w:left w:val="nil"/>
              <w:bottom w:val="single" w:sz="4" w:space="0" w:color="000000"/>
              <w:right w:val="single" w:sz="4" w:space="0" w:color="000000"/>
            </w:tcBorders>
            <w:shd w:val="clear" w:color="FFFFFF" w:fill="FFFFFF"/>
            <w:vAlign w:val="center"/>
          </w:tcPr>
          <w:p w14:paraId="09AFEDD0" w14:textId="0BCAABEE" w:rsidR="00887B83" w:rsidRPr="00DC27DD" w:rsidRDefault="00887B83" w:rsidP="005D252F">
            <w:pPr>
              <w:jc w:val="both"/>
              <w:rPr>
                <w:rFonts w:ascii="Arial" w:hAnsi="Arial" w:cs="Arial"/>
                <w:bCs/>
                <w:sz w:val="22"/>
                <w:szCs w:val="22"/>
              </w:rPr>
            </w:pPr>
            <w:r w:rsidRPr="00DC27DD">
              <w:rPr>
                <w:rFonts w:ascii="Arial" w:hAnsi="Arial" w:cs="Arial"/>
                <w:bCs/>
                <w:sz w:val="22"/>
                <w:szCs w:val="22"/>
              </w:rPr>
              <w:t>Tijekom 2025. g</w:t>
            </w:r>
            <w:r w:rsidR="00DC27DD">
              <w:rPr>
                <w:rFonts w:ascii="Arial" w:hAnsi="Arial" w:cs="Arial"/>
                <w:bCs/>
                <w:sz w:val="22"/>
                <w:szCs w:val="22"/>
              </w:rPr>
              <w:t>.</w:t>
            </w:r>
            <w:r w:rsidRPr="00DC27DD">
              <w:rPr>
                <w:rFonts w:ascii="Arial" w:hAnsi="Arial" w:cs="Arial"/>
                <w:bCs/>
                <w:sz w:val="22"/>
                <w:szCs w:val="22"/>
              </w:rPr>
              <w:t xml:space="preserve"> ukupno 14 administratora bilo je zaposleno u djelatnostima: medicinsko - biokemijskog laboratorija (5 administratora), ordinacijama obiteljske medicine (3 administratora), radiološkoj djelatnosti (1 administrator), 1 administrator na djelatnosti medicinsko-biokemijskog laboratorija te djelatnosti radiologije isp</w:t>
            </w:r>
            <w:r w:rsidR="00DC27DD">
              <w:rPr>
                <w:rFonts w:ascii="Arial" w:hAnsi="Arial" w:cs="Arial"/>
                <w:bCs/>
                <w:sz w:val="22"/>
                <w:szCs w:val="22"/>
              </w:rPr>
              <w:t>.</w:t>
            </w:r>
            <w:r w:rsidRPr="00DC27DD">
              <w:rPr>
                <w:rFonts w:ascii="Arial" w:hAnsi="Arial" w:cs="Arial"/>
                <w:bCs/>
                <w:sz w:val="22"/>
                <w:szCs w:val="22"/>
              </w:rPr>
              <w:t xml:space="preserve"> Pazin, 2 administratora obavljali su poslove svih zdravstvenih djelatnosti ustanove </w:t>
            </w:r>
            <w:r w:rsidR="00DC27DD">
              <w:rPr>
                <w:rFonts w:ascii="Arial" w:hAnsi="Arial" w:cs="Arial"/>
                <w:bCs/>
                <w:sz w:val="22"/>
                <w:szCs w:val="22"/>
              </w:rPr>
              <w:t>te</w:t>
            </w:r>
            <w:r w:rsidRPr="00DC27DD">
              <w:rPr>
                <w:rFonts w:ascii="Arial" w:hAnsi="Arial" w:cs="Arial"/>
                <w:bCs/>
                <w:sz w:val="22"/>
                <w:szCs w:val="22"/>
              </w:rPr>
              <w:t xml:space="preserve"> 2 administratora na porti glavne zgrade </w:t>
            </w:r>
            <w:r w:rsidR="00DC27DD">
              <w:rPr>
                <w:rFonts w:ascii="Arial" w:hAnsi="Arial" w:cs="Arial"/>
                <w:bCs/>
                <w:sz w:val="22"/>
                <w:szCs w:val="22"/>
              </w:rPr>
              <w:t xml:space="preserve">isp. </w:t>
            </w:r>
            <w:r w:rsidRPr="00DC27DD">
              <w:rPr>
                <w:rFonts w:ascii="Arial" w:hAnsi="Arial" w:cs="Arial"/>
                <w:bCs/>
                <w:sz w:val="22"/>
                <w:szCs w:val="22"/>
              </w:rPr>
              <w:t xml:space="preserve">Poreč i  glavne zgrade </w:t>
            </w:r>
            <w:r w:rsidR="00DC27DD">
              <w:rPr>
                <w:rFonts w:ascii="Arial" w:hAnsi="Arial" w:cs="Arial"/>
                <w:bCs/>
                <w:sz w:val="22"/>
                <w:szCs w:val="22"/>
              </w:rPr>
              <w:t xml:space="preserve">isp. </w:t>
            </w:r>
            <w:r w:rsidRPr="00DC27DD">
              <w:rPr>
                <w:rFonts w:ascii="Arial" w:hAnsi="Arial" w:cs="Arial"/>
                <w:bCs/>
                <w:sz w:val="22"/>
                <w:szCs w:val="22"/>
              </w:rPr>
              <w:t>Pul</w:t>
            </w:r>
            <w:r w:rsidR="00DC27DD">
              <w:rPr>
                <w:rFonts w:ascii="Arial" w:hAnsi="Arial" w:cs="Arial"/>
                <w:bCs/>
                <w:sz w:val="22"/>
                <w:szCs w:val="22"/>
              </w:rPr>
              <w:t>a</w:t>
            </w:r>
            <w:r w:rsidRPr="00DC27DD">
              <w:rPr>
                <w:rFonts w:ascii="Arial" w:hAnsi="Arial" w:cs="Arial"/>
                <w:bCs/>
                <w:sz w:val="22"/>
                <w:szCs w:val="22"/>
              </w:rPr>
              <w:t>. U 2025. g</w:t>
            </w:r>
            <w:r w:rsidR="00DC27DD">
              <w:rPr>
                <w:rFonts w:ascii="Arial" w:hAnsi="Arial" w:cs="Arial"/>
                <w:bCs/>
                <w:sz w:val="22"/>
                <w:szCs w:val="22"/>
              </w:rPr>
              <w:t>.</w:t>
            </w:r>
            <w:r w:rsidRPr="00DC27DD">
              <w:rPr>
                <w:rFonts w:ascii="Arial" w:hAnsi="Arial" w:cs="Arial"/>
                <w:bCs/>
                <w:sz w:val="22"/>
                <w:szCs w:val="22"/>
              </w:rPr>
              <w:t xml:space="preserve"> utrošen je cjelokupan iznos ugovorenih sredstava (105.000,00 eura).</w:t>
            </w:r>
          </w:p>
        </w:tc>
      </w:tr>
    </w:tbl>
    <w:p w14:paraId="1A57A233" w14:textId="77777777" w:rsidR="00CE7B96" w:rsidRDefault="00CE7B96" w:rsidP="00887B83">
      <w:pPr>
        <w:pStyle w:val="Odlomakpopisa"/>
        <w:jc w:val="both"/>
        <w:rPr>
          <w:rFonts w:ascii="Arial" w:hAnsi="Arial" w:cs="Arial"/>
        </w:rPr>
      </w:pPr>
    </w:p>
    <w:p w14:paraId="3C73FCA2" w14:textId="77777777" w:rsidR="00653A17" w:rsidRDefault="00653A17" w:rsidP="00887B83">
      <w:pPr>
        <w:pStyle w:val="Odlomakpopisa"/>
        <w:jc w:val="both"/>
        <w:rPr>
          <w:rFonts w:ascii="Arial" w:hAnsi="Arial" w:cs="Arial"/>
        </w:rPr>
      </w:pPr>
    </w:p>
    <w:p w14:paraId="12A5EF12" w14:textId="2A4834EF" w:rsidR="00887B83" w:rsidRDefault="00887B83" w:rsidP="00887B83">
      <w:pPr>
        <w:pStyle w:val="Odlomakpopisa"/>
        <w:numPr>
          <w:ilvl w:val="1"/>
          <w:numId w:val="42"/>
        </w:numPr>
        <w:jc w:val="both"/>
        <w:rPr>
          <w:rFonts w:ascii="Arial" w:hAnsi="Arial" w:cs="Arial"/>
          <w:b/>
          <w:bCs/>
        </w:rPr>
      </w:pPr>
      <w:r w:rsidRPr="00653A17">
        <w:rPr>
          <w:rFonts w:ascii="Arial" w:hAnsi="Arial" w:cs="Arial"/>
          <w:b/>
          <w:bCs/>
        </w:rPr>
        <w:t xml:space="preserve">Energetska obnova zgrade </w:t>
      </w:r>
      <w:r w:rsidR="00653A17" w:rsidRPr="00653A17">
        <w:rPr>
          <w:rFonts w:ascii="Arial" w:hAnsi="Arial" w:cs="Arial"/>
          <w:b/>
          <w:bCs/>
        </w:rPr>
        <w:t>(K650208)</w:t>
      </w:r>
    </w:p>
    <w:p w14:paraId="4C154EDD" w14:textId="4CD0725D" w:rsidR="00F11A39" w:rsidRPr="00DC27DD" w:rsidRDefault="00F11A39" w:rsidP="00DC27DD">
      <w:pPr>
        <w:spacing w:before="100" w:beforeAutospacing="1" w:after="100" w:afterAutospacing="1"/>
        <w:jc w:val="both"/>
        <w:rPr>
          <w:rFonts w:ascii="Arial" w:hAnsi="Arial" w:cs="Arial"/>
          <w:sz w:val="22"/>
          <w:szCs w:val="22"/>
        </w:rPr>
      </w:pPr>
      <w:r w:rsidRPr="00DC27DD">
        <w:rPr>
          <w:rFonts w:ascii="Arial" w:hAnsi="Arial" w:cs="Arial"/>
          <w:sz w:val="22"/>
          <w:szCs w:val="22"/>
        </w:rPr>
        <w:t>Aktivnost „Energetska obnova zgrade“ obuhvaća izradu cjelovite projektno-tehničke dokumentacije potrebne za provedbu energetske obnove objekta Zdravstvene stanice Veruda</w:t>
      </w:r>
      <w:r w:rsidR="00DC27DD">
        <w:rPr>
          <w:rFonts w:ascii="Arial" w:hAnsi="Arial" w:cs="Arial"/>
          <w:sz w:val="22"/>
          <w:szCs w:val="22"/>
        </w:rPr>
        <w:t xml:space="preserve"> u Puli</w:t>
      </w:r>
      <w:r w:rsidRPr="00DC27DD">
        <w:rPr>
          <w:rFonts w:ascii="Arial" w:hAnsi="Arial" w:cs="Arial"/>
          <w:sz w:val="22"/>
          <w:szCs w:val="22"/>
        </w:rPr>
        <w:t xml:space="preserve">. Riječ je o ključnom koraku koji predstavlja osnovu za planiranje i provedbu svih budućih zahvata. Energetska obnova uključuje mjere usmjerene na povećanje energetske učinkovitosti, smanjenje potrošnje energije i optimizaciju troškova grijanja, hlađenja i električne energije, čime se dugoročno unapređuju uvjeti rada </w:t>
      </w:r>
      <w:r w:rsidR="00DC27DD">
        <w:rPr>
          <w:rFonts w:ascii="Arial" w:hAnsi="Arial" w:cs="Arial"/>
          <w:sz w:val="22"/>
          <w:szCs w:val="22"/>
        </w:rPr>
        <w:t>uz uštedu režijskih troškova objekta. I</w:t>
      </w:r>
      <w:r w:rsidRPr="00DC27DD">
        <w:rPr>
          <w:rFonts w:ascii="Arial" w:hAnsi="Arial" w:cs="Arial"/>
          <w:sz w:val="22"/>
          <w:szCs w:val="22"/>
        </w:rPr>
        <w:t>zrađena</w:t>
      </w:r>
      <w:r w:rsidR="00DC27DD">
        <w:rPr>
          <w:rFonts w:ascii="Arial" w:hAnsi="Arial" w:cs="Arial"/>
          <w:sz w:val="22"/>
          <w:szCs w:val="22"/>
        </w:rPr>
        <w:t xml:space="preserve"> projektna</w:t>
      </w:r>
      <w:r w:rsidRPr="00DC27DD">
        <w:rPr>
          <w:rFonts w:ascii="Arial" w:hAnsi="Arial" w:cs="Arial"/>
          <w:sz w:val="22"/>
          <w:szCs w:val="22"/>
        </w:rPr>
        <w:t xml:space="preserve"> </w:t>
      </w:r>
      <w:r w:rsidRPr="00DC27DD">
        <w:rPr>
          <w:rFonts w:ascii="Arial" w:hAnsi="Arial" w:cs="Arial"/>
          <w:sz w:val="22"/>
          <w:szCs w:val="22"/>
        </w:rPr>
        <w:lastRenderedPageBreak/>
        <w:t>dokumentacija omogućuje pravovremenu i usklađenu provedbu aktivnosti u skladu sa zakonskim i tehničkim zahtjevima te osigurava transparentan i učinkovit pristup realizaciji projekta s dugoročnim koristima za ustanovu.</w:t>
      </w:r>
    </w:p>
    <w:p w14:paraId="6DEDA4BD" w14:textId="77777777" w:rsidR="00653A17" w:rsidRPr="00DC27DD" w:rsidRDefault="00653A17" w:rsidP="00653A17">
      <w:pPr>
        <w:ind w:left="2835" w:hanging="2835"/>
        <w:jc w:val="both"/>
        <w:rPr>
          <w:rFonts w:ascii="Arial" w:hAnsi="Arial" w:cs="Arial"/>
          <w:b/>
          <w:sz w:val="22"/>
          <w:szCs w:val="22"/>
        </w:rPr>
      </w:pPr>
      <w:r w:rsidRPr="00DC27DD">
        <w:rPr>
          <w:rFonts w:ascii="Arial" w:hAnsi="Arial" w:cs="Arial"/>
          <w:sz w:val="22"/>
          <w:szCs w:val="22"/>
        </w:rPr>
        <w:t>CILJ USPJEŠNOSTI - 2.2.3.</w:t>
      </w:r>
      <w:r w:rsidRPr="00DC27DD">
        <w:rPr>
          <w:rFonts w:ascii="Arial" w:hAnsi="Arial" w:cs="Arial"/>
          <w:b/>
          <w:sz w:val="22"/>
          <w:szCs w:val="22"/>
        </w:rPr>
        <w:t xml:space="preserve"> </w:t>
      </w:r>
      <w:r w:rsidRPr="00DC27DD">
        <w:rPr>
          <w:rFonts w:ascii="Arial" w:hAnsi="Arial" w:cs="Arial"/>
          <w:sz w:val="22"/>
          <w:szCs w:val="22"/>
        </w:rPr>
        <w:t>Osiguranje suvremenih i ekološki održivih infrastrukturnih kapaciteta za pružanje zdravstvene zaštite</w:t>
      </w:r>
    </w:p>
    <w:p w14:paraId="5D4D37AE" w14:textId="77777777" w:rsidR="00282AF7" w:rsidRDefault="00282AF7" w:rsidP="00282AF7">
      <w:pPr>
        <w:jc w:val="both"/>
        <w:rPr>
          <w:rFonts w:ascii="Arial" w:hAnsi="Arial" w:cs="Arial"/>
          <w:sz w:val="22"/>
          <w:szCs w:val="22"/>
        </w:rPr>
      </w:pPr>
    </w:p>
    <w:p w14:paraId="3327B21F" w14:textId="1F8B0FE0" w:rsidR="00282AF7" w:rsidRPr="004F3556" w:rsidRDefault="00282AF7" w:rsidP="00282AF7">
      <w:pPr>
        <w:jc w:val="both"/>
        <w:rPr>
          <w:rFonts w:ascii="Arial" w:hAnsi="Arial" w:cs="Arial"/>
          <w:sz w:val="22"/>
          <w:szCs w:val="22"/>
        </w:rPr>
      </w:pPr>
      <w:r>
        <w:rPr>
          <w:rFonts w:ascii="Arial" w:hAnsi="Arial" w:cs="Arial"/>
          <w:sz w:val="22"/>
          <w:szCs w:val="22"/>
        </w:rPr>
        <w:t xml:space="preserve"> </w:t>
      </w:r>
      <w:r w:rsidRPr="004F3556">
        <w:rPr>
          <w:rFonts w:ascii="Arial" w:hAnsi="Arial" w:cs="Arial"/>
          <w:sz w:val="22"/>
          <w:szCs w:val="22"/>
        </w:rPr>
        <w:t>POKAZATELJI USPJEŠNOSTI</w:t>
      </w:r>
    </w:p>
    <w:tbl>
      <w:tblPr>
        <w:tblW w:w="9362" w:type="dxa"/>
        <w:tblInd w:w="108" w:type="dxa"/>
        <w:tblLayout w:type="fixed"/>
        <w:tblLook w:val="04A0" w:firstRow="1" w:lastRow="0" w:firstColumn="1" w:lastColumn="0" w:noHBand="0" w:noVBand="1"/>
      </w:tblPr>
      <w:tblGrid>
        <w:gridCol w:w="2163"/>
        <w:gridCol w:w="1268"/>
        <w:gridCol w:w="1701"/>
        <w:gridCol w:w="4230"/>
      </w:tblGrid>
      <w:tr w:rsidR="00DC27DD" w:rsidRPr="00DC27DD" w14:paraId="7C527F4B" w14:textId="77777777" w:rsidTr="00282AF7">
        <w:trPr>
          <w:trHeight w:val="483"/>
        </w:trPr>
        <w:tc>
          <w:tcPr>
            <w:tcW w:w="216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14E922E2" w14:textId="77777777" w:rsidR="00282AF7" w:rsidRPr="00DC27DD" w:rsidRDefault="00282AF7" w:rsidP="005D252F">
            <w:pPr>
              <w:jc w:val="center"/>
              <w:rPr>
                <w:rFonts w:ascii="Arial" w:hAnsi="Arial" w:cs="Arial"/>
                <w:b/>
                <w:bCs/>
                <w:sz w:val="22"/>
                <w:szCs w:val="22"/>
              </w:rPr>
            </w:pPr>
            <w:r w:rsidRPr="00DC27DD">
              <w:rPr>
                <w:rFonts w:ascii="Arial" w:hAnsi="Arial" w:cs="Arial"/>
                <w:b/>
                <w:bCs/>
                <w:sz w:val="22"/>
                <w:szCs w:val="22"/>
              </w:rPr>
              <w:t xml:space="preserve">Pokazatelj rezultata </w:t>
            </w:r>
          </w:p>
        </w:tc>
        <w:tc>
          <w:tcPr>
            <w:tcW w:w="1268"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4EEC06DA" w14:textId="77777777" w:rsidR="00282AF7" w:rsidRPr="00DC27DD" w:rsidRDefault="00282AF7" w:rsidP="005D252F">
            <w:pPr>
              <w:jc w:val="center"/>
              <w:rPr>
                <w:rFonts w:ascii="Arial" w:hAnsi="Arial" w:cs="Arial"/>
                <w:b/>
                <w:bCs/>
                <w:sz w:val="22"/>
                <w:szCs w:val="22"/>
              </w:rPr>
            </w:pPr>
            <w:r w:rsidRPr="00DC27DD">
              <w:rPr>
                <w:rFonts w:ascii="Arial" w:hAnsi="Arial" w:cs="Arial"/>
                <w:b/>
                <w:bCs/>
                <w:sz w:val="22"/>
                <w:szCs w:val="22"/>
              </w:rPr>
              <w:t>Početna vrijednost</w:t>
            </w:r>
            <w:r w:rsidRPr="00DC27DD">
              <w:rPr>
                <w:rFonts w:ascii="Arial" w:hAnsi="Arial" w:cs="Arial"/>
                <w:b/>
                <w:bCs/>
                <w:sz w:val="22"/>
                <w:szCs w:val="22"/>
              </w:rPr>
              <w:br/>
              <w:t>(2025.)</w:t>
            </w:r>
          </w:p>
        </w:tc>
        <w:tc>
          <w:tcPr>
            <w:tcW w:w="1701"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4FCFAF5D" w14:textId="77777777" w:rsidR="00282AF7" w:rsidRPr="00DC27DD" w:rsidRDefault="00282AF7" w:rsidP="005D252F">
            <w:pPr>
              <w:jc w:val="center"/>
              <w:rPr>
                <w:rFonts w:ascii="Arial" w:hAnsi="Arial" w:cs="Arial"/>
                <w:b/>
                <w:bCs/>
                <w:sz w:val="22"/>
                <w:szCs w:val="22"/>
              </w:rPr>
            </w:pPr>
            <w:r w:rsidRPr="00DC27DD">
              <w:rPr>
                <w:rFonts w:ascii="Arial" w:hAnsi="Arial" w:cs="Arial"/>
                <w:b/>
                <w:bCs/>
                <w:sz w:val="22"/>
                <w:szCs w:val="22"/>
              </w:rPr>
              <w:t>Ciljna</w:t>
            </w:r>
            <w:r w:rsidRPr="00DC27DD">
              <w:rPr>
                <w:rFonts w:ascii="Arial" w:hAnsi="Arial" w:cs="Arial"/>
                <w:b/>
                <w:bCs/>
                <w:sz w:val="22"/>
                <w:szCs w:val="22"/>
              </w:rPr>
              <w:br/>
              <w:t>vrijednost</w:t>
            </w:r>
            <w:r w:rsidRPr="00DC27DD">
              <w:rPr>
                <w:rFonts w:ascii="Arial" w:hAnsi="Arial" w:cs="Arial"/>
                <w:b/>
                <w:bCs/>
                <w:sz w:val="22"/>
                <w:szCs w:val="22"/>
              </w:rPr>
              <w:br/>
              <w:t>2025.</w:t>
            </w:r>
          </w:p>
        </w:tc>
        <w:tc>
          <w:tcPr>
            <w:tcW w:w="4230"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6D875847" w14:textId="77777777" w:rsidR="00282AF7" w:rsidRPr="00DC27DD" w:rsidRDefault="00282AF7" w:rsidP="005D252F">
            <w:pPr>
              <w:jc w:val="center"/>
              <w:rPr>
                <w:rFonts w:ascii="Arial" w:hAnsi="Arial" w:cs="Arial"/>
                <w:b/>
                <w:bCs/>
                <w:sz w:val="22"/>
                <w:szCs w:val="22"/>
              </w:rPr>
            </w:pPr>
            <w:r w:rsidRPr="00DC27DD">
              <w:rPr>
                <w:rFonts w:ascii="Arial" w:hAnsi="Arial" w:cs="Arial"/>
                <w:b/>
                <w:bCs/>
                <w:sz w:val="22"/>
                <w:szCs w:val="22"/>
              </w:rPr>
              <w:t>Ostvarena vrijednost u periodu 01.-12/2025.</w:t>
            </w:r>
          </w:p>
        </w:tc>
      </w:tr>
      <w:tr w:rsidR="00DC27DD" w:rsidRPr="00DC27DD" w14:paraId="1905DB1E" w14:textId="77777777" w:rsidTr="00282AF7">
        <w:trPr>
          <w:trHeight w:val="1018"/>
        </w:trPr>
        <w:tc>
          <w:tcPr>
            <w:tcW w:w="2163" w:type="dxa"/>
            <w:tcBorders>
              <w:top w:val="nil"/>
              <w:left w:val="single" w:sz="4" w:space="0" w:color="000000"/>
              <w:bottom w:val="single" w:sz="4" w:space="0" w:color="000000"/>
              <w:right w:val="single" w:sz="4" w:space="0" w:color="000000"/>
            </w:tcBorders>
            <w:shd w:val="clear" w:color="FFFFFF" w:fill="FFFFFF"/>
            <w:vAlign w:val="center"/>
          </w:tcPr>
          <w:p w14:paraId="03EA68D8" w14:textId="6797FDFA" w:rsidR="00282AF7" w:rsidRPr="00DC27DD" w:rsidRDefault="00DC27DD" w:rsidP="005D252F">
            <w:pPr>
              <w:jc w:val="center"/>
              <w:rPr>
                <w:rFonts w:ascii="Arial" w:hAnsi="Arial" w:cs="Arial"/>
                <w:sz w:val="22"/>
                <w:szCs w:val="22"/>
              </w:rPr>
            </w:pPr>
            <w:r w:rsidRPr="00DC27DD">
              <w:rPr>
                <w:rFonts w:ascii="Arial" w:hAnsi="Arial" w:cs="Arial"/>
                <w:sz w:val="22"/>
                <w:szCs w:val="22"/>
              </w:rPr>
              <w:t>I</w:t>
            </w:r>
            <w:r w:rsidR="00282AF7" w:rsidRPr="00DC27DD">
              <w:rPr>
                <w:rFonts w:ascii="Arial" w:hAnsi="Arial" w:cs="Arial"/>
                <w:sz w:val="22"/>
                <w:szCs w:val="22"/>
              </w:rPr>
              <w:t>zrad</w:t>
            </w:r>
            <w:r w:rsidRPr="00DC27DD">
              <w:rPr>
                <w:rFonts w:ascii="Arial" w:hAnsi="Arial" w:cs="Arial"/>
                <w:sz w:val="22"/>
                <w:szCs w:val="22"/>
              </w:rPr>
              <w:t>a</w:t>
            </w:r>
            <w:r w:rsidR="00282AF7" w:rsidRPr="00DC27DD">
              <w:rPr>
                <w:rFonts w:ascii="Arial" w:hAnsi="Arial" w:cs="Arial"/>
                <w:sz w:val="22"/>
                <w:szCs w:val="22"/>
              </w:rPr>
              <w:t xml:space="preserve"> projektne dokumentacije</w:t>
            </w:r>
            <w:r w:rsidRPr="00DC27DD">
              <w:rPr>
                <w:rFonts w:ascii="Arial" w:hAnsi="Arial" w:cs="Arial"/>
                <w:sz w:val="22"/>
                <w:szCs w:val="22"/>
              </w:rPr>
              <w:t xml:space="preserve"> za energetsku obnovu</w:t>
            </w:r>
          </w:p>
        </w:tc>
        <w:tc>
          <w:tcPr>
            <w:tcW w:w="1268" w:type="dxa"/>
            <w:tcBorders>
              <w:top w:val="nil"/>
              <w:left w:val="nil"/>
              <w:bottom w:val="single" w:sz="4" w:space="0" w:color="000000"/>
              <w:right w:val="single" w:sz="4" w:space="0" w:color="000000"/>
            </w:tcBorders>
            <w:shd w:val="clear" w:color="FFFFFF" w:fill="FFFFFF"/>
            <w:vAlign w:val="center"/>
          </w:tcPr>
          <w:p w14:paraId="52C4DF0A" w14:textId="77777777" w:rsidR="00282AF7" w:rsidRPr="00DC27DD" w:rsidRDefault="00282AF7" w:rsidP="005D252F">
            <w:pPr>
              <w:jc w:val="center"/>
              <w:rPr>
                <w:rFonts w:ascii="Arial" w:hAnsi="Arial" w:cs="Arial"/>
                <w:sz w:val="22"/>
                <w:szCs w:val="22"/>
              </w:rPr>
            </w:pPr>
            <w:r w:rsidRPr="00DC27DD">
              <w:rPr>
                <w:rFonts w:ascii="Arial" w:hAnsi="Arial" w:cs="Arial"/>
                <w:sz w:val="22"/>
                <w:szCs w:val="22"/>
              </w:rPr>
              <w:t>0</w:t>
            </w:r>
          </w:p>
        </w:tc>
        <w:tc>
          <w:tcPr>
            <w:tcW w:w="1701" w:type="dxa"/>
            <w:tcBorders>
              <w:top w:val="nil"/>
              <w:left w:val="nil"/>
              <w:bottom w:val="single" w:sz="4" w:space="0" w:color="000000"/>
              <w:right w:val="single" w:sz="4" w:space="0" w:color="000000"/>
            </w:tcBorders>
            <w:shd w:val="clear" w:color="FFFFFF" w:fill="FFFFFF"/>
            <w:vAlign w:val="center"/>
          </w:tcPr>
          <w:p w14:paraId="65AD61CA" w14:textId="26F189D6" w:rsidR="00282AF7" w:rsidRPr="00DC27DD" w:rsidRDefault="00BA700C" w:rsidP="005D252F">
            <w:pPr>
              <w:jc w:val="center"/>
              <w:rPr>
                <w:rFonts w:ascii="Arial" w:hAnsi="Arial" w:cs="Arial"/>
                <w:sz w:val="22"/>
                <w:szCs w:val="22"/>
              </w:rPr>
            </w:pPr>
            <w:r w:rsidRPr="00DC27DD">
              <w:rPr>
                <w:rFonts w:ascii="Arial" w:hAnsi="Arial" w:cs="Arial"/>
                <w:sz w:val="22"/>
                <w:szCs w:val="22"/>
              </w:rPr>
              <w:t>Izrađena</w:t>
            </w:r>
            <w:r w:rsidR="00282AF7" w:rsidRPr="00DC27DD">
              <w:rPr>
                <w:rFonts w:ascii="Arial" w:hAnsi="Arial" w:cs="Arial"/>
                <w:sz w:val="22"/>
                <w:szCs w:val="22"/>
              </w:rPr>
              <w:t xml:space="preserve"> projektna dokumentacija</w:t>
            </w:r>
          </w:p>
        </w:tc>
        <w:tc>
          <w:tcPr>
            <w:tcW w:w="4230" w:type="dxa"/>
            <w:tcBorders>
              <w:top w:val="nil"/>
              <w:left w:val="nil"/>
              <w:bottom w:val="single" w:sz="4" w:space="0" w:color="000000"/>
              <w:right w:val="single" w:sz="4" w:space="0" w:color="000000"/>
            </w:tcBorders>
            <w:shd w:val="clear" w:color="FFFFFF" w:fill="FFFFFF"/>
            <w:vAlign w:val="center"/>
          </w:tcPr>
          <w:p w14:paraId="478D7672" w14:textId="408DEF96" w:rsidR="00282AF7" w:rsidRPr="00DC27DD" w:rsidRDefault="00282AF7" w:rsidP="005D252F">
            <w:pPr>
              <w:jc w:val="center"/>
              <w:rPr>
                <w:rFonts w:ascii="Arial" w:hAnsi="Arial" w:cs="Arial"/>
                <w:sz w:val="22"/>
                <w:szCs w:val="22"/>
              </w:rPr>
            </w:pPr>
            <w:r w:rsidRPr="00DC27DD">
              <w:rPr>
                <w:rFonts w:ascii="Arial" w:hAnsi="Arial" w:cs="Arial"/>
                <w:sz w:val="22"/>
                <w:szCs w:val="22"/>
              </w:rPr>
              <w:t xml:space="preserve">Izrađena projektna dokumentacija sukladno važećim propisima i standardima, u koordinaciji s projektantima i stručnim timom, kojom su planirani zahvati za unapređenje energetske učinkovitosti zgrade. Ugovorena sredstva utrošena u cijelosti u iznosu od 32.500 eura </w:t>
            </w:r>
          </w:p>
        </w:tc>
      </w:tr>
    </w:tbl>
    <w:p w14:paraId="218C0082" w14:textId="77777777" w:rsidR="002555B9" w:rsidRDefault="002555B9" w:rsidP="002555B9">
      <w:pPr>
        <w:jc w:val="both"/>
        <w:rPr>
          <w:rFonts w:ascii="Arial" w:hAnsi="Arial" w:cs="Arial"/>
          <w:sz w:val="22"/>
          <w:szCs w:val="22"/>
        </w:rPr>
      </w:pPr>
    </w:p>
    <w:p w14:paraId="43D91527" w14:textId="77777777" w:rsidR="00DC27DD" w:rsidRPr="004F3556" w:rsidRDefault="00DC27DD" w:rsidP="002555B9">
      <w:pPr>
        <w:jc w:val="both"/>
        <w:rPr>
          <w:rFonts w:ascii="Arial" w:hAnsi="Arial" w:cs="Arial"/>
          <w:sz w:val="22"/>
          <w:szCs w:val="22"/>
        </w:rPr>
      </w:pPr>
    </w:p>
    <w:p w14:paraId="12FC39A5" w14:textId="77777777" w:rsidR="002555B9" w:rsidRPr="004F3556" w:rsidRDefault="002555B9" w:rsidP="002555B9">
      <w:pPr>
        <w:pStyle w:val="Odlomakpopisa"/>
        <w:numPr>
          <w:ilvl w:val="0"/>
          <w:numId w:val="42"/>
        </w:numPr>
        <w:jc w:val="both"/>
        <w:rPr>
          <w:rFonts w:ascii="Arial" w:hAnsi="Arial" w:cs="Arial"/>
          <w:b/>
          <w:u w:val="single"/>
        </w:rPr>
      </w:pPr>
      <w:r w:rsidRPr="004F3556">
        <w:rPr>
          <w:rFonts w:ascii="Arial" w:hAnsi="Arial" w:cs="Arial"/>
          <w:b/>
          <w:u w:val="single"/>
        </w:rPr>
        <w:t xml:space="preserve">NAZIV PROGRAMA: ZDRAVSTVENE USTANOVE – DECENTRALIZIRANE FUNKCIJE (šifra 4201) </w:t>
      </w:r>
    </w:p>
    <w:p w14:paraId="713C2E2E" w14:textId="77777777" w:rsidR="002555B9" w:rsidRPr="004F3556" w:rsidRDefault="002555B9" w:rsidP="002555B9">
      <w:pPr>
        <w:jc w:val="both"/>
        <w:rPr>
          <w:rFonts w:ascii="Arial" w:hAnsi="Arial" w:cs="Arial"/>
          <w:b/>
          <w:sz w:val="22"/>
          <w:szCs w:val="22"/>
          <w:u w:val="single"/>
        </w:rPr>
      </w:pPr>
    </w:p>
    <w:p w14:paraId="2CC4803E" w14:textId="77777777" w:rsidR="002555B9" w:rsidRPr="004F3556" w:rsidRDefault="002555B9" w:rsidP="002555B9">
      <w:pPr>
        <w:pStyle w:val="Odlomakpopisa"/>
        <w:numPr>
          <w:ilvl w:val="1"/>
          <w:numId w:val="42"/>
        </w:numPr>
        <w:jc w:val="both"/>
        <w:rPr>
          <w:rFonts w:ascii="Arial" w:hAnsi="Arial" w:cs="Arial"/>
        </w:rPr>
      </w:pPr>
      <w:r w:rsidRPr="004F3556">
        <w:rPr>
          <w:rFonts w:ascii="Arial" w:hAnsi="Arial" w:cs="Arial"/>
        </w:rPr>
        <w:t xml:space="preserve">Tekuće i investicijsko održavanje (A420101) </w:t>
      </w:r>
    </w:p>
    <w:p w14:paraId="097882CC" w14:textId="77777777" w:rsidR="002555B9" w:rsidRPr="004F3556" w:rsidRDefault="002555B9" w:rsidP="002555B9">
      <w:pPr>
        <w:pStyle w:val="Odlomakpopisa"/>
        <w:numPr>
          <w:ilvl w:val="1"/>
          <w:numId w:val="42"/>
        </w:numPr>
        <w:jc w:val="both"/>
        <w:rPr>
          <w:rFonts w:ascii="Arial" w:hAnsi="Arial" w:cs="Arial"/>
        </w:rPr>
      </w:pPr>
      <w:r w:rsidRPr="004F3556">
        <w:rPr>
          <w:rFonts w:ascii="Arial" w:hAnsi="Arial" w:cs="Arial"/>
        </w:rPr>
        <w:t xml:space="preserve">Investicijsko ulaganje (K420102) </w:t>
      </w:r>
    </w:p>
    <w:p w14:paraId="6F3E8F64" w14:textId="77777777" w:rsidR="002555B9" w:rsidRPr="004F3556" w:rsidRDefault="002555B9" w:rsidP="002555B9">
      <w:pPr>
        <w:pStyle w:val="Odlomakpopisa"/>
        <w:numPr>
          <w:ilvl w:val="1"/>
          <w:numId w:val="42"/>
        </w:numPr>
        <w:jc w:val="both"/>
        <w:rPr>
          <w:rFonts w:ascii="Arial" w:hAnsi="Arial" w:cs="Arial"/>
        </w:rPr>
      </w:pPr>
      <w:r w:rsidRPr="004F3556">
        <w:rPr>
          <w:rFonts w:ascii="Arial" w:hAnsi="Arial" w:cs="Arial"/>
        </w:rPr>
        <w:t>Informatizacija zdravstvene djelatnosti (K420103).</w:t>
      </w:r>
    </w:p>
    <w:p w14:paraId="4E0FF3E0" w14:textId="77777777" w:rsidR="002555B9" w:rsidRPr="004F3556" w:rsidRDefault="002555B9" w:rsidP="002555B9">
      <w:pPr>
        <w:jc w:val="both"/>
        <w:rPr>
          <w:rFonts w:ascii="Arial" w:hAnsi="Arial" w:cs="Arial"/>
          <w:b/>
          <w:sz w:val="22"/>
          <w:szCs w:val="22"/>
          <w:u w:val="single"/>
        </w:rPr>
      </w:pPr>
    </w:p>
    <w:p w14:paraId="550BBEA7" w14:textId="77777777" w:rsidR="002555B9" w:rsidRPr="004F3556" w:rsidRDefault="002555B9" w:rsidP="002555B9">
      <w:pPr>
        <w:jc w:val="both"/>
        <w:rPr>
          <w:rFonts w:ascii="Arial" w:hAnsi="Arial" w:cs="Arial"/>
          <w:b/>
          <w:sz w:val="22"/>
          <w:szCs w:val="22"/>
        </w:rPr>
      </w:pPr>
      <w:r w:rsidRPr="004F3556">
        <w:rPr>
          <w:rFonts w:ascii="Arial" w:hAnsi="Arial" w:cs="Arial"/>
          <w:b/>
          <w:sz w:val="22"/>
          <w:szCs w:val="22"/>
        </w:rPr>
        <w:t>Obrazloženje aktivnosti</w:t>
      </w:r>
    </w:p>
    <w:p w14:paraId="4A47BEE8" w14:textId="15952AA9" w:rsidR="002555B9" w:rsidRPr="00DC27DD" w:rsidRDefault="00AF7E30" w:rsidP="00DC27DD">
      <w:pPr>
        <w:spacing w:before="100" w:beforeAutospacing="1" w:after="100" w:afterAutospacing="1" w:line="276" w:lineRule="auto"/>
        <w:jc w:val="both"/>
        <w:rPr>
          <w:rFonts w:ascii="Arial" w:hAnsi="Arial" w:cs="Arial"/>
          <w:sz w:val="22"/>
          <w:szCs w:val="22"/>
        </w:rPr>
      </w:pPr>
      <w:r w:rsidRPr="00DC27DD">
        <w:rPr>
          <w:rFonts w:ascii="Arial" w:hAnsi="Arial" w:cs="Arial"/>
          <w:sz w:val="22"/>
          <w:szCs w:val="22"/>
        </w:rPr>
        <w:t>Istarski domovi zdravlja temeljem utvrđenog popisa prioriteta za tekuće i investicijsko održavanje, investicijska ulaganja te informatizaciju zdravstvene djelatnosti, financiranih iz decentraliziranih sredstava, provodi postupke nabave u skladu s važećim stručnim i zakonskim standardima. Cilj ovih aktivnosti je ulaganje u prostor, medicinsku i nemedicinsku te informatičku opremu, kako bi se osigurao kontinuitet i kvaliteta pružanja zdravstvene zaštite.</w:t>
      </w:r>
    </w:p>
    <w:p w14:paraId="3D73B056" w14:textId="77777777" w:rsidR="002555B9" w:rsidRPr="004F3556" w:rsidRDefault="002555B9" w:rsidP="002555B9">
      <w:pPr>
        <w:ind w:left="2835" w:hanging="2835"/>
        <w:jc w:val="both"/>
        <w:rPr>
          <w:rFonts w:ascii="Arial" w:hAnsi="Arial" w:cs="Arial"/>
          <w:b/>
          <w:sz w:val="22"/>
          <w:szCs w:val="22"/>
        </w:rPr>
      </w:pPr>
      <w:r w:rsidRPr="004F3556">
        <w:rPr>
          <w:rFonts w:ascii="Arial" w:hAnsi="Arial" w:cs="Arial"/>
          <w:sz w:val="22"/>
          <w:szCs w:val="22"/>
        </w:rPr>
        <w:t>CILJ USPJEŠNOSTI - 2.2.3.</w:t>
      </w:r>
      <w:r w:rsidRPr="004F3556">
        <w:rPr>
          <w:rFonts w:ascii="Arial" w:hAnsi="Arial" w:cs="Arial"/>
          <w:b/>
          <w:sz w:val="22"/>
          <w:szCs w:val="22"/>
        </w:rPr>
        <w:t xml:space="preserve"> </w:t>
      </w:r>
      <w:r w:rsidRPr="004F3556">
        <w:rPr>
          <w:rFonts w:ascii="Arial" w:hAnsi="Arial" w:cs="Arial"/>
          <w:sz w:val="22"/>
          <w:szCs w:val="22"/>
        </w:rPr>
        <w:t>Osiguranje suvremenih i ekološki održivih infrastrukturnih kapaciteta za pružanje zdravstvene zaštite</w:t>
      </w:r>
    </w:p>
    <w:p w14:paraId="1A4095DB" w14:textId="77777777" w:rsidR="002555B9" w:rsidRDefault="002555B9" w:rsidP="002555B9">
      <w:pPr>
        <w:jc w:val="both"/>
        <w:rPr>
          <w:rFonts w:ascii="Arial" w:hAnsi="Arial" w:cs="Arial"/>
          <w:b/>
          <w:sz w:val="22"/>
          <w:szCs w:val="22"/>
        </w:rPr>
      </w:pPr>
    </w:p>
    <w:p w14:paraId="3AC1B864" w14:textId="1235DEA5" w:rsidR="002555B9" w:rsidRPr="004F3556" w:rsidRDefault="00AD78FF" w:rsidP="002555B9">
      <w:pPr>
        <w:jc w:val="both"/>
        <w:rPr>
          <w:rFonts w:ascii="Arial" w:hAnsi="Arial" w:cs="Arial"/>
          <w:sz w:val="22"/>
          <w:szCs w:val="22"/>
        </w:rPr>
      </w:pPr>
      <w:r>
        <w:rPr>
          <w:rFonts w:ascii="Arial" w:hAnsi="Arial" w:cs="Arial"/>
          <w:sz w:val="22"/>
          <w:szCs w:val="22"/>
        </w:rPr>
        <w:t>P</w:t>
      </w:r>
      <w:r w:rsidR="002555B9" w:rsidRPr="004F3556">
        <w:rPr>
          <w:rFonts w:ascii="Arial" w:hAnsi="Arial" w:cs="Arial"/>
          <w:sz w:val="22"/>
          <w:szCs w:val="22"/>
        </w:rPr>
        <w:t>OKAZATELJI USPJEŠNOSTI</w:t>
      </w:r>
    </w:p>
    <w:tbl>
      <w:tblPr>
        <w:tblW w:w="9918" w:type="dxa"/>
        <w:jc w:val="center"/>
        <w:tblLayout w:type="fixed"/>
        <w:tblLook w:val="04A0" w:firstRow="1" w:lastRow="0" w:firstColumn="1" w:lastColumn="0" w:noHBand="0" w:noVBand="1"/>
      </w:tblPr>
      <w:tblGrid>
        <w:gridCol w:w="1413"/>
        <w:gridCol w:w="1270"/>
        <w:gridCol w:w="1423"/>
        <w:gridCol w:w="5812"/>
      </w:tblGrid>
      <w:tr w:rsidR="00722AF0" w:rsidRPr="00722AF0" w14:paraId="658D4F6A" w14:textId="77777777" w:rsidTr="00FA465B">
        <w:trPr>
          <w:trHeight w:val="694"/>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34CBB942" w14:textId="2702A77B" w:rsidR="0052172F" w:rsidRPr="00722AF0" w:rsidRDefault="0052172F" w:rsidP="0052172F">
            <w:pPr>
              <w:jc w:val="center"/>
              <w:rPr>
                <w:rFonts w:ascii="Arial" w:hAnsi="Arial" w:cs="Arial"/>
                <w:b/>
                <w:bCs/>
                <w:sz w:val="22"/>
                <w:szCs w:val="22"/>
              </w:rPr>
            </w:pPr>
            <w:r w:rsidRPr="00722AF0">
              <w:rPr>
                <w:rFonts w:ascii="Arial" w:hAnsi="Arial" w:cs="Arial"/>
                <w:b/>
                <w:bCs/>
                <w:sz w:val="22"/>
                <w:szCs w:val="22"/>
              </w:rPr>
              <w:t xml:space="preserve">Pokazatelj rezultata </w:t>
            </w:r>
          </w:p>
        </w:tc>
        <w:tc>
          <w:tcPr>
            <w:tcW w:w="1270"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068EE628" w14:textId="461BB50E" w:rsidR="0052172F" w:rsidRPr="00722AF0" w:rsidRDefault="0052172F" w:rsidP="0052172F">
            <w:pPr>
              <w:jc w:val="center"/>
              <w:rPr>
                <w:rFonts w:ascii="Arial" w:hAnsi="Arial" w:cs="Arial"/>
                <w:b/>
                <w:bCs/>
                <w:sz w:val="22"/>
                <w:szCs w:val="22"/>
              </w:rPr>
            </w:pPr>
            <w:r w:rsidRPr="00722AF0">
              <w:rPr>
                <w:rFonts w:ascii="Arial" w:hAnsi="Arial" w:cs="Arial"/>
                <w:b/>
                <w:bCs/>
                <w:sz w:val="22"/>
                <w:szCs w:val="22"/>
              </w:rPr>
              <w:t>Početna vrijednost</w:t>
            </w:r>
            <w:r w:rsidRPr="00722AF0">
              <w:rPr>
                <w:rFonts w:ascii="Arial" w:hAnsi="Arial" w:cs="Arial"/>
                <w:b/>
                <w:bCs/>
                <w:sz w:val="22"/>
                <w:szCs w:val="22"/>
              </w:rPr>
              <w:br/>
              <w:t>(2025.)</w:t>
            </w:r>
          </w:p>
        </w:tc>
        <w:tc>
          <w:tcPr>
            <w:tcW w:w="1423"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33204374" w14:textId="32BB7EF8" w:rsidR="0052172F" w:rsidRPr="00722AF0" w:rsidRDefault="0052172F" w:rsidP="0052172F">
            <w:pPr>
              <w:jc w:val="center"/>
              <w:rPr>
                <w:rFonts w:ascii="Arial" w:hAnsi="Arial" w:cs="Arial"/>
                <w:b/>
                <w:bCs/>
                <w:sz w:val="22"/>
                <w:szCs w:val="22"/>
              </w:rPr>
            </w:pPr>
            <w:r w:rsidRPr="00722AF0">
              <w:rPr>
                <w:rFonts w:ascii="Arial" w:hAnsi="Arial" w:cs="Arial"/>
                <w:b/>
                <w:bCs/>
                <w:sz w:val="22"/>
                <w:szCs w:val="22"/>
              </w:rPr>
              <w:t>Ciljna</w:t>
            </w:r>
            <w:r w:rsidRPr="00722AF0">
              <w:rPr>
                <w:rFonts w:ascii="Arial" w:hAnsi="Arial" w:cs="Arial"/>
                <w:b/>
                <w:bCs/>
                <w:sz w:val="22"/>
                <w:szCs w:val="22"/>
              </w:rPr>
              <w:br/>
              <w:t>vrijednost</w:t>
            </w:r>
            <w:r w:rsidRPr="00722AF0">
              <w:rPr>
                <w:rFonts w:ascii="Arial" w:hAnsi="Arial" w:cs="Arial"/>
                <w:b/>
                <w:bCs/>
                <w:sz w:val="22"/>
                <w:szCs w:val="22"/>
              </w:rPr>
              <w:br/>
              <w:t>2025.</w:t>
            </w:r>
          </w:p>
        </w:tc>
        <w:tc>
          <w:tcPr>
            <w:tcW w:w="5812"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77C89872" w14:textId="2AF893C9" w:rsidR="0052172F" w:rsidRPr="00722AF0" w:rsidRDefault="0052172F" w:rsidP="0052172F">
            <w:pPr>
              <w:jc w:val="center"/>
              <w:rPr>
                <w:rFonts w:ascii="Arial" w:hAnsi="Arial" w:cs="Arial"/>
                <w:b/>
                <w:bCs/>
                <w:sz w:val="22"/>
                <w:szCs w:val="22"/>
              </w:rPr>
            </w:pPr>
            <w:r w:rsidRPr="00722AF0">
              <w:rPr>
                <w:rFonts w:ascii="Arial" w:hAnsi="Arial" w:cs="Arial"/>
                <w:b/>
                <w:bCs/>
                <w:sz w:val="22"/>
                <w:szCs w:val="22"/>
              </w:rPr>
              <w:t>Ostvarena vrijednost u periodu 01.-12/2025.</w:t>
            </w:r>
          </w:p>
        </w:tc>
      </w:tr>
      <w:tr w:rsidR="00722AF0" w:rsidRPr="00722AF0" w14:paraId="3254C92F" w14:textId="77777777" w:rsidTr="00FA465B">
        <w:trPr>
          <w:trHeight w:val="983"/>
          <w:jc w:val="center"/>
        </w:trPr>
        <w:tc>
          <w:tcPr>
            <w:tcW w:w="1413" w:type="dxa"/>
            <w:tcBorders>
              <w:top w:val="nil"/>
              <w:left w:val="single" w:sz="4" w:space="0" w:color="000000"/>
              <w:bottom w:val="single" w:sz="4" w:space="0" w:color="000000"/>
              <w:right w:val="single" w:sz="4" w:space="0" w:color="000000"/>
            </w:tcBorders>
            <w:shd w:val="clear" w:color="FFFFFF" w:fill="FFFFFF"/>
            <w:vAlign w:val="center"/>
            <w:hideMark/>
          </w:tcPr>
          <w:p w14:paraId="792C750A" w14:textId="77777777" w:rsidR="002555B9" w:rsidRPr="00722AF0" w:rsidRDefault="002555B9" w:rsidP="002555B9">
            <w:pPr>
              <w:jc w:val="center"/>
              <w:rPr>
                <w:rFonts w:ascii="Arial" w:hAnsi="Arial" w:cs="Arial"/>
                <w:sz w:val="22"/>
                <w:szCs w:val="22"/>
              </w:rPr>
            </w:pPr>
            <w:r w:rsidRPr="00722AF0">
              <w:rPr>
                <w:rFonts w:ascii="Arial" w:hAnsi="Arial" w:cs="Arial"/>
                <w:sz w:val="22"/>
                <w:szCs w:val="22"/>
              </w:rPr>
              <w:t>Realizacija popisa prioriteta</w:t>
            </w:r>
          </w:p>
        </w:tc>
        <w:tc>
          <w:tcPr>
            <w:tcW w:w="1270" w:type="dxa"/>
            <w:tcBorders>
              <w:top w:val="nil"/>
              <w:left w:val="nil"/>
              <w:bottom w:val="single" w:sz="4" w:space="0" w:color="000000"/>
              <w:right w:val="single" w:sz="4" w:space="0" w:color="000000"/>
            </w:tcBorders>
            <w:shd w:val="clear" w:color="FFFFFF" w:fill="FFFFFF"/>
            <w:vAlign w:val="center"/>
          </w:tcPr>
          <w:p w14:paraId="3992F12D" w14:textId="77777777" w:rsidR="002555B9" w:rsidRPr="00722AF0" w:rsidRDefault="002555B9" w:rsidP="002555B9">
            <w:pPr>
              <w:jc w:val="center"/>
              <w:rPr>
                <w:rFonts w:ascii="Arial" w:hAnsi="Arial" w:cs="Arial"/>
                <w:sz w:val="22"/>
                <w:szCs w:val="22"/>
              </w:rPr>
            </w:pPr>
            <w:r w:rsidRPr="00722AF0">
              <w:rPr>
                <w:rFonts w:ascii="Arial" w:hAnsi="Arial" w:cs="Arial"/>
                <w:sz w:val="22"/>
                <w:szCs w:val="22"/>
              </w:rPr>
              <w:t>Usvojen popis prioriteta</w:t>
            </w:r>
          </w:p>
        </w:tc>
        <w:tc>
          <w:tcPr>
            <w:tcW w:w="1423" w:type="dxa"/>
            <w:tcBorders>
              <w:top w:val="nil"/>
              <w:left w:val="nil"/>
              <w:bottom w:val="single" w:sz="4" w:space="0" w:color="000000"/>
              <w:right w:val="single" w:sz="4" w:space="0" w:color="000000"/>
            </w:tcBorders>
            <w:shd w:val="clear" w:color="FFFFFF" w:fill="FFFFFF"/>
            <w:vAlign w:val="center"/>
          </w:tcPr>
          <w:p w14:paraId="553B1E98" w14:textId="495BB67E" w:rsidR="002555B9" w:rsidRPr="00722AF0" w:rsidRDefault="002555B9" w:rsidP="002555B9">
            <w:pPr>
              <w:jc w:val="center"/>
              <w:rPr>
                <w:rFonts w:ascii="Arial" w:hAnsi="Arial" w:cs="Arial"/>
                <w:sz w:val="22"/>
                <w:szCs w:val="22"/>
              </w:rPr>
            </w:pPr>
            <w:r w:rsidRPr="00722AF0">
              <w:rPr>
                <w:rFonts w:ascii="Arial" w:hAnsi="Arial" w:cs="Arial"/>
                <w:sz w:val="22"/>
                <w:szCs w:val="22"/>
              </w:rPr>
              <w:t xml:space="preserve">Popis prioriteta iz </w:t>
            </w:r>
            <w:proofErr w:type="spellStart"/>
            <w:r w:rsidRPr="00722AF0">
              <w:rPr>
                <w:rFonts w:ascii="Arial" w:hAnsi="Arial" w:cs="Arial"/>
                <w:sz w:val="22"/>
                <w:szCs w:val="22"/>
              </w:rPr>
              <w:t>decentrali</w:t>
            </w:r>
            <w:r w:rsidR="00FA465B" w:rsidRPr="00722AF0">
              <w:rPr>
                <w:rFonts w:ascii="Arial" w:hAnsi="Arial" w:cs="Arial"/>
                <w:sz w:val="22"/>
                <w:szCs w:val="22"/>
              </w:rPr>
              <w:t>-</w:t>
            </w:r>
            <w:r w:rsidRPr="00722AF0">
              <w:rPr>
                <w:rFonts w:ascii="Arial" w:hAnsi="Arial" w:cs="Arial"/>
                <w:sz w:val="22"/>
                <w:szCs w:val="22"/>
              </w:rPr>
              <w:t>ziranih</w:t>
            </w:r>
            <w:proofErr w:type="spellEnd"/>
            <w:r w:rsidRPr="00722AF0">
              <w:rPr>
                <w:rFonts w:ascii="Arial" w:hAnsi="Arial" w:cs="Arial"/>
                <w:sz w:val="22"/>
                <w:szCs w:val="22"/>
              </w:rPr>
              <w:t xml:space="preserve"> funkcija u cijelosti realiziran</w:t>
            </w:r>
          </w:p>
        </w:tc>
        <w:tc>
          <w:tcPr>
            <w:tcW w:w="5812" w:type="dxa"/>
            <w:tcBorders>
              <w:top w:val="single" w:sz="4" w:space="0" w:color="000000"/>
              <w:left w:val="nil"/>
              <w:bottom w:val="single" w:sz="4" w:space="0" w:color="auto"/>
              <w:right w:val="single" w:sz="4" w:space="0" w:color="000000"/>
            </w:tcBorders>
            <w:shd w:val="clear" w:color="FFFFFF" w:fill="FFFFFF"/>
            <w:vAlign w:val="center"/>
          </w:tcPr>
          <w:p w14:paraId="58117F7D" w14:textId="309160F7" w:rsidR="002555B9" w:rsidRPr="00722AF0" w:rsidRDefault="005B0233" w:rsidP="00907B50">
            <w:pPr>
              <w:jc w:val="both"/>
              <w:rPr>
                <w:rFonts w:ascii="Arial" w:hAnsi="Arial" w:cs="Arial"/>
                <w:sz w:val="22"/>
                <w:szCs w:val="22"/>
              </w:rPr>
            </w:pPr>
            <w:r w:rsidRPr="00722AF0">
              <w:rPr>
                <w:rFonts w:ascii="Arial" w:hAnsi="Arial" w:cs="Arial"/>
                <w:sz w:val="22"/>
                <w:szCs w:val="22"/>
              </w:rPr>
              <w:t xml:space="preserve">U cijelosti realiziran popis prioriteta u iznosu </w:t>
            </w:r>
            <w:r w:rsidR="00DC27DD" w:rsidRPr="00722AF0">
              <w:rPr>
                <w:rFonts w:ascii="Arial" w:hAnsi="Arial" w:cs="Arial"/>
                <w:sz w:val="22"/>
                <w:szCs w:val="22"/>
              </w:rPr>
              <w:t>728.228</w:t>
            </w:r>
            <w:r w:rsidRPr="00722AF0">
              <w:rPr>
                <w:rFonts w:ascii="Arial" w:hAnsi="Arial" w:cs="Arial"/>
                <w:sz w:val="22"/>
                <w:szCs w:val="22"/>
              </w:rPr>
              <w:t xml:space="preserve"> eura. Nabavljena oprema prijeko potrebna za omogućavanje kontinuiteta pružanja zdravstvene zaštite poput: </w:t>
            </w:r>
            <w:r w:rsidR="003F2125" w:rsidRPr="00722AF0">
              <w:rPr>
                <w:rFonts w:ascii="Arial" w:hAnsi="Arial" w:cs="Arial"/>
                <w:sz w:val="22"/>
                <w:szCs w:val="22"/>
              </w:rPr>
              <w:t xml:space="preserve">1 kom uređaj za digitalno </w:t>
            </w:r>
            <w:proofErr w:type="spellStart"/>
            <w:r w:rsidR="003F2125" w:rsidRPr="00722AF0">
              <w:rPr>
                <w:rFonts w:ascii="Arial" w:hAnsi="Arial" w:cs="Arial"/>
                <w:sz w:val="22"/>
                <w:szCs w:val="22"/>
              </w:rPr>
              <w:t>ekstraoralno</w:t>
            </w:r>
            <w:proofErr w:type="spellEnd"/>
            <w:r w:rsidR="003F2125" w:rsidRPr="00722AF0">
              <w:rPr>
                <w:rFonts w:ascii="Arial" w:hAnsi="Arial" w:cs="Arial"/>
                <w:sz w:val="22"/>
                <w:szCs w:val="22"/>
              </w:rPr>
              <w:t xml:space="preserve"> snimanje zuba, 2</w:t>
            </w:r>
            <w:r w:rsidR="00907B50" w:rsidRPr="00722AF0">
              <w:rPr>
                <w:rFonts w:ascii="Arial" w:hAnsi="Arial" w:cs="Arial"/>
                <w:sz w:val="22"/>
                <w:szCs w:val="22"/>
              </w:rPr>
              <w:t xml:space="preserve"> kom EKG uređaja, </w:t>
            </w:r>
            <w:r w:rsidR="00DC27DD" w:rsidRPr="00722AF0">
              <w:rPr>
                <w:rFonts w:ascii="Arial" w:hAnsi="Arial" w:cs="Arial"/>
                <w:sz w:val="22"/>
                <w:szCs w:val="22"/>
              </w:rPr>
              <w:t>2</w:t>
            </w:r>
            <w:r w:rsidR="00907B50" w:rsidRPr="00722AF0">
              <w:rPr>
                <w:rFonts w:ascii="Arial" w:hAnsi="Arial" w:cs="Arial"/>
                <w:sz w:val="22"/>
                <w:szCs w:val="22"/>
              </w:rPr>
              <w:t xml:space="preserve"> </w:t>
            </w:r>
            <w:r w:rsidR="003F2125" w:rsidRPr="00722AF0">
              <w:rPr>
                <w:rFonts w:ascii="Arial" w:hAnsi="Arial" w:cs="Arial"/>
                <w:sz w:val="22"/>
                <w:szCs w:val="22"/>
              </w:rPr>
              <w:t xml:space="preserve">kom </w:t>
            </w:r>
            <w:r w:rsidR="00907B50" w:rsidRPr="00722AF0">
              <w:rPr>
                <w:rFonts w:ascii="Arial" w:hAnsi="Arial" w:cs="Arial"/>
                <w:sz w:val="22"/>
                <w:szCs w:val="22"/>
              </w:rPr>
              <w:t>stomatološk</w:t>
            </w:r>
            <w:r w:rsidR="003F2125" w:rsidRPr="00722AF0">
              <w:rPr>
                <w:rFonts w:ascii="Arial" w:hAnsi="Arial" w:cs="Arial"/>
                <w:sz w:val="22"/>
                <w:szCs w:val="22"/>
              </w:rPr>
              <w:t>ih</w:t>
            </w:r>
            <w:r w:rsidR="00907B50" w:rsidRPr="00722AF0">
              <w:rPr>
                <w:rFonts w:ascii="Arial" w:hAnsi="Arial" w:cs="Arial"/>
                <w:sz w:val="22"/>
                <w:szCs w:val="22"/>
              </w:rPr>
              <w:t xml:space="preserve"> stolic</w:t>
            </w:r>
            <w:r w:rsidR="003F2125" w:rsidRPr="00722AF0">
              <w:rPr>
                <w:rFonts w:ascii="Arial" w:hAnsi="Arial" w:cs="Arial"/>
                <w:sz w:val="22"/>
                <w:szCs w:val="22"/>
              </w:rPr>
              <w:t>a</w:t>
            </w:r>
            <w:r w:rsidR="00907B50" w:rsidRPr="00722AF0">
              <w:rPr>
                <w:rFonts w:ascii="Arial" w:hAnsi="Arial" w:cs="Arial"/>
                <w:sz w:val="22"/>
                <w:szCs w:val="22"/>
              </w:rPr>
              <w:t xml:space="preserve">, </w:t>
            </w:r>
            <w:r w:rsidR="003F2125" w:rsidRPr="00722AF0">
              <w:rPr>
                <w:rFonts w:ascii="Arial" w:hAnsi="Arial" w:cs="Arial"/>
                <w:sz w:val="22"/>
                <w:szCs w:val="22"/>
              </w:rPr>
              <w:t xml:space="preserve">3 kom </w:t>
            </w:r>
            <w:r w:rsidR="00907B50" w:rsidRPr="00722AF0">
              <w:rPr>
                <w:rFonts w:ascii="Arial" w:hAnsi="Arial" w:cs="Arial"/>
                <w:sz w:val="22"/>
                <w:szCs w:val="22"/>
              </w:rPr>
              <w:t xml:space="preserve">DR panel za RTG uređaj, </w:t>
            </w:r>
            <w:r w:rsidR="003F2125" w:rsidRPr="00722AF0">
              <w:rPr>
                <w:rFonts w:ascii="Arial" w:hAnsi="Arial" w:cs="Arial"/>
                <w:sz w:val="22"/>
                <w:szCs w:val="22"/>
              </w:rPr>
              <w:t>2</w:t>
            </w:r>
            <w:r w:rsidR="00907B50" w:rsidRPr="00722AF0">
              <w:rPr>
                <w:rFonts w:ascii="Arial" w:hAnsi="Arial" w:cs="Arial"/>
                <w:sz w:val="22"/>
                <w:szCs w:val="22"/>
              </w:rPr>
              <w:t xml:space="preserve"> </w:t>
            </w:r>
            <w:proofErr w:type="spellStart"/>
            <w:r w:rsidR="00907B50" w:rsidRPr="00722AF0">
              <w:rPr>
                <w:rFonts w:ascii="Arial" w:hAnsi="Arial" w:cs="Arial"/>
                <w:sz w:val="22"/>
                <w:szCs w:val="22"/>
              </w:rPr>
              <w:t>autoklava</w:t>
            </w:r>
            <w:proofErr w:type="spellEnd"/>
            <w:r w:rsidR="00907B50" w:rsidRPr="00722AF0">
              <w:rPr>
                <w:rFonts w:ascii="Arial" w:hAnsi="Arial" w:cs="Arial"/>
                <w:sz w:val="22"/>
                <w:szCs w:val="22"/>
              </w:rPr>
              <w:t xml:space="preserve">, </w:t>
            </w:r>
            <w:r w:rsidR="003F2125" w:rsidRPr="00722AF0">
              <w:rPr>
                <w:rFonts w:ascii="Arial" w:hAnsi="Arial" w:cs="Arial"/>
                <w:sz w:val="22"/>
                <w:szCs w:val="22"/>
              </w:rPr>
              <w:t>1</w:t>
            </w:r>
            <w:r w:rsidR="00907B50" w:rsidRPr="00722AF0">
              <w:rPr>
                <w:rFonts w:ascii="Arial" w:hAnsi="Arial" w:cs="Arial"/>
                <w:sz w:val="22"/>
                <w:szCs w:val="22"/>
              </w:rPr>
              <w:t>5</w:t>
            </w:r>
            <w:r w:rsidR="003F2125" w:rsidRPr="00722AF0">
              <w:rPr>
                <w:rFonts w:ascii="Arial" w:hAnsi="Arial" w:cs="Arial"/>
                <w:sz w:val="22"/>
                <w:szCs w:val="22"/>
              </w:rPr>
              <w:t xml:space="preserve"> koma boca za kisik</w:t>
            </w:r>
            <w:r w:rsidR="00907B50" w:rsidRPr="00722AF0">
              <w:rPr>
                <w:rFonts w:ascii="Arial" w:hAnsi="Arial" w:cs="Arial"/>
                <w:sz w:val="22"/>
                <w:szCs w:val="22"/>
              </w:rPr>
              <w:t xml:space="preserve">, </w:t>
            </w:r>
            <w:r w:rsidR="003F2125" w:rsidRPr="00722AF0">
              <w:rPr>
                <w:rFonts w:ascii="Arial" w:hAnsi="Arial" w:cs="Arial"/>
                <w:sz w:val="22"/>
                <w:szCs w:val="22"/>
              </w:rPr>
              <w:t>7 kom</w:t>
            </w:r>
            <w:r w:rsidR="002555B9" w:rsidRPr="00722AF0">
              <w:rPr>
                <w:rFonts w:ascii="Arial" w:hAnsi="Arial" w:cs="Arial"/>
                <w:sz w:val="22"/>
                <w:szCs w:val="22"/>
              </w:rPr>
              <w:t xml:space="preserve"> polimerizacijskih lamp</w:t>
            </w:r>
            <w:r w:rsidR="003F2125" w:rsidRPr="00722AF0">
              <w:rPr>
                <w:rFonts w:ascii="Arial" w:hAnsi="Arial" w:cs="Arial"/>
                <w:sz w:val="22"/>
                <w:szCs w:val="22"/>
              </w:rPr>
              <w:t>i</w:t>
            </w:r>
            <w:r w:rsidR="002555B9" w:rsidRPr="00722AF0">
              <w:rPr>
                <w:rFonts w:ascii="Arial" w:hAnsi="Arial" w:cs="Arial"/>
                <w:sz w:val="22"/>
                <w:szCs w:val="22"/>
              </w:rPr>
              <w:t xml:space="preserve">, </w:t>
            </w:r>
            <w:r w:rsidRPr="00722AF0">
              <w:rPr>
                <w:rFonts w:ascii="Arial" w:hAnsi="Arial" w:cs="Arial"/>
                <w:sz w:val="22"/>
                <w:szCs w:val="22"/>
              </w:rPr>
              <w:t xml:space="preserve">nova </w:t>
            </w:r>
            <w:r w:rsidR="002555B9" w:rsidRPr="00722AF0">
              <w:rPr>
                <w:rFonts w:ascii="Arial" w:hAnsi="Arial" w:cs="Arial"/>
                <w:sz w:val="22"/>
                <w:szCs w:val="22"/>
              </w:rPr>
              <w:t xml:space="preserve">informatička oprema </w:t>
            </w:r>
            <w:r w:rsidR="00907B50" w:rsidRPr="00722AF0">
              <w:rPr>
                <w:rFonts w:ascii="Arial" w:hAnsi="Arial" w:cs="Arial"/>
                <w:sz w:val="22"/>
                <w:szCs w:val="22"/>
              </w:rPr>
              <w:t>(</w:t>
            </w:r>
            <w:r w:rsidR="003F2125" w:rsidRPr="00722AF0">
              <w:rPr>
                <w:rFonts w:ascii="Arial" w:hAnsi="Arial" w:cs="Arial"/>
                <w:sz w:val="22"/>
                <w:szCs w:val="22"/>
              </w:rPr>
              <w:t>25</w:t>
            </w:r>
            <w:r w:rsidR="002555B9" w:rsidRPr="00722AF0">
              <w:rPr>
                <w:rFonts w:ascii="Arial" w:hAnsi="Arial" w:cs="Arial"/>
                <w:sz w:val="22"/>
                <w:szCs w:val="22"/>
              </w:rPr>
              <w:t xml:space="preserve"> ra</w:t>
            </w:r>
            <w:r w:rsidR="00907B50" w:rsidRPr="00722AF0">
              <w:rPr>
                <w:rFonts w:ascii="Arial" w:hAnsi="Arial" w:cs="Arial"/>
                <w:sz w:val="22"/>
                <w:szCs w:val="22"/>
              </w:rPr>
              <w:t xml:space="preserve">čunala, </w:t>
            </w:r>
            <w:r w:rsidR="003F2125" w:rsidRPr="00722AF0">
              <w:rPr>
                <w:rFonts w:ascii="Arial" w:hAnsi="Arial" w:cs="Arial"/>
                <w:sz w:val="22"/>
                <w:szCs w:val="22"/>
              </w:rPr>
              <w:t>3 laptopa, 20</w:t>
            </w:r>
            <w:r w:rsidR="00907B50" w:rsidRPr="00722AF0">
              <w:rPr>
                <w:rFonts w:ascii="Arial" w:hAnsi="Arial" w:cs="Arial"/>
                <w:sz w:val="22"/>
                <w:szCs w:val="22"/>
              </w:rPr>
              <w:t xml:space="preserve"> monitor</w:t>
            </w:r>
            <w:r w:rsidR="003F2125" w:rsidRPr="00722AF0">
              <w:rPr>
                <w:rFonts w:ascii="Arial" w:hAnsi="Arial" w:cs="Arial"/>
                <w:sz w:val="22"/>
                <w:szCs w:val="22"/>
              </w:rPr>
              <w:t>a, 18 multifunkcijskih uređaja…</w:t>
            </w:r>
            <w:r w:rsidR="00907B50" w:rsidRPr="00722AF0">
              <w:rPr>
                <w:rFonts w:ascii="Arial" w:hAnsi="Arial" w:cs="Arial"/>
                <w:sz w:val="22"/>
                <w:szCs w:val="22"/>
              </w:rPr>
              <w:t xml:space="preserve">) itd. Također obavljeni su veći radovi na održavanju građevinskih objekata: </w:t>
            </w:r>
            <w:r w:rsidR="003F2125" w:rsidRPr="00722AF0">
              <w:rPr>
                <w:rFonts w:ascii="Arial" w:hAnsi="Arial" w:cs="Arial"/>
                <w:sz w:val="22"/>
                <w:szCs w:val="22"/>
              </w:rPr>
              <w:t xml:space="preserve">zamjena </w:t>
            </w:r>
            <w:r w:rsidR="00722AF0" w:rsidRPr="00722AF0">
              <w:rPr>
                <w:rFonts w:ascii="Arial" w:hAnsi="Arial" w:cs="Arial"/>
                <w:sz w:val="22"/>
                <w:szCs w:val="22"/>
              </w:rPr>
              <w:t>aluminijske</w:t>
            </w:r>
            <w:r w:rsidR="003F2125" w:rsidRPr="00722AF0">
              <w:rPr>
                <w:rFonts w:ascii="Arial" w:hAnsi="Arial" w:cs="Arial"/>
                <w:sz w:val="22"/>
                <w:szCs w:val="22"/>
              </w:rPr>
              <w:t xml:space="preserve"> bravarije u isp. Pazin, </w:t>
            </w:r>
            <w:r w:rsidR="00722AF0" w:rsidRPr="00722AF0">
              <w:rPr>
                <w:rFonts w:ascii="Arial" w:hAnsi="Arial" w:cs="Arial"/>
                <w:sz w:val="22"/>
                <w:szCs w:val="22"/>
              </w:rPr>
              <w:t>popravak krova isp. Pula i Rovinj itd.</w:t>
            </w:r>
          </w:p>
        </w:tc>
      </w:tr>
    </w:tbl>
    <w:p w14:paraId="69363CF4" w14:textId="77777777" w:rsidR="000C2C25" w:rsidRDefault="000C2C25" w:rsidP="002555B9">
      <w:pPr>
        <w:jc w:val="both"/>
        <w:rPr>
          <w:rFonts w:ascii="Arial" w:hAnsi="Arial" w:cs="Arial"/>
          <w:b/>
          <w:sz w:val="16"/>
          <w:szCs w:val="22"/>
        </w:rPr>
      </w:pPr>
    </w:p>
    <w:p w14:paraId="6C88A8AE" w14:textId="77777777" w:rsidR="006858EB" w:rsidRDefault="006858EB" w:rsidP="002555B9">
      <w:pPr>
        <w:jc w:val="both"/>
        <w:rPr>
          <w:rFonts w:ascii="Arial" w:hAnsi="Arial" w:cs="Arial"/>
          <w:b/>
          <w:sz w:val="16"/>
          <w:szCs w:val="22"/>
        </w:rPr>
      </w:pPr>
    </w:p>
    <w:p w14:paraId="4D82DADA" w14:textId="767439A0" w:rsidR="002555B9" w:rsidRPr="006858EB" w:rsidRDefault="002555B9" w:rsidP="006858EB">
      <w:pPr>
        <w:pStyle w:val="Odlomakpopisa"/>
        <w:numPr>
          <w:ilvl w:val="0"/>
          <w:numId w:val="42"/>
        </w:numPr>
        <w:jc w:val="both"/>
        <w:rPr>
          <w:rFonts w:ascii="Arial" w:hAnsi="Arial" w:cs="Arial"/>
          <w:b/>
          <w:u w:val="single"/>
        </w:rPr>
      </w:pPr>
      <w:r w:rsidRPr="006858EB">
        <w:rPr>
          <w:rFonts w:ascii="Arial" w:hAnsi="Arial" w:cs="Arial"/>
          <w:b/>
          <w:u w:val="single"/>
        </w:rPr>
        <w:lastRenderedPageBreak/>
        <w:t>NAZIV PROGRAMA: RAZVOJ I ULAGANJE</w:t>
      </w:r>
      <w:r w:rsidR="007F78E0">
        <w:rPr>
          <w:rFonts w:ascii="Arial" w:hAnsi="Arial" w:cs="Arial"/>
          <w:b/>
          <w:u w:val="single"/>
        </w:rPr>
        <w:t xml:space="preserve"> (šifra 4214)</w:t>
      </w:r>
      <w:r w:rsidRPr="006858EB">
        <w:rPr>
          <w:rFonts w:ascii="Arial" w:hAnsi="Arial" w:cs="Arial"/>
          <w:b/>
          <w:u w:val="single"/>
        </w:rPr>
        <w:t xml:space="preserve"> </w:t>
      </w:r>
    </w:p>
    <w:p w14:paraId="3012A8B9" w14:textId="77777777" w:rsidR="002555B9" w:rsidRPr="004F3556" w:rsidRDefault="002555B9" w:rsidP="002555B9">
      <w:pPr>
        <w:jc w:val="both"/>
        <w:rPr>
          <w:rFonts w:ascii="Arial" w:hAnsi="Arial" w:cs="Arial"/>
          <w:b/>
          <w:sz w:val="22"/>
          <w:szCs w:val="22"/>
          <w:u w:val="single"/>
        </w:rPr>
      </w:pPr>
    </w:p>
    <w:p w14:paraId="56DF9EA4" w14:textId="77777777" w:rsidR="002555B9" w:rsidRPr="004F3556" w:rsidRDefault="002555B9" w:rsidP="002555B9">
      <w:pPr>
        <w:pStyle w:val="Odlomakpopisa"/>
        <w:numPr>
          <w:ilvl w:val="1"/>
          <w:numId w:val="42"/>
        </w:numPr>
        <w:jc w:val="both"/>
        <w:rPr>
          <w:rFonts w:ascii="Arial" w:hAnsi="Arial" w:cs="Arial"/>
          <w:b/>
        </w:rPr>
      </w:pPr>
      <w:r w:rsidRPr="004F3556">
        <w:rPr>
          <w:rFonts w:ascii="Arial" w:hAnsi="Arial" w:cs="Arial"/>
          <w:b/>
        </w:rPr>
        <w:t>Izgradnja nove zdravstvene stanice u Vodnjanu – otplata kredita (K421102)</w:t>
      </w:r>
    </w:p>
    <w:p w14:paraId="3805000C" w14:textId="597EE32B" w:rsidR="002555B9" w:rsidRPr="004F3556" w:rsidRDefault="00A91078" w:rsidP="00722AF0">
      <w:pPr>
        <w:spacing w:before="100" w:beforeAutospacing="1" w:line="276" w:lineRule="auto"/>
        <w:jc w:val="both"/>
        <w:rPr>
          <w:rFonts w:ascii="Arial" w:hAnsi="Arial" w:cs="Arial"/>
          <w:sz w:val="22"/>
          <w:szCs w:val="22"/>
        </w:rPr>
      </w:pPr>
      <w:r w:rsidRPr="00722AF0">
        <w:rPr>
          <w:rFonts w:ascii="Arial" w:hAnsi="Arial" w:cs="Arial"/>
          <w:sz w:val="22"/>
          <w:szCs w:val="22"/>
        </w:rPr>
        <w:t xml:space="preserve">Aktivnost izgradnje nove zdravstvene stanice u Vodnjanu obuhvaća otplatu kredita u ukupnom iznosu od 3.049.620 kn (404.754 €), ugovorenog na razdoblje od sedam godina, a čija su sredstva iskorištena za realizaciju projekta izgradnje zdravstvene stanice u Vodnjanu. Sukladno sporazumu s Istarskom županijom Istarski domovi zdravlja sudjeluju u podmirenju dospjelih kreditnih obveza u jednakim udjelima. </w:t>
      </w:r>
      <w:r w:rsidR="00FB07AB" w:rsidRPr="00722AF0">
        <w:rPr>
          <w:rFonts w:ascii="Arial" w:hAnsi="Arial" w:cs="Arial"/>
          <w:sz w:val="22"/>
          <w:szCs w:val="22"/>
        </w:rPr>
        <w:t>Iznos obračunatih kamata niži je od planiranog radi smanjenja postotka prinosa na trezorske zapise Ministarstva Financija RH za koje je kamata vezana.</w:t>
      </w:r>
    </w:p>
    <w:p w14:paraId="32DFAC92" w14:textId="77777777" w:rsidR="002555B9" w:rsidRPr="004F3556" w:rsidRDefault="002555B9" w:rsidP="00722AF0">
      <w:pPr>
        <w:jc w:val="both"/>
        <w:rPr>
          <w:rFonts w:ascii="Arial" w:hAnsi="Arial" w:cs="Arial"/>
          <w:sz w:val="22"/>
          <w:szCs w:val="22"/>
        </w:rPr>
      </w:pPr>
    </w:p>
    <w:p w14:paraId="6DF580C9" w14:textId="0AB3BB46" w:rsidR="00F64219" w:rsidRDefault="002555B9" w:rsidP="00722AF0">
      <w:pPr>
        <w:ind w:left="2410" w:hanging="2410"/>
        <w:jc w:val="both"/>
        <w:rPr>
          <w:rFonts w:ascii="Arial" w:hAnsi="Arial" w:cs="Arial"/>
          <w:sz w:val="22"/>
          <w:szCs w:val="22"/>
        </w:rPr>
      </w:pPr>
      <w:r w:rsidRPr="004F3556">
        <w:rPr>
          <w:rFonts w:ascii="Arial" w:hAnsi="Arial" w:cs="Arial"/>
          <w:sz w:val="22"/>
          <w:szCs w:val="22"/>
        </w:rPr>
        <w:t>CILJ USPJEŠNOSTI -</w:t>
      </w:r>
      <w:r w:rsidRPr="004F3556">
        <w:rPr>
          <w:rFonts w:ascii="Arial" w:hAnsi="Arial" w:cs="Arial"/>
          <w:b/>
          <w:sz w:val="22"/>
          <w:szCs w:val="22"/>
        </w:rPr>
        <w:t xml:space="preserve"> </w:t>
      </w:r>
      <w:r w:rsidRPr="004F3556">
        <w:rPr>
          <w:rFonts w:ascii="Arial" w:hAnsi="Arial" w:cs="Arial"/>
          <w:sz w:val="22"/>
          <w:szCs w:val="22"/>
        </w:rPr>
        <w:t xml:space="preserve">2.2.3. Osiguravanje suvremenih i ekološki održivih infrastrukturnih kapaciteta za pružanje zdravstvene zaštite   </w:t>
      </w:r>
    </w:p>
    <w:p w14:paraId="722B8706" w14:textId="77777777" w:rsidR="00F64219" w:rsidRDefault="00F64219" w:rsidP="002555B9">
      <w:pPr>
        <w:jc w:val="both"/>
        <w:rPr>
          <w:rFonts w:ascii="Arial" w:hAnsi="Arial" w:cs="Arial"/>
          <w:sz w:val="22"/>
          <w:szCs w:val="22"/>
        </w:rPr>
      </w:pPr>
    </w:p>
    <w:p w14:paraId="06C2F3D6" w14:textId="7E5A884A" w:rsidR="002555B9" w:rsidRPr="004F3556" w:rsidRDefault="002555B9" w:rsidP="002555B9">
      <w:pPr>
        <w:jc w:val="both"/>
        <w:rPr>
          <w:rFonts w:ascii="Arial" w:hAnsi="Arial" w:cs="Arial"/>
          <w:sz w:val="22"/>
          <w:szCs w:val="22"/>
        </w:rPr>
      </w:pPr>
      <w:r w:rsidRPr="004F3556">
        <w:rPr>
          <w:rFonts w:ascii="Arial" w:hAnsi="Arial" w:cs="Arial"/>
          <w:sz w:val="22"/>
          <w:szCs w:val="22"/>
        </w:rPr>
        <w:t>POKAZATELJI USPJEŠNOSTI</w:t>
      </w:r>
    </w:p>
    <w:tbl>
      <w:tblPr>
        <w:tblW w:w="9362" w:type="dxa"/>
        <w:tblInd w:w="108" w:type="dxa"/>
        <w:tblLayout w:type="fixed"/>
        <w:tblLook w:val="04A0" w:firstRow="1" w:lastRow="0" w:firstColumn="1" w:lastColumn="0" w:noHBand="0" w:noVBand="1"/>
      </w:tblPr>
      <w:tblGrid>
        <w:gridCol w:w="2163"/>
        <w:gridCol w:w="1376"/>
        <w:gridCol w:w="1423"/>
        <w:gridCol w:w="4400"/>
      </w:tblGrid>
      <w:tr w:rsidR="00722AF0" w:rsidRPr="00722AF0" w14:paraId="68CDDEF0" w14:textId="77777777" w:rsidTr="002555B9">
        <w:trPr>
          <w:trHeight w:val="483"/>
        </w:trPr>
        <w:tc>
          <w:tcPr>
            <w:tcW w:w="216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001105B4" w14:textId="1A069897" w:rsidR="0052172F" w:rsidRPr="00722AF0" w:rsidRDefault="0052172F" w:rsidP="0052172F">
            <w:pPr>
              <w:jc w:val="center"/>
              <w:rPr>
                <w:rFonts w:ascii="Arial" w:hAnsi="Arial" w:cs="Arial"/>
                <w:b/>
                <w:bCs/>
                <w:sz w:val="22"/>
                <w:szCs w:val="22"/>
              </w:rPr>
            </w:pPr>
            <w:r w:rsidRPr="00722AF0">
              <w:rPr>
                <w:rFonts w:ascii="Arial" w:hAnsi="Arial" w:cs="Arial"/>
                <w:b/>
                <w:bCs/>
                <w:sz w:val="22"/>
                <w:szCs w:val="22"/>
              </w:rPr>
              <w:t xml:space="preserve">Pokazatelj rezultata </w:t>
            </w:r>
          </w:p>
        </w:tc>
        <w:tc>
          <w:tcPr>
            <w:tcW w:w="1376"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281488C5" w14:textId="6BBAFFD0" w:rsidR="0052172F" w:rsidRPr="00722AF0" w:rsidRDefault="0052172F" w:rsidP="0052172F">
            <w:pPr>
              <w:jc w:val="center"/>
              <w:rPr>
                <w:rFonts w:ascii="Arial" w:hAnsi="Arial" w:cs="Arial"/>
                <w:b/>
                <w:bCs/>
                <w:sz w:val="22"/>
                <w:szCs w:val="22"/>
              </w:rPr>
            </w:pPr>
            <w:r w:rsidRPr="00722AF0">
              <w:rPr>
                <w:rFonts w:ascii="Arial" w:hAnsi="Arial" w:cs="Arial"/>
                <w:b/>
                <w:bCs/>
                <w:sz w:val="22"/>
                <w:szCs w:val="22"/>
              </w:rPr>
              <w:t>Početna vrijednost</w:t>
            </w:r>
            <w:r w:rsidRPr="00722AF0">
              <w:rPr>
                <w:rFonts w:ascii="Arial" w:hAnsi="Arial" w:cs="Arial"/>
                <w:b/>
                <w:bCs/>
                <w:sz w:val="22"/>
                <w:szCs w:val="22"/>
              </w:rPr>
              <w:br/>
              <w:t>(2025.)</w:t>
            </w:r>
          </w:p>
        </w:tc>
        <w:tc>
          <w:tcPr>
            <w:tcW w:w="1423"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36CFBC81" w14:textId="6E176216" w:rsidR="0052172F" w:rsidRPr="00722AF0" w:rsidRDefault="0052172F" w:rsidP="0052172F">
            <w:pPr>
              <w:jc w:val="center"/>
              <w:rPr>
                <w:rFonts w:ascii="Arial" w:hAnsi="Arial" w:cs="Arial"/>
                <w:b/>
                <w:bCs/>
                <w:sz w:val="22"/>
                <w:szCs w:val="22"/>
              </w:rPr>
            </w:pPr>
            <w:r w:rsidRPr="00722AF0">
              <w:rPr>
                <w:rFonts w:ascii="Arial" w:hAnsi="Arial" w:cs="Arial"/>
                <w:b/>
                <w:bCs/>
                <w:sz w:val="22"/>
                <w:szCs w:val="22"/>
              </w:rPr>
              <w:t>Ciljna</w:t>
            </w:r>
            <w:r w:rsidRPr="00722AF0">
              <w:rPr>
                <w:rFonts w:ascii="Arial" w:hAnsi="Arial" w:cs="Arial"/>
                <w:b/>
                <w:bCs/>
                <w:sz w:val="22"/>
                <w:szCs w:val="22"/>
              </w:rPr>
              <w:br/>
              <w:t>vrijednost</w:t>
            </w:r>
            <w:r w:rsidRPr="00722AF0">
              <w:rPr>
                <w:rFonts w:ascii="Arial" w:hAnsi="Arial" w:cs="Arial"/>
                <w:b/>
                <w:bCs/>
                <w:sz w:val="22"/>
                <w:szCs w:val="22"/>
              </w:rPr>
              <w:br/>
              <w:t>2025.</w:t>
            </w:r>
          </w:p>
        </w:tc>
        <w:tc>
          <w:tcPr>
            <w:tcW w:w="4400"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5A7F82E8" w14:textId="2D14DCE1" w:rsidR="0052172F" w:rsidRPr="00722AF0" w:rsidRDefault="0052172F" w:rsidP="0052172F">
            <w:pPr>
              <w:jc w:val="center"/>
              <w:rPr>
                <w:rFonts w:ascii="Arial" w:hAnsi="Arial" w:cs="Arial"/>
                <w:b/>
                <w:bCs/>
                <w:sz w:val="22"/>
                <w:szCs w:val="22"/>
              </w:rPr>
            </w:pPr>
            <w:r w:rsidRPr="00722AF0">
              <w:rPr>
                <w:rFonts w:ascii="Arial" w:hAnsi="Arial" w:cs="Arial"/>
                <w:b/>
                <w:bCs/>
                <w:sz w:val="22"/>
                <w:szCs w:val="22"/>
              </w:rPr>
              <w:t>Ostvarena vrijednost u periodu 01.-12/2025.</w:t>
            </w:r>
          </w:p>
        </w:tc>
      </w:tr>
      <w:tr w:rsidR="00722AF0" w:rsidRPr="00722AF0" w14:paraId="0F0F9658" w14:textId="77777777" w:rsidTr="00AD78FF">
        <w:trPr>
          <w:trHeight w:val="700"/>
        </w:trPr>
        <w:tc>
          <w:tcPr>
            <w:tcW w:w="2163" w:type="dxa"/>
            <w:tcBorders>
              <w:top w:val="nil"/>
              <w:left w:val="single" w:sz="4" w:space="0" w:color="000000"/>
              <w:bottom w:val="single" w:sz="4" w:space="0" w:color="000000"/>
              <w:right w:val="single" w:sz="4" w:space="0" w:color="000000"/>
            </w:tcBorders>
            <w:shd w:val="clear" w:color="FFFFFF" w:fill="FFFFFF"/>
            <w:vAlign w:val="center"/>
          </w:tcPr>
          <w:p w14:paraId="3CEE832A" w14:textId="77777777" w:rsidR="002555B9" w:rsidRPr="00722AF0" w:rsidRDefault="002555B9" w:rsidP="002555B9">
            <w:pPr>
              <w:jc w:val="center"/>
              <w:rPr>
                <w:rFonts w:ascii="Arial" w:hAnsi="Arial" w:cs="Arial"/>
                <w:sz w:val="22"/>
                <w:szCs w:val="22"/>
              </w:rPr>
            </w:pPr>
            <w:r w:rsidRPr="00722AF0">
              <w:rPr>
                <w:rFonts w:ascii="Arial" w:hAnsi="Arial" w:cs="Arial"/>
                <w:sz w:val="22"/>
                <w:szCs w:val="22"/>
              </w:rPr>
              <w:t>Pravovremena otplata kredita</w:t>
            </w:r>
          </w:p>
        </w:tc>
        <w:tc>
          <w:tcPr>
            <w:tcW w:w="1376" w:type="dxa"/>
            <w:tcBorders>
              <w:top w:val="nil"/>
              <w:left w:val="nil"/>
              <w:bottom w:val="single" w:sz="4" w:space="0" w:color="000000"/>
              <w:right w:val="single" w:sz="4" w:space="0" w:color="000000"/>
            </w:tcBorders>
            <w:shd w:val="clear" w:color="FFFFFF" w:fill="FFFFFF"/>
            <w:vAlign w:val="center"/>
          </w:tcPr>
          <w:p w14:paraId="252AC444" w14:textId="77777777" w:rsidR="002555B9" w:rsidRPr="00722AF0" w:rsidRDefault="002555B9" w:rsidP="002555B9">
            <w:pPr>
              <w:jc w:val="center"/>
              <w:rPr>
                <w:rFonts w:ascii="Arial" w:hAnsi="Arial" w:cs="Arial"/>
                <w:sz w:val="22"/>
                <w:szCs w:val="22"/>
              </w:rPr>
            </w:pPr>
            <w:r w:rsidRPr="00722AF0">
              <w:rPr>
                <w:rFonts w:ascii="Arial" w:hAnsi="Arial" w:cs="Arial"/>
                <w:sz w:val="22"/>
                <w:szCs w:val="22"/>
              </w:rPr>
              <w:t>Redovito podmirene rate kredita</w:t>
            </w:r>
          </w:p>
        </w:tc>
        <w:tc>
          <w:tcPr>
            <w:tcW w:w="1423" w:type="dxa"/>
            <w:tcBorders>
              <w:top w:val="nil"/>
              <w:left w:val="nil"/>
              <w:bottom w:val="single" w:sz="4" w:space="0" w:color="000000"/>
              <w:right w:val="single" w:sz="4" w:space="0" w:color="000000"/>
            </w:tcBorders>
            <w:shd w:val="clear" w:color="FFFFFF" w:fill="FFFFFF"/>
            <w:vAlign w:val="center"/>
          </w:tcPr>
          <w:p w14:paraId="74B82EA8" w14:textId="77777777" w:rsidR="002555B9" w:rsidRPr="00722AF0" w:rsidRDefault="002555B9" w:rsidP="002555B9">
            <w:pPr>
              <w:jc w:val="center"/>
              <w:rPr>
                <w:rFonts w:ascii="Arial" w:hAnsi="Arial" w:cs="Arial"/>
                <w:sz w:val="22"/>
                <w:szCs w:val="22"/>
              </w:rPr>
            </w:pPr>
            <w:r w:rsidRPr="00722AF0">
              <w:rPr>
                <w:rFonts w:ascii="Arial" w:hAnsi="Arial" w:cs="Arial"/>
                <w:sz w:val="22"/>
                <w:szCs w:val="22"/>
              </w:rPr>
              <w:t>Redovito podmirene rate kredita</w:t>
            </w:r>
          </w:p>
        </w:tc>
        <w:tc>
          <w:tcPr>
            <w:tcW w:w="4400" w:type="dxa"/>
            <w:tcBorders>
              <w:top w:val="nil"/>
              <w:left w:val="nil"/>
              <w:bottom w:val="single" w:sz="4" w:space="0" w:color="000000"/>
              <w:right w:val="single" w:sz="4" w:space="0" w:color="000000"/>
            </w:tcBorders>
            <w:shd w:val="clear" w:color="FFFFFF" w:fill="FFFFFF"/>
            <w:vAlign w:val="center"/>
          </w:tcPr>
          <w:p w14:paraId="58E2C795" w14:textId="07687D1A" w:rsidR="002555B9" w:rsidRPr="00722AF0" w:rsidRDefault="002555B9" w:rsidP="00650B14">
            <w:pPr>
              <w:jc w:val="center"/>
              <w:rPr>
                <w:rFonts w:ascii="Arial" w:hAnsi="Arial" w:cs="Arial"/>
                <w:sz w:val="22"/>
                <w:szCs w:val="22"/>
              </w:rPr>
            </w:pPr>
            <w:r w:rsidRPr="00722AF0">
              <w:rPr>
                <w:rFonts w:ascii="Arial" w:hAnsi="Arial" w:cs="Arial"/>
                <w:sz w:val="22"/>
                <w:szCs w:val="22"/>
              </w:rPr>
              <w:t xml:space="preserve">Redovito plaćene dospjele rate kredita u iznosu </w:t>
            </w:r>
            <w:r w:rsidR="00EF385F" w:rsidRPr="00722AF0">
              <w:rPr>
                <w:rFonts w:ascii="Arial" w:hAnsi="Arial" w:cs="Arial"/>
                <w:sz w:val="22"/>
                <w:szCs w:val="22"/>
              </w:rPr>
              <w:t>70.196,22</w:t>
            </w:r>
            <w:r w:rsidRPr="00722AF0">
              <w:rPr>
                <w:rFonts w:ascii="Arial" w:hAnsi="Arial" w:cs="Arial"/>
                <w:sz w:val="22"/>
                <w:szCs w:val="22"/>
              </w:rPr>
              <w:t xml:space="preserve"> eura</w:t>
            </w:r>
            <w:r w:rsidR="00862E62" w:rsidRPr="00722AF0">
              <w:rPr>
                <w:rFonts w:ascii="Arial" w:hAnsi="Arial" w:cs="Arial"/>
                <w:sz w:val="22"/>
                <w:szCs w:val="22"/>
              </w:rPr>
              <w:t xml:space="preserve"> </w:t>
            </w:r>
            <w:r w:rsidRPr="00722AF0">
              <w:rPr>
                <w:rFonts w:ascii="Arial" w:hAnsi="Arial" w:cs="Arial"/>
                <w:sz w:val="22"/>
                <w:szCs w:val="22"/>
              </w:rPr>
              <w:t>(</w:t>
            </w:r>
            <w:r w:rsidR="00862E62" w:rsidRPr="00722AF0">
              <w:rPr>
                <w:rFonts w:ascii="Arial" w:hAnsi="Arial" w:cs="Arial"/>
                <w:sz w:val="22"/>
                <w:szCs w:val="22"/>
              </w:rPr>
              <w:t xml:space="preserve">kamate po kreditu </w:t>
            </w:r>
            <w:r w:rsidR="00EF385F" w:rsidRPr="00722AF0">
              <w:rPr>
                <w:rFonts w:ascii="Arial" w:hAnsi="Arial" w:cs="Arial"/>
                <w:sz w:val="22"/>
                <w:szCs w:val="22"/>
              </w:rPr>
              <w:t>4.432,03</w:t>
            </w:r>
            <w:r w:rsidR="00862E62" w:rsidRPr="00722AF0">
              <w:rPr>
                <w:rFonts w:ascii="Arial" w:hAnsi="Arial" w:cs="Arial"/>
                <w:sz w:val="22"/>
                <w:szCs w:val="22"/>
              </w:rPr>
              <w:t xml:space="preserve"> i</w:t>
            </w:r>
            <w:r w:rsidRPr="00722AF0">
              <w:rPr>
                <w:rFonts w:ascii="Arial" w:hAnsi="Arial" w:cs="Arial"/>
                <w:sz w:val="22"/>
                <w:szCs w:val="22"/>
              </w:rPr>
              <w:t xml:space="preserve"> glavnic</w:t>
            </w:r>
            <w:r w:rsidR="00EF385F" w:rsidRPr="00722AF0">
              <w:rPr>
                <w:rFonts w:ascii="Arial" w:hAnsi="Arial" w:cs="Arial"/>
                <w:sz w:val="22"/>
                <w:szCs w:val="22"/>
              </w:rPr>
              <w:t>a</w:t>
            </w:r>
            <w:r w:rsidRPr="00722AF0">
              <w:rPr>
                <w:rFonts w:ascii="Arial" w:hAnsi="Arial" w:cs="Arial"/>
                <w:sz w:val="22"/>
                <w:szCs w:val="22"/>
              </w:rPr>
              <w:t xml:space="preserve"> </w:t>
            </w:r>
            <w:r w:rsidR="00862E62" w:rsidRPr="00722AF0">
              <w:rPr>
                <w:rFonts w:ascii="Arial" w:hAnsi="Arial" w:cs="Arial"/>
                <w:sz w:val="22"/>
                <w:szCs w:val="22"/>
              </w:rPr>
              <w:t>65.764,</w:t>
            </w:r>
            <w:r w:rsidR="00EF385F" w:rsidRPr="00722AF0">
              <w:rPr>
                <w:rFonts w:ascii="Arial" w:hAnsi="Arial" w:cs="Arial"/>
                <w:sz w:val="22"/>
                <w:szCs w:val="22"/>
              </w:rPr>
              <w:t>1</w:t>
            </w:r>
            <w:r w:rsidR="00862E62" w:rsidRPr="00722AF0">
              <w:rPr>
                <w:rFonts w:ascii="Arial" w:hAnsi="Arial" w:cs="Arial"/>
                <w:sz w:val="22"/>
                <w:szCs w:val="22"/>
              </w:rPr>
              <w:t>9</w:t>
            </w:r>
            <w:r w:rsidRPr="00722AF0">
              <w:rPr>
                <w:rFonts w:ascii="Arial" w:hAnsi="Arial" w:cs="Arial"/>
                <w:sz w:val="22"/>
                <w:szCs w:val="22"/>
              </w:rPr>
              <w:t>)</w:t>
            </w:r>
          </w:p>
        </w:tc>
      </w:tr>
    </w:tbl>
    <w:p w14:paraId="64076111" w14:textId="77777777" w:rsidR="002555B9" w:rsidRPr="004F3556" w:rsidRDefault="002555B9" w:rsidP="002555B9">
      <w:pPr>
        <w:rPr>
          <w:rFonts w:ascii="Arial" w:hAnsi="Arial" w:cs="Arial"/>
          <w:sz w:val="22"/>
          <w:szCs w:val="22"/>
        </w:rPr>
      </w:pPr>
    </w:p>
    <w:p w14:paraId="0A23C4BC" w14:textId="77777777" w:rsidR="002555B9" w:rsidRPr="004F3556" w:rsidRDefault="002555B9" w:rsidP="002555B9">
      <w:pPr>
        <w:rPr>
          <w:rFonts w:ascii="Arial" w:hAnsi="Arial" w:cs="Arial"/>
          <w:sz w:val="22"/>
          <w:szCs w:val="22"/>
        </w:rPr>
      </w:pPr>
    </w:p>
    <w:p w14:paraId="193F27EE" w14:textId="39D9C712" w:rsidR="002555B9" w:rsidRPr="004F3556" w:rsidRDefault="002555B9" w:rsidP="002555B9">
      <w:pPr>
        <w:pStyle w:val="Odlomakpopisa"/>
        <w:numPr>
          <w:ilvl w:val="1"/>
          <w:numId w:val="42"/>
        </w:numPr>
        <w:rPr>
          <w:rFonts w:ascii="Arial" w:hAnsi="Arial" w:cs="Arial"/>
          <w:b/>
        </w:rPr>
      </w:pPr>
      <w:r w:rsidRPr="004F3556">
        <w:rPr>
          <w:rFonts w:ascii="Arial" w:hAnsi="Arial" w:cs="Arial"/>
          <w:b/>
        </w:rPr>
        <w:t>Otplata kredita RTG digitalizacije (A421402)</w:t>
      </w:r>
    </w:p>
    <w:p w14:paraId="273D9503" w14:textId="47E8DB9E" w:rsidR="002555B9" w:rsidRPr="004F3556" w:rsidRDefault="002761DB" w:rsidP="00722AF0">
      <w:pPr>
        <w:spacing w:before="100" w:beforeAutospacing="1" w:after="100" w:afterAutospacing="1" w:line="276" w:lineRule="auto"/>
        <w:jc w:val="both"/>
        <w:rPr>
          <w:rFonts w:ascii="Arial" w:hAnsi="Arial" w:cs="Arial"/>
          <w:b/>
          <w:sz w:val="22"/>
          <w:szCs w:val="22"/>
        </w:rPr>
      </w:pPr>
      <w:r w:rsidRPr="00722AF0">
        <w:rPr>
          <w:rFonts w:ascii="Arial" w:hAnsi="Arial" w:cs="Arial"/>
          <w:sz w:val="22"/>
          <w:szCs w:val="22"/>
        </w:rPr>
        <w:t>Aktivnost otplate kredita za RTG digitalizaciju obuhvaća redovito podmirivanje dospjelih kreditnih obveza s pripadajućim kamatama</w:t>
      </w:r>
      <w:r w:rsidR="00722AF0">
        <w:rPr>
          <w:rFonts w:ascii="Arial" w:hAnsi="Arial" w:cs="Arial"/>
          <w:sz w:val="22"/>
          <w:szCs w:val="22"/>
        </w:rPr>
        <w:t xml:space="preserve"> za sredstva dobivena na ime obnove radiološke dijagnostike s digitalizacijom</w:t>
      </w:r>
      <w:r w:rsidRPr="00722AF0">
        <w:rPr>
          <w:rFonts w:ascii="Arial" w:hAnsi="Arial" w:cs="Arial"/>
          <w:sz w:val="22"/>
          <w:szCs w:val="22"/>
        </w:rPr>
        <w:t>. Ukupan iznos kredita iznosi 862.698,25 € (6.500.000 kn), uz rok otplate od deset godina.</w:t>
      </w:r>
    </w:p>
    <w:p w14:paraId="008A6B9C" w14:textId="77777777" w:rsidR="002555B9" w:rsidRPr="004F3556" w:rsidRDefault="002555B9" w:rsidP="002555B9">
      <w:pPr>
        <w:ind w:left="2410" w:hanging="2410"/>
        <w:jc w:val="both"/>
        <w:rPr>
          <w:rFonts w:ascii="Arial" w:hAnsi="Arial" w:cs="Arial"/>
          <w:sz w:val="22"/>
          <w:szCs w:val="22"/>
        </w:rPr>
      </w:pPr>
      <w:r w:rsidRPr="004F3556">
        <w:rPr>
          <w:rFonts w:ascii="Arial" w:hAnsi="Arial" w:cs="Arial"/>
          <w:sz w:val="22"/>
          <w:szCs w:val="22"/>
        </w:rPr>
        <w:t>CILJ USPJEŠNOSTI -</w:t>
      </w:r>
      <w:r w:rsidRPr="004F3556">
        <w:rPr>
          <w:rFonts w:ascii="Arial" w:hAnsi="Arial" w:cs="Arial"/>
          <w:b/>
          <w:sz w:val="22"/>
          <w:szCs w:val="22"/>
        </w:rPr>
        <w:t xml:space="preserve"> </w:t>
      </w:r>
      <w:r w:rsidRPr="004F3556">
        <w:rPr>
          <w:rFonts w:ascii="Arial" w:hAnsi="Arial" w:cs="Arial"/>
          <w:sz w:val="22"/>
          <w:szCs w:val="22"/>
        </w:rPr>
        <w:t xml:space="preserve">2.2.3. Osiguravanje suvremenih i ekološki održivih infrastrukturnih kapaciteta za pružanje zdravstvene zaštite   </w:t>
      </w:r>
    </w:p>
    <w:p w14:paraId="625B80F7" w14:textId="77777777" w:rsidR="00722AF0" w:rsidRDefault="00722AF0" w:rsidP="002555B9">
      <w:pPr>
        <w:jc w:val="both"/>
        <w:rPr>
          <w:rFonts w:ascii="Arial" w:hAnsi="Arial" w:cs="Arial"/>
          <w:sz w:val="22"/>
          <w:szCs w:val="22"/>
        </w:rPr>
      </w:pPr>
    </w:p>
    <w:p w14:paraId="45B8C022" w14:textId="280852C1" w:rsidR="002555B9" w:rsidRPr="004F3556" w:rsidRDefault="002555B9" w:rsidP="002555B9">
      <w:pPr>
        <w:jc w:val="both"/>
        <w:rPr>
          <w:rFonts w:ascii="Arial" w:hAnsi="Arial" w:cs="Arial"/>
          <w:sz w:val="22"/>
          <w:szCs w:val="22"/>
        </w:rPr>
      </w:pPr>
      <w:r w:rsidRPr="004F3556">
        <w:rPr>
          <w:rFonts w:ascii="Arial" w:hAnsi="Arial" w:cs="Arial"/>
          <w:sz w:val="22"/>
          <w:szCs w:val="22"/>
        </w:rPr>
        <w:t>POKAZATELJI USPJEŠNOSTI</w:t>
      </w:r>
    </w:p>
    <w:tbl>
      <w:tblPr>
        <w:tblW w:w="9178" w:type="dxa"/>
        <w:jc w:val="center"/>
        <w:tblLayout w:type="fixed"/>
        <w:tblLook w:val="04A0" w:firstRow="1" w:lastRow="0" w:firstColumn="1" w:lastColumn="0" w:noHBand="0" w:noVBand="1"/>
      </w:tblPr>
      <w:tblGrid>
        <w:gridCol w:w="1872"/>
        <w:gridCol w:w="1376"/>
        <w:gridCol w:w="1567"/>
        <w:gridCol w:w="4363"/>
      </w:tblGrid>
      <w:tr w:rsidR="00722AF0" w:rsidRPr="00722AF0" w14:paraId="11726AC6" w14:textId="77777777" w:rsidTr="002555B9">
        <w:trPr>
          <w:trHeight w:val="694"/>
          <w:jc w:val="center"/>
        </w:trPr>
        <w:tc>
          <w:tcPr>
            <w:tcW w:w="187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5BAFA66D" w14:textId="363BEC38" w:rsidR="0052172F" w:rsidRPr="00722AF0" w:rsidRDefault="0052172F" w:rsidP="0052172F">
            <w:pPr>
              <w:jc w:val="center"/>
              <w:rPr>
                <w:rFonts w:ascii="Arial" w:hAnsi="Arial" w:cs="Arial"/>
                <w:b/>
                <w:bCs/>
                <w:sz w:val="22"/>
                <w:szCs w:val="22"/>
              </w:rPr>
            </w:pPr>
            <w:r w:rsidRPr="00722AF0">
              <w:rPr>
                <w:rFonts w:ascii="Arial" w:hAnsi="Arial" w:cs="Arial"/>
                <w:b/>
                <w:bCs/>
                <w:sz w:val="22"/>
                <w:szCs w:val="22"/>
              </w:rPr>
              <w:t xml:space="preserve">Pokazatelj rezultata </w:t>
            </w:r>
          </w:p>
        </w:tc>
        <w:tc>
          <w:tcPr>
            <w:tcW w:w="1376"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7C9087C6" w14:textId="7B53DC44" w:rsidR="0052172F" w:rsidRPr="00722AF0" w:rsidRDefault="0052172F" w:rsidP="0052172F">
            <w:pPr>
              <w:jc w:val="center"/>
              <w:rPr>
                <w:rFonts w:ascii="Arial" w:hAnsi="Arial" w:cs="Arial"/>
                <w:b/>
                <w:bCs/>
                <w:sz w:val="22"/>
                <w:szCs w:val="22"/>
              </w:rPr>
            </w:pPr>
            <w:r w:rsidRPr="00722AF0">
              <w:rPr>
                <w:rFonts w:ascii="Arial" w:hAnsi="Arial" w:cs="Arial"/>
                <w:b/>
                <w:bCs/>
                <w:sz w:val="22"/>
                <w:szCs w:val="22"/>
              </w:rPr>
              <w:t>Početna vrijednost</w:t>
            </w:r>
            <w:r w:rsidRPr="00722AF0">
              <w:rPr>
                <w:rFonts w:ascii="Arial" w:hAnsi="Arial" w:cs="Arial"/>
                <w:b/>
                <w:bCs/>
                <w:sz w:val="22"/>
                <w:szCs w:val="22"/>
              </w:rPr>
              <w:br/>
              <w:t>(2025.)</w:t>
            </w:r>
          </w:p>
        </w:tc>
        <w:tc>
          <w:tcPr>
            <w:tcW w:w="1567"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4FB5B183" w14:textId="44DA8F38" w:rsidR="0052172F" w:rsidRPr="00722AF0" w:rsidRDefault="0052172F" w:rsidP="0052172F">
            <w:pPr>
              <w:jc w:val="center"/>
              <w:rPr>
                <w:rFonts w:ascii="Arial" w:hAnsi="Arial" w:cs="Arial"/>
                <w:b/>
                <w:bCs/>
                <w:sz w:val="22"/>
                <w:szCs w:val="22"/>
              </w:rPr>
            </w:pPr>
            <w:r w:rsidRPr="00722AF0">
              <w:rPr>
                <w:rFonts w:ascii="Arial" w:hAnsi="Arial" w:cs="Arial"/>
                <w:b/>
                <w:bCs/>
                <w:sz w:val="22"/>
                <w:szCs w:val="22"/>
              </w:rPr>
              <w:t>Ciljna</w:t>
            </w:r>
            <w:r w:rsidRPr="00722AF0">
              <w:rPr>
                <w:rFonts w:ascii="Arial" w:hAnsi="Arial" w:cs="Arial"/>
                <w:b/>
                <w:bCs/>
                <w:sz w:val="22"/>
                <w:szCs w:val="22"/>
              </w:rPr>
              <w:br/>
              <w:t>vrijednost</w:t>
            </w:r>
            <w:r w:rsidRPr="00722AF0">
              <w:rPr>
                <w:rFonts w:ascii="Arial" w:hAnsi="Arial" w:cs="Arial"/>
                <w:b/>
                <w:bCs/>
                <w:sz w:val="22"/>
                <w:szCs w:val="22"/>
              </w:rPr>
              <w:br/>
              <w:t>2025.</w:t>
            </w:r>
          </w:p>
        </w:tc>
        <w:tc>
          <w:tcPr>
            <w:tcW w:w="4363"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0867CEBA" w14:textId="35E78157" w:rsidR="0052172F" w:rsidRPr="00722AF0" w:rsidRDefault="0052172F" w:rsidP="0052172F">
            <w:pPr>
              <w:jc w:val="center"/>
              <w:rPr>
                <w:rFonts w:ascii="Arial" w:hAnsi="Arial" w:cs="Arial"/>
                <w:b/>
                <w:bCs/>
                <w:sz w:val="22"/>
                <w:szCs w:val="22"/>
              </w:rPr>
            </w:pPr>
            <w:r w:rsidRPr="00722AF0">
              <w:rPr>
                <w:rFonts w:ascii="Arial" w:hAnsi="Arial" w:cs="Arial"/>
                <w:b/>
                <w:bCs/>
                <w:sz w:val="22"/>
                <w:szCs w:val="22"/>
              </w:rPr>
              <w:t>Ostvarena vrijednost u periodu 01.-12/2025.</w:t>
            </w:r>
          </w:p>
        </w:tc>
      </w:tr>
      <w:tr w:rsidR="00722AF0" w:rsidRPr="00722AF0" w14:paraId="7CC407F6" w14:textId="77777777" w:rsidTr="002555B9">
        <w:trPr>
          <w:trHeight w:val="253"/>
          <w:jc w:val="center"/>
        </w:trPr>
        <w:tc>
          <w:tcPr>
            <w:tcW w:w="1872" w:type="dxa"/>
            <w:tcBorders>
              <w:top w:val="nil"/>
              <w:left w:val="single" w:sz="4" w:space="0" w:color="000000"/>
              <w:bottom w:val="single" w:sz="4" w:space="0" w:color="000000"/>
              <w:right w:val="single" w:sz="4" w:space="0" w:color="000000"/>
            </w:tcBorders>
            <w:shd w:val="clear" w:color="FFFFFF" w:fill="FFFFFF"/>
            <w:vAlign w:val="center"/>
          </w:tcPr>
          <w:p w14:paraId="6D76E00E" w14:textId="77777777" w:rsidR="002555B9" w:rsidRPr="00722AF0" w:rsidRDefault="002555B9" w:rsidP="002555B9">
            <w:pPr>
              <w:jc w:val="center"/>
              <w:rPr>
                <w:rFonts w:ascii="Arial" w:hAnsi="Arial" w:cs="Arial"/>
                <w:sz w:val="22"/>
                <w:szCs w:val="22"/>
              </w:rPr>
            </w:pPr>
            <w:r w:rsidRPr="00722AF0">
              <w:rPr>
                <w:rFonts w:ascii="Arial" w:hAnsi="Arial" w:cs="Arial"/>
                <w:sz w:val="22"/>
                <w:szCs w:val="22"/>
              </w:rPr>
              <w:t>Pravovremena otplata kredita</w:t>
            </w:r>
          </w:p>
        </w:tc>
        <w:tc>
          <w:tcPr>
            <w:tcW w:w="1376" w:type="dxa"/>
            <w:tcBorders>
              <w:top w:val="nil"/>
              <w:left w:val="nil"/>
              <w:bottom w:val="single" w:sz="4" w:space="0" w:color="000000"/>
              <w:right w:val="single" w:sz="4" w:space="0" w:color="000000"/>
            </w:tcBorders>
            <w:shd w:val="clear" w:color="FFFFFF" w:fill="FFFFFF"/>
            <w:vAlign w:val="center"/>
          </w:tcPr>
          <w:p w14:paraId="047E66C9" w14:textId="77777777" w:rsidR="002555B9" w:rsidRPr="00722AF0" w:rsidRDefault="002555B9" w:rsidP="002555B9">
            <w:pPr>
              <w:jc w:val="center"/>
              <w:rPr>
                <w:rFonts w:ascii="Arial" w:hAnsi="Arial" w:cs="Arial"/>
                <w:sz w:val="22"/>
                <w:szCs w:val="22"/>
              </w:rPr>
            </w:pPr>
            <w:r w:rsidRPr="00722AF0">
              <w:rPr>
                <w:rFonts w:ascii="Arial" w:hAnsi="Arial" w:cs="Arial"/>
                <w:sz w:val="22"/>
                <w:szCs w:val="22"/>
              </w:rPr>
              <w:t>Redovito podmirene rate kredita</w:t>
            </w:r>
          </w:p>
        </w:tc>
        <w:tc>
          <w:tcPr>
            <w:tcW w:w="1567" w:type="dxa"/>
            <w:tcBorders>
              <w:top w:val="nil"/>
              <w:left w:val="nil"/>
              <w:bottom w:val="single" w:sz="4" w:space="0" w:color="000000"/>
              <w:right w:val="single" w:sz="4" w:space="0" w:color="000000"/>
            </w:tcBorders>
            <w:shd w:val="clear" w:color="FFFFFF" w:fill="FFFFFF"/>
            <w:vAlign w:val="center"/>
          </w:tcPr>
          <w:p w14:paraId="0039DD81" w14:textId="77777777" w:rsidR="002555B9" w:rsidRPr="00722AF0" w:rsidRDefault="002555B9" w:rsidP="002555B9">
            <w:pPr>
              <w:jc w:val="center"/>
              <w:rPr>
                <w:rFonts w:ascii="Arial" w:hAnsi="Arial" w:cs="Arial"/>
                <w:sz w:val="22"/>
                <w:szCs w:val="22"/>
              </w:rPr>
            </w:pPr>
            <w:r w:rsidRPr="00722AF0">
              <w:rPr>
                <w:rFonts w:ascii="Arial" w:hAnsi="Arial" w:cs="Arial"/>
                <w:sz w:val="22"/>
                <w:szCs w:val="22"/>
              </w:rPr>
              <w:t>Redovito podmirene rate kredita</w:t>
            </w:r>
          </w:p>
        </w:tc>
        <w:tc>
          <w:tcPr>
            <w:tcW w:w="4363" w:type="dxa"/>
            <w:tcBorders>
              <w:top w:val="nil"/>
              <w:left w:val="nil"/>
              <w:bottom w:val="single" w:sz="4" w:space="0" w:color="000000"/>
              <w:right w:val="single" w:sz="4" w:space="0" w:color="000000"/>
            </w:tcBorders>
            <w:shd w:val="clear" w:color="FFFFFF" w:fill="FFFFFF"/>
          </w:tcPr>
          <w:p w14:paraId="46F33EFB" w14:textId="7C7CA1B2" w:rsidR="002555B9" w:rsidRPr="00722AF0" w:rsidRDefault="002555B9" w:rsidP="002555B9">
            <w:pPr>
              <w:jc w:val="center"/>
              <w:rPr>
                <w:rFonts w:ascii="Arial" w:hAnsi="Arial" w:cs="Arial"/>
                <w:sz w:val="22"/>
                <w:szCs w:val="22"/>
              </w:rPr>
            </w:pPr>
            <w:r w:rsidRPr="00722AF0">
              <w:rPr>
                <w:rFonts w:ascii="Arial" w:hAnsi="Arial" w:cs="Arial"/>
                <w:sz w:val="22"/>
                <w:szCs w:val="22"/>
              </w:rPr>
              <w:t>Redovito podmirene dospjele kamate po kreditu (</w:t>
            </w:r>
            <w:r w:rsidR="00C7536A" w:rsidRPr="00722AF0">
              <w:rPr>
                <w:rFonts w:ascii="Arial" w:hAnsi="Arial" w:cs="Arial"/>
                <w:sz w:val="22"/>
                <w:szCs w:val="22"/>
              </w:rPr>
              <w:t>23.886,24</w:t>
            </w:r>
            <w:r w:rsidR="00791D8C" w:rsidRPr="00722AF0">
              <w:rPr>
                <w:rFonts w:ascii="Arial" w:hAnsi="Arial" w:cs="Arial"/>
                <w:sz w:val="22"/>
                <w:szCs w:val="22"/>
              </w:rPr>
              <w:t xml:space="preserve"> </w:t>
            </w:r>
            <w:r w:rsidR="00862E62" w:rsidRPr="00722AF0">
              <w:rPr>
                <w:rFonts w:ascii="Arial" w:hAnsi="Arial" w:cs="Arial"/>
                <w:sz w:val="22"/>
                <w:szCs w:val="22"/>
              </w:rPr>
              <w:t>eura</w:t>
            </w:r>
            <w:r w:rsidRPr="00722AF0">
              <w:rPr>
                <w:rFonts w:ascii="Arial" w:hAnsi="Arial" w:cs="Arial"/>
                <w:sz w:val="22"/>
                <w:szCs w:val="22"/>
              </w:rPr>
              <w:t>) s pripadajućom glavnicom (</w:t>
            </w:r>
            <w:r w:rsidR="00862E62" w:rsidRPr="00722AF0">
              <w:rPr>
                <w:rFonts w:ascii="Arial" w:hAnsi="Arial" w:cs="Arial"/>
                <w:sz w:val="22"/>
                <w:szCs w:val="22"/>
              </w:rPr>
              <w:t>87.769,44 eura</w:t>
            </w:r>
            <w:r w:rsidRPr="00722AF0">
              <w:rPr>
                <w:rFonts w:ascii="Arial" w:hAnsi="Arial" w:cs="Arial"/>
                <w:sz w:val="22"/>
                <w:szCs w:val="22"/>
              </w:rPr>
              <w:t>)</w:t>
            </w:r>
          </w:p>
        </w:tc>
      </w:tr>
    </w:tbl>
    <w:p w14:paraId="07725C5C" w14:textId="77777777" w:rsidR="002555B9" w:rsidRDefault="002555B9" w:rsidP="002555B9">
      <w:pPr>
        <w:jc w:val="both"/>
        <w:rPr>
          <w:rFonts w:ascii="Arial" w:hAnsi="Arial" w:cs="Arial"/>
          <w:b/>
          <w:sz w:val="22"/>
          <w:szCs w:val="22"/>
        </w:rPr>
      </w:pPr>
    </w:p>
    <w:p w14:paraId="1CBC0455" w14:textId="77777777" w:rsidR="00EC29B0" w:rsidRDefault="00EC29B0" w:rsidP="002555B9">
      <w:pPr>
        <w:jc w:val="both"/>
        <w:rPr>
          <w:rFonts w:ascii="Arial" w:hAnsi="Arial" w:cs="Arial"/>
          <w:b/>
          <w:sz w:val="22"/>
          <w:szCs w:val="22"/>
        </w:rPr>
      </w:pPr>
    </w:p>
    <w:p w14:paraId="1673F2BF" w14:textId="75F319ED" w:rsidR="00EC29B0" w:rsidRDefault="00EC29B0" w:rsidP="00EC29B0">
      <w:pPr>
        <w:pStyle w:val="Odlomakpopisa"/>
        <w:numPr>
          <w:ilvl w:val="1"/>
          <w:numId w:val="42"/>
        </w:numPr>
        <w:jc w:val="both"/>
        <w:rPr>
          <w:rFonts w:ascii="Arial" w:hAnsi="Arial" w:cs="Arial"/>
          <w:b/>
        </w:rPr>
      </w:pPr>
      <w:r>
        <w:rPr>
          <w:rFonts w:ascii="Arial" w:hAnsi="Arial" w:cs="Arial"/>
          <w:b/>
        </w:rPr>
        <w:t>Adaptacija stacionara Pazin – V. faza</w:t>
      </w:r>
    </w:p>
    <w:p w14:paraId="1C5FBF07" w14:textId="77777777" w:rsidR="00F64219" w:rsidRDefault="00F64219" w:rsidP="00EC29B0">
      <w:pPr>
        <w:rPr>
          <w:rFonts w:ascii="Arial" w:hAnsi="Arial" w:cs="Arial"/>
          <w:sz w:val="22"/>
          <w:szCs w:val="22"/>
        </w:rPr>
      </w:pPr>
    </w:p>
    <w:p w14:paraId="19504839" w14:textId="3B22E717" w:rsidR="00EC29B0" w:rsidRPr="00722AF0" w:rsidRDefault="00EC29B0" w:rsidP="00722AF0">
      <w:pPr>
        <w:spacing w:line="276" w:lineRule="auto"/>
        <w:jc w:val="both"/>
        <w:rPr>
          <w:rFonts w:ascii="Arial" w:hAnsi="Arial" w:cs="Arial"/>
          <w:bCs/>
          <w:sz w:val="22"/>
          <w:szCs w:val="20"/>
        </w:rPr>
      </w:pPr>
      <w:r w:rsidRPr="00722AF0">
        <w:rPr>
          <w:rFonts w:ascii="Arial" w:hAnsi="Arial" w:cs="Arial"/>
          <w:sz w:val="22"/>
          <w:szCs w:val="22"/>
        </w:rPr>
        <w:t xml:space="preserve">Stacionarna djelatnost namijenjena je zbrinjavanju nepokretnih i teško pokretnih pacijenata, među kojima su često i palijativni bolesnici, kojima je potrebna kontinuirana, cjelodnevna zdravstvena skrb. U takvim uvjetima stručno osoblje osigurava pomoć i podršku u </w:t>
      </w:r>
      <w:r w:rsidR="00F64219" w:rsidRPr="00722AF0">
        <w:rPr>
          <w:rFonts w:ascii="Arial" w:hAnsi="Arial" w:cs="Arial"/>
          <w:sz w:val="22"/>
          <w:szCs w:val="22"/>
        </w:rPr>
        <w:t>svakodnevnim dnevnim radnjama bolesnicima</w:t>
      </w:r>
      <w:r w:rsidRPr="00722AF0">
        <w:rPr>
          <w:rFonts w:ascii="Arial" w:hAnsi="Arial" w:cs="Arial"/>
          <w:sz w:val="22"/>
          <w:szCs w:val="22"/>
        </w:rPr>
        <w:t xml:space="preserve"> uključujući aktivnosti poput odijevanja, hranjenja, održavanja osobne higijene, zadovoljavanja osnovnih fizioloških potreba te provođenja fizikalne terapije. </w:t>
      </w:r>
      <w:r w:rsidR="00B2140F" w:rsidRPr="00722AF0">
        <w:rPr>
          <w:rFonts w:ascii="Arial" w:hAnsi="Arial" w:cs="Arial"/>
          <w:sz w:val="22"/>
          <w:szCs w:val="22"/>
        </w:rPr>
        <w:t>Provedbom V. faze adaptacije stacionara u Pazinu poboljšat će se prostorni uvjeti i funkcionalni raspored</w:t>
      </w:r>
      <w:r w:rsidR="007F7BB8">
        <w:rPr>
          <w:rFonts w:ascii="Arial" w:hAnsi="Arial" w:cs="Arial"/>
          <w:sz w:val="22"/>
          <w:szCs w:val="22"/>
        </w:rPr>
        <w:t xml:space="preserve"> prostorija,</w:t>
      </w:r>
      <w:r w:rsidR="00B2140F" w:rsidRPr="00722AF0">
        <w:rPr>
          <w:rFonts w:ascii="Arial" w:hAnsi="Arial" w:cs="Arial"/>
          <w:sz w:val="22"/>
          <w:szCs w:val="22"/>
        </w:rPr>
        <w:t xml:space="preserve"> što će doprinijeti većoj kvaliteti boravka korisnika te unaprijediti organizaciju i učinkovitost rada zdravstvenog osoblja</w:t>
      </w:r>
      <w:r w:rsidRPr="00722AF0">
        <w:rPr>
          <w:rFonts w:ascii="Arial" w:hAnsi="Arial" w:cs="Arial"/>
          <w:sz w:val="22"/>
          <w:szCs w:val="22"/>
        </w:rPr>
        <w:t xml:space="preserve">. </w:t>
      </w:r>
    </w:p>
    <w:p w14:paraId="5378B916" w14:textId="77777777" w:rsidR="00FD21C2" w:rsidRDefault="00FD21C2" w:rsidP="00F64219">
      <w:pPr>
        <w:ind w:left="2410" w:hanging="2410"/>
        <w:jc w:val="both"/>
        <w:rPr>
          <w:rFonts w:ascii="Arial" w:hAnsi="Arial" w:cs="Arial"/>
          <w:sz w:val="22"/>
          <w:szCs w:val="22"/>
        </w:rPr>
      </w:pPr>
    </w:p>
    <w:p w14:paraId="1F546649" w14:textId="7BD27252" w:rsidR="00F64219" w:rsidRPr="007F7BB8" w:rsidRDefault="00F64219" w:rsidP="00F64219">
      <w:pPr>
        <w:ind w:left="2410" w:hanging="2410"/>
        <w:jc w:val="both"/>
        <w:rPr>
          <w:rFonts w:ascii="Arial" w:hAnsi="Arial" w:cs="Arial"/>
          <w:sz w:val="22"/>
          <w:szCs w:val="22"/>
        </w:rPr>
      </w:pPr>
      <w:r w:rsidRPr="007F7BB8">
        <w:rPr>
          <w:rFonts w:ascii="Arial" w:hAnsi="Arial" w:cs="Arial"/>
          <w:sz w:val="22"/>
          <w:szCs w:val="22"/>
        </w:rPr>
        <w:t>CILJ USPJEŠNOSTI -</w:t>
      </w:r>
      <w:r w:rsidRPr="007F7BB8">
        <w:rPr>
          <w:rFonts w:ascii="Arial" w:hAnsi="Arial" w:cs="Arial"/>
          <w:b/>
          <w:sz w:val="22"/>
          <w:szCs w:val="22"/>
        </w:rPr>
        <w:t xml:space="preserve"> </w:t>
      </w:r>
      <w:r w:rsidRPr="007F7BB8">
        <w:rPr>
          <w:rFonts w:ascii="Arial" w:hAnsi="Arial" w:cs="Arial"/>
          <w:sz w:val="22"/>
          <w:szCs w:val="22"/>
        </w:rPr>
        <w:t xml:space="preserve">2.2.3. Osiguravanje suvremenih i ekološki održivih infrastrukturnih kapaciteta za pružanje zdravstvene zaštite   </w:t>
      </w:r>
    </w:p>
    <w:p w14:paraId="7465AE09" w14:textId="77777777" w:rsidR="00FD21C2" w:rsidRPr="007F7BB8" w:rsidRDefault="00FD21C2" w:rsidP="00FD21C2">
      <w:pPr>
        <w:jc w:val="both"/>
        <w:rPr>
          <w:rFonts w:ascii="Arial" w:hAnsi="Arial" w:cs="Arial"/>
          <w:sz w:val="22"/>
          <w:szCs w:val="22"/>
        </w:rPr>
      </w:pPr>
    </w:p>
    <w:p w14:paraId="0747A47D" w14:textId="4526966D" w:rsidR="00FD21C2" w:rsidRPr="007F7BB8" w:rsidRDefault="00FD21C2" w:rsidP="00FD21C2">
      <w:pPr>
        <w:jc w:val="both"/>
        <w:rPr>
          <w:rFonts w:ascii="Arial" w:hAnsi="Arial" w:cs="Arial"/>
          <w:sz w:val="22"/>
          <w:szCs w:val="22"/>
        </w:rPr>
      </w:pPr>
      <w:r w:rsidRPr="007F7BB8">
        <w:rPr>
          <w:rFonts w:ascii="Arial" w:hAnsi="Arial" w:cs="Arial"/>
          <w:sz w:val="22"/>
          <w:szCs w:val="22"/>
        </w:rPr>
        <w:t>POKAZATELJI USPJEŠNOSTI</w:t>
      </w:r>
    </w:p>
    <w:tbl>
      <w:tblPr>
        <w:tblW w:w="9526" w:type="dxa"/>
        <w:tblInd w:w="108" w:type="dxa"/>
        <w:tblLayout w:type="fixed"/>
        <w:tblLook w:val="04A0" w:firstRow="1" w:lastRow="0" w:firstColumn="1" w:lastColumn="0" w:noHBand="0" w:noVBand="1"/>
      </w:tblPr>
      <w:tblGrid>
        <w:gridCol w:w="1730"/>
        <w:gridCol w:w="1276"/>
        <w:gridCol w:w="1423"/>
        <w:gridCol w:w="5097"/>
      </w:tblGrid>
      <w:tr w:rsidR="007F7BB8" w:rsidRPr="007F7BB8" w14:paraId="3CBC4054" w14:textId="77777777" w:rsidTr="007F7BB8">
        <w:trPr>
          <w:trHeight w:val="483"/>
        </w:trPr>
        <w:tc>
          <w:tcPr>
            <w:tcW w:w="173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627E086E" w14:textId="77777777" w:rsidR="00FD21C2" w:rsidRPr="007F7BB8" w:rsidRDefault="00FD21C2" w:rsidP="005D252F">
            <w:pPr>
              <w:jc w:val="center"/>
              <w:rPr>
                <w:rFonts w:ascii="Arial" w:hAnsi="Arial" w:cs="Arial"/>
                <w:b/>
                <w:bCs/>
                <w:sz w:val="22"/>
                <w:szCs w:val="22"/>
              </w:rPr>
            </w:pPr>
            <w:r w:rsidRPr="007F7BB8">
              <w:rPr>
                <w:rFonts w:ascii="Arial" w:hAnsi="Arial" w:cs="Arial"/>
                <w:b/>
                <w:bCs/>
                <w:sz w:val="22"/>
                <w:szCs w:val="22"/>
              </w:rPr>
              <w:t xml:space="preserve">Pokazatelj rezultata </w:t>
            </w:r>
          </w:p>
        </w:tc>
        <w:tc>
          <w:tcPr>
            <w:tcW w:w="1276"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18164692" w14:textId="77777777" w:rsidR="00FD21C2" w:rsidRPr="007F7BB8" w:rsidRDefault="00FD21C2" w:rsidP="005D252F">
            <w:pPr>
              <w:jc w:val="center"/>
              <w:rPr>
                <w:rFonts w:ascii="Arial" w:hAnsi="Arial" w:cs="Arial"/>
                <w:b/>
                <w:bCs/>
                <w:sz w:val="22"/>
                <w:szCs w:val="22"/>
              </w:rPr>
            </w:pPr>
            <w:r w:rsidRPr="007F7BB8">
              <w:rPr>
                <w:rFonts w:ascii="Arial" w:hAnsi="Arial" w:cs="Arial"/>
                <w:b/>
                <w:bCs/>
                <w:sz w:val="22"/>
                <w:szCs w:val="22"/>
              </w:rPr>
              <w:t>Početna vrijednost</w:t>
            </w:r>
            <w:r w:rsidRPr="007F7BB8">
              <w:rPr>
                <w:rFonts w:ascii="Arial" w:hAnsi="Arial" w:cs="Arial"/>
                <w:b/>
                <w:bCs/>
                <w:sz w:val="22"/>
                <w:szCs w:val="22"/>
              </w:rPr>
              <w:br/>
              <w:t>(2025.)</w:t>
            </w:r>
          </w:p>
        </w:tc>
        <w:tc>
          <w:tcPr>
            <w:tcW w:w="1423"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299E0404" w14:textId="77777777" w:rsidR="00FD21C2" w:rsidRPr="007F7BB8" w:rsidRDefault="00FD21C2" w:rsidP="005D252F">
            <w:pPr>
              <w:jc w:val="center"/>
              <w:rPr>
                <w:rFonts w:ascii="Arial" w:hAnsi="Arial" w:cs="Arial"/>
                <w:b/>
                <w:bCs/>
                <w:sz w:val="22"/>
                <w:szCs w:val="22"/>
              </w:rPr>
            </w:pPr>
            <w:r w:rsidRPr="007F7BB8">
              <w:rPr>
                <w:rFonts w:ascii="Arial" w:hAnsi="Arial" w:cs="Arial"/>
                <w:b/>
                <w:bCs/>
                <w:sz w:val="22"/>
                <w:szCs w:val="22"/>
              </w:rPr>
              <w:t>Ciljna</w:t>
            </w:r>
            <w:r w:rsidRPr="007F7BB8">
              <w:rPr>
                <w:rFonts w:ascii="Arial" w:hAnsi="Arial" w:cs="Arial"/>
                <w:b/>
                <w:bCs/>
                <w:sz w:val="22"/>
                <w:szCs w:val="22"/>
              </w:rPr>
              <w:br/>
              <w:t>vrijednost</w:t>
            </w:r>
            <w:r w:rsidRPr="007F7BB8">
              <w:rPr>
                <w:rFonts w:ascii="Arial" w:hAnsi="Arial" w:cs="Arial"/>
                <w:b/>
                <w:bCs/>
                <w:sz w:val="22"/>
                <w:szCs w:val="22"/>
              </w:rPr>
              <w:br/>
              <w:t>2025.</w:t>
            </w:r>
          </w:p>
        </w:tc>
        <w:tc>
          <w:tcPr>
            <w:tcW w:w="5097"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2E0CD10A" w14:textId="77777777" w:rsidR="00FD21C2" w:rsidRPr="007F7BB8" w:rsidRDefault="00FD21C2" w:rsidP="005D252F">
            <w:pPr>
              <w:jc w:val="center"/>
              <w:rPr>
                <w:rFonts w:ascii="Arial" w:hAnsi="Arial" w:cs="Arial"/>
                <w:b/>
                <w:bCs/>
                <w:sz w:val="22"/>
                <w:szCs w:val="22"/>
              </w:rPr>
            </w:pPr>
            <w:r w:rsidRPr="007F7BB8">
              <w:rPr>
                <w:rFonts w:ascii="Arial" w:hAnsi="Arial" w:cs="Arial"/>
                <w:b/>
                <w:bCs/>
                <w:sz w:val="22"/>
                <w:szCs w:val="22"/>
              </w:rPr>
              <w:t>Ostvarena vrijednost u periodu 01.-12/2025.</w:t>
            </w:r>
          </w:p>
        </w:tc>
      </w:tr>
      <w:tr w:rsidR="007F7BB8" w:rsidRPr="007F7BB8" w14:paraId="49E6A0B2" w14:textId="77777777" w:rsidTr="007F7BB8">
        <w:trPr>
          <w:trHeight w:val="1018"/>
        </w:trPr>
        <w:tc>
          <w:tcPr>
            <w:tcW w:w="1730" w:type="dxa"/>
            <w:tcBorders>
              <w:top w:val="nil"/>
              <w:left w:val="single" w:sz="4" w:space="0" w:color="000000"/>
              <w:bottom w:val="single" w:sz="4" w:space="0" w:color="000000"/>
              <w:right w:val="single" w:sz="4" w:space="0" w:color="000000"/>
            </w:tcBorders>
            <w:shd w:val="clear" w:color="FFFFFF" w:fill="FFFFFF"/>
            <w:vAlign w:val="center"/>
          </w:tcPr>
          <w:p w14:paraId="1CFCAC3C" w14:textId="54C13784" w:rsidR="00FD21C2" w:rsidRPr="007F7BB8" w:rsidRDefault="00FD21C2" w:rsidP="005D252F">
            <w:pPr>
              <w:jc w:val="center"/>
              <w:rPr>
                <w:rFonts w:ascii="Arial" w:hAnsi="Arial" w:cs="Arial"/>
                <w:sz w:val="22"/>
                <w:szCs w:val="22"/>
              </w:rPr>
            </w:pPr>
            <w:r w:rsidRPr="007F7BB8">
              <w:rPr>
                <w:rFonts w:ascii="Arial" w:hAnsi="Arial" w:cs="Arial"/>
                <w:sz w:val="22"/>
                <w:szCs w:val="22"/>
              </w:rPr>
              <w:t>Realizacija ugovorenih radova</w:t>
            </w:r>
          </w:p>
        </w:tc>
        <w:tc>
          <w:tcPr>
            <w:tcW w:w="1276" w:type="dxa"/>
            <w:tcBorders>
              <w:top w:val="nil"/>
              <w:left w:val="nil"/>
              <w:bottom w:val="single" w:sz="4" w:space="0" w:color="000000"/>
              <w:right w:val="single" w:sz="4" w:space="0" w:color="000000"/>
            </w:tcBorders>
            <w:shd w:val="clear" w:color="FFFFFF" w:fill="FFFFFF"/>
            <w:vAlign w:val="center"/>
          </w:tcPr>
          <w:p w14:paraId="24684BD8" w14:textId="2A166325" w:rsidR="00FD21C2" w:rsidRPr="007F7BB8" w:rsidRDefault="00B45FA1" w:rsidP="005D252F">
            <w:pPr>
              <w:jc w:val="center"/>
              <w:rPr>
                <w:rFonts w:ascii="Arial" w:hAnsi="Arial" w:cs="Arial"/>
                <w:sz w:val="22"/>
                <w:szCs w:val="22"/>
              </w:rPr>
            </w:pPr>
            <w:r w:rsidRPr="007F7BB8">
              <w:rPr>
                <w:rFonts w:ascii="Arial" w:hAnsi="Arial" w:cs="Arial"/>
                <w:sz w:val="22"/>
                <w:szCs w:val="22"/>
              </w:rPr>
              <w:t>0</w:t>
            </w:r>
          </w:p>
        </w:tc>
        <w:tc>
          <w:tcPr>
            <w:tcW w:w="1423" w:type="dxa"/>
            <w:tcBorders>
              <w:top w:val="nil"/>
              <w:left w:val="nil"/>
              <w:bottom w:val="single" w:sz="4" w:space="0" w:color="000000"/>
              <w:right w:val="single" w:sz="4" w:space="0" w:color="000000"/>
            </w:tcBorders>
            <w:shd w:val="clear" w:color="FFFFFF" w:fill="FFFFFF"/>
            <w:vAlign w:val="center"/>
          </w:tcPr>
          <w:p w14:paraId="50327356" w14:textId="46D0150F" w:rsidR="00FD21C2" w:rsidRPr="007F7BB8" w:rsidRDefault="00B443CA" w:rsidP="005D252F">
            <w:pPr>
              <w:jc w:val="center"/>
              <w:rPr>
                <w:rFonts w:ascii="Arial" w:hAnsi="Arial" w:cs="Arial"/>
                <w:sz w:val="22"/>
                <w:szCs w:val="22"/>
              </w:rPr>
            </w:pPr>
            <w:r w:rsidRPr="007F7BB8">
              <w:rPr>
                <w:rFonts w:ascii="Arial" w:hAnsi="Arial" w:cs="Arial"/>
                <w:sz w:val="22"/>
                <w:szCs w:val="22"/>
              </w:rPr>
              <w:t>Završeni ugovoreni radovi</w:t>
            </w:r>
          </w:p>
        </w:tc>
        <w:tc>
          <w:tcPr>
            <w:tcW w:w="5097" w:type="dxa"/>
            <w:tcBorders>
              <w:top w:val="nil"/>
              <w:left w:val="nil"/>
              <w:bottom w:val="single" w:sz="4" w:space="0" w:color="000000"/>
              <w:right w:val="single" w:sz="4" w:space="0" w:color="000000"/>
            </w:tcBorders>
            <w:shd w:val="clear" w:color="FFFFFF" w:fill="FFFFFF"/>
            <w:vAlign w:val="center"/>
          </w:tcPr>
          <w:p w14:paraId="3A7F8A3A" w14:textId="11D60227" w:rsidR="00FD21C2" w:rsidRPr="007F7BB8" w:rsidRDefault="007F7BB8" w:rsidP="007F7BB8">
            <w:pPr>
              <w:jc w:val="both"/>
              <w:rPr>
                <w:rFonts w:ascii="Arial" w:hAnsi="Arial" w:cs="Arial"/>
                <w:sz w:val="22"/>
                <w:szCs w:val="22"/>
              </w:rPr>
            </w:pPr>
            <w:r w:rsidRPr="007F7BB8">
              <w:rPr>
                <w:rFonts w:ascii="Arial" w:hAnsi="Arial" w:cs="Arial"/>
                <w:sz w:val="22"/>
                <w:szCs w:val="22"/>
              </w:rPr>
              <w:t xml:space="preserve">U 2025. godini na stacionaru u Pazinu obavljeni su radovi </w:t>
            </w:r>
            <w:r w:rsidRPr="007F7BB8">
              <w:rPr>
                <w:rFonts w:ascii="Arial" w:hAnsi="Arial" w:cs="Arial"/>
                <w:bCs/>
                <w:sz w:val="22"/>
                <w:szCs w:val="20"/>
              </w:rPr>
              <w:t xml:space="preserve">postavljanja skele, rušenja stropa u ambulanti, pripreme za postavljanje gipsanih ploča, skidanje podnih i zidnih pločica u čajnoj kuhinji, kupaonici i </w:t>
            </w:r>
            <w:proofErr w:type="spellStart"/>
            <w:r w:rsidRPr="007F7BB8">
              <w:rPr>
                <w:rFonts w:ascii="Arial" w:hAnsi="Arial" w:cs="Arial"/>
                <w:bCs/>
                <w:sz w:val="22"/>
                <w:szCs w:val="20"/>
              </w:rPr>
              <w:t>wc-u</w:t>
            </w:r>
            <w:proofErr w:type="spellEnd"/>
            <w:r w:rsidRPr="007F7BB8">
              <w:rPr>
                <w:rFonts w:ascii="Arial" w:hAnsi="Arial" w:cs="Arial"/>
                <w:bCs/>
                <w:sz w:val="22"/>
                <w:szCs w:val="20"/>
              </w:rPr>
              <w:t xml:space="preserve"> te postavljanja 6 malih PVC prozora.</w:t>
            </w:r>
            <w:r w:rsidRPr="007F7BB8">
              <w:rPr>
                <w:rFonts w:ascii="Arial" w:hAnsi="Arial" w:cs="Arial"/>
                <w:sz w:val="22"/>
                <w:szCs w:val="22"/>
              </w:rPr>
              <w:t xml:space="preserve"> Radovi su započeli sredinom prosinca 2025. godine te će se nastaviti u 2026. godini. Za početne radove u 2025. godini utrošeno je ukupno </w:t>
            </w:r>
            <w:r w:rsidRPr="007F7BB8">
              <w:rPr>
                <w:rFonts w:ascii="Arial" w:hAnsi="Arial" w:cs="Arial"/>
                <w:sz w:val="22"/>
                <w:szCs w:val="20"/>
              </w:rPr>
              <w:t>23.245,95 eura.</w:t>
            </w:r>
          </w:p>
        </w:tc>
      </w:tr>
    </w:tbl>
    <w:p w14:paraId="00A391E5" w14:textId="1E20C0CE" w:rsidR="000C2C25" w:rsidRPr="004F3556" w:rsidRDefault="000C2C25" w:rsidP="002555B9">
      <w:pPr>
        <w:jc w:val="both"/>
        <w:rPr>
          <w:rFonts w:ascii="Arial" w:hAnsi="Arial" w:cs="Arial"/>
          <w:b/>
          <w:sz w:val="22"/>
          <w:szCs w:val="22"/>
        </w:rPr>
      </w:pPr>
    </w:p>
    <w:p w14:paraId="699164AB" w14:textId="77777777" w:rsidR="000C2C25" w:rsidRPr="004F3556" w:rsidRDefault="000C2C25" w:rsidP="002555B9">
      <w:pPr>
        <w:jc w:val="both"/>
        <w:rPr>
          <w:rFonts w:ascii="Arial" w:hAnsi="Arial" w:cs="Arial"/>
          <w:b/>
          <w:sz w:val="22"/>
          <w:szCs w:val="22"/>
        </w:rPr>
      </w:pPr>
    </w:p>
    <w:p w14:paraId="4BDA4566" w14:textId="77777777" w:rsidR="002555B9" w:rsidRPr="004F3556" w:rsidRDefault="002555B9" w:rsidP="002555B9">
      <w:pPr>
        <w:pStyle w:val="Odlomakpopisa"/>
        <w:numPr>
          <w:ilvl w:val="0"/>
          <w:numId w:val="42"/>
        </w:numPr>
        <w:jc w:val="both"/>
        <w:rPr>
          <w:rFonts w:ascii="Arial" w:hAnsi="Arial" w:cs="Arial"/>
          <w:b/>
          <w:u w:val="single"/>
        </w:rPr>
      </w:pPr>
      <w:r w:rsidRPr="004F3556">
        <w:rPr>
          <w:rFonts w:ascii="Arial" w:hAnsi="Arial" w:cs="Arial"/>
          <w:b/>
          <w:u w:val="single"/>
        </w:rPr>
        <w:t>NAZIV PROGRAMA: PLAN ZA ZDRAVLJE I SOCIJALNO BLAGOSTANJE (6101)</w:t>
      </w:r>
    </w:p>
    <w:p w14:paraId="0FA54AC0" w14:textId="77777777" w:rsidR="002555B9" w:rsidRPr="004F3556" w:rsidRDefault="002555B9" w:rsidP="002555B9">
      <w:pPr>
        <w:jc w:val="both"/>
        <w:rPr>
          <w:rFonts w:ascii="Arial" w:hAnsi="Arial" w:cs="Arial"/>
          <w:b/>
          <w:sz w:val="22"/>
          <w:szCs w:val="22"/>
          <w:u w:val="single"/>
        </w:rPr>
      </w:pPr>
    </w:p>
    <w:p w14:paraId="5331626B" w14:textId="77777777" w:rsidR="002555B9" w:rsidRPr="004F3556" w:rsidRDefault="002555B9" w:rsidP="00887B83">
      <w:pPr>
        <w:pStyle w:val="Odlomakpopisa"/>
        <w:numPr>
          <w:ilvl w:val="1"/>
          <w:numId w:val="42"/>
        </w:numPr>
        <w:rPr>
          <w:rFonts w:ascii="Arial" w:hAnsi="Arial" w:cs="Arial"/>
          <w:b/>
        </w:rPr>
      </w:pPr>
      <w:r w:rsidRPr="004F3556">
        <w:rPr>
          <w:rFonts w:ascii="Arial" w:hAnsi="Arial" w:cs="Arial"/>
          <w:b/>
          <w:shd w:val="clear" w:color="auto" w:fill="FFFFFF"/>
        </w:rPr>
        <w:t>Prevencija i rano otkrivanje kroničnih nezaraznih bolesti - Kardiovaskularna prevencija</w:t>
      </w:r>
      <w:r w:rsidRPr="004F3556">
        <w:rPr>
          <w:rFonts w:ascii="Arial" w:hAnsi="Arial" w:cs="Arial"/>
          <w:shd w:val="clear" w:color="auto" w:fill="FFFFFF"/>
        </w:rPr>
        <w:t xml:space="preserve"> </w:t>
      </w:r>
      <w:r w:rsidRPr="004F3556">
        <w:rPr>
          <w:rFonts w:ascii="Arial" w:hAnsi="Arial" w:cs="Arial"/>
          <w:b/>
          <w:shd w:val="clear" w:color="auto" w:fill="FFFFFF"/>
        </w:rPr>
        <w:t>i rehabilitacija (A610146)</w:t>
      </w:r>
    </w:p>
    <w:p w14:paraId="02D118B9" w14:textId="3D599B05" w:rsidR="002555B9" w:rsidRPr="007F7BB8" w:rsidRDefault="000527E6" w:rsidP="007F7BB8">
      <w:pPr>
        <w:spacing w:before="100" w:beforeAutospacing="1" w:after="100" w:afterAutospacing="1" w:line="276" w:lineRule="auto"/>
        <w:jc w:val="both"/>
        <w:rPr>
          <w:rFonts w:ascii="Arial" w:hAnsi="Arial" w:cs="Arial"/>
          <w:sz w:val="22"/>
          <w:szCs w:val="22"/>
        </w:rPr>
      </w:pPr>
      <w:r w:rsidRPr="007F7BB8">
        <w:rPr>
          <w:rFonts w:ascii="Arial" w:hAnsi="Arial" w:cs="Arial"/>
          <w:sz w:val="22"/>
          <w:szCs w:val="22"/>
        </w:rPr>
        <w:t xml:space="preserve">Programi kardiovaskularne prevencije i rehabilitacije, kao i preventivne mamografije, provode se s ciljem sprječavanja i ranog otkrivanja kroničnih nezaraznih bolesti. Kardiovaskularne bolesti predstavljaju vodeći uzrok smrtnosti i invaliditeta u svijetu, a posebno zabrinjava njihov visok udio među radno aktivnim stanovništvom, gdje uzrokuju radnu nesposobnost, smanjenu produktivnost i narušenu kvalitetu života. Aktivnosti su podijeljene na dva glavna područja. Prevenciju kardiovaskularnih bolesti provode patronažne sestre kroz Savjetovalište za KV prevenciju, gdje se organiziraju edukacije, kontinuirano mjerenje arterijskog tlaka tijekom 24 sata (KMAT), nordijsko hodanje i druge preventivne mjere. S druge strane, kardiovaskularnu rehabilitaciju provode fizioterapeuti koji rade s pacijentima upućenima iz KBC-a Rijeka, </w:t>
      </w:r>
      <w:proofErr w:type="spellStart"/>
      <w:r w:rsidRPr="007F7BB8">
        <w:rPr>
          <w:rFonts w:ascii="Arial" w:hAnsi="Arial" w:cs="Arial"/>
          <w:sz w:val="22"/>
          <w:szCs w:val="22"/>
        </w:rPr>
        <w:t>Thalassotherapije</w:t>
      </w:r>
      <w:proofErr w:type="spellEnd"/>
      <w:r w:rsidRPr="007F7BB8">
        <w:rPr>
          <w:rFonts w:ascii="Arial" w:hAnsi="Arial" w:cs="Arial"/>
          <w:sz w:val="22"/>
          <w:szCs w:val="22"/>
        </w:rPr>
        <w:t xml:space="preserve"> Opatija i Opće bolnice Pula. Program uključuje ciljane vježbe te praćenje vitalnih funkcija poput otkucaja srca i krvnog tlaka, s ciljem smanjenja oboljenja i poboljšanja kvalitete života. Ove aktivnosti već dugi niz godina sufinanciraju Istarska županija i Grad Poreč.</w:t>
      </w:r>
    </w:p>
    <w:p w14:paraId="2AAE1FBD" w14:textId="77777777" w:rsidR="002555B9" w:rsidRPr="007F7BB8" w:rsidRDefault="002555B9" w:rsidP="002555B9">
      <w:pPr>
        <w:jc w:val="both"/>
        <w:rPr>
          <w:rFonts w:ascii="Arial" w:hAnsi="Arial" w:cs="Arial"/>
          <w:sz w:val="22"/>
          <w:szCs w:val="22"/>
        </w:rPr>
      </w:pPr>
      <w:r w:rsidRPr="007F7BB8">
        <w:rPr>
          <w:rFonts w:ascii="Arial" w:hAnsi="Arial" w:cs="Arial"/>
          <w:sz w:val="22"/>
          <w:szCs w:val="22"/>
        </w:rPr>
        <w:t>CILJ USPJEŠNOSTI - 2.2.6. Unaprjeđenje programa prevencije i ranog otkrivanja bolesti</w:t>
      </w:r>
    </w:p>
    <w:p w14:paraId="750467C8" w14:textId="77777777" w:rsidR="002555B9" w:rsidRPr="007F7BB8" w:rsidRDefault="002555B9" w:rsidP="002555B9">
      <w:pPr>
        <w:jc w:val="both"/>
        <w:rPr>
          <w:rFonts w:ascii="Arial" w:hAnsi="Arial" w:cs="Arial"/>
          <w:sz w:val="22"/>
          <w:szCs w:val="22"/>
        </w:rPr>
      </w:pPr>
    </w:p>
    <w:p w14:paraId="450E577F" w14:textId="77777777" w:rsidR="002555B9" w:rsidRPr="007F7BB8" w:rsidRDefault="002555B9" w:rsidP="002555B9">
      <w:pPr>
        <w:jc w:val="both"/>
        <w:rPr>
          <w:rFonts w:ascii="Arial" w:hAnsi="Arial" w:cs="Arial"/>
          <w:sz w:val="22"/>
          <w:szCs w:val="22"/>
        </w:rPr>
      </w:pPr>
      <w:r w:rsidRPr="007F7BB8">
        <w:rPr>
          <w:rFonts w:ascii="Arial" w:hAnsi="Arial" w:cs="Arial"/>
          <w:sz w:val="22"/>
          <w:szCs w:val="22"/>
        </w:rPr>
        <w:t>POKAZATELJI USPJEŠNOSTI</w:t>
      </w:r>
    </w:p>
    <w:tbl>
      <w:tblPr>
        <w:tblW w:w="9243" w:type="dxa"/>
        <w:tblInd w:w="108" w:type="dxa"/>
        <w:tblLayout w:type="fixed"/>
        <w:tblLook w:val="04A0" w:firstRow="1" w:lastRow="0" w:firstColumn="1" w:lastColumn="0" w:noHBand="0" w:noVBand="1"/>
      </w:tblPr>
      <w:tblGrid>
        <w:gridCol w:w="2014"/>
        <w:gridCol w:w="1559"/>
        <w:gridCol w:w="1418"/>
        <w:gridCol w:w="4252"/>
      </w:tblGrid>
      <w:tr w:rsidR="007F7BB8" w:rsidRPr="007F7BB8" w14:paraId="7BE486D9" w14:textId="77777777" w:rsidTr="007F7BB8">
        <w:trPr>
          <w:trHeight w:val="943"/>
        </w:trPr>
        <w:tc>
          <w:tcPr>
            <w:tcW w:w="201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523F7615" w14:textId="652E61C4" w:rsidR="0052172F" w:rsidRPr="007F7BB8" w:rsidRDefault="0052172F" w:rsidP="0052172F">
            <w:pPr>
              <w:jc w:val="center"/>
              <w:rPr>
                <w:rFonts w:ascii="Arial" w:hAnsi="Arial" w:cs="Arial"/>
                <w:b/>
                <w:bCs/>
                <w:sz w:val="22"/>
                <w:szCs w:val="22"/>
              </w:rPr>
            </w:pPr>
            <w:r w:rsidRPr="007F7BB8">
              <w:rPr>
                <w:rFonts w:ascii="Arial" w:hAnsi="Arial" w:cs="Arial"/>
                <w:b/>
                <w:bCs/>
                <w:sz w:val="22"/>
                <w:szCs w:val="22"/>
              </w:rPr>
              <w:t xml:space="preserve">Pokazatelj rezultata </w:t>
            </w:r>
          </w:p>
        </w:tc>
        <w:tc>
          <w:tcPr>
            <w:tcW w:w="1559"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67A1E063" w14:textId="4E4AE9E4" w:rsidR="0052172F" w:rsidRPr="007F7BB8" w:rsidRDefault="0052172F" w:rsidP="0052172F">
            <w:pPr>
              <w:jc w:val="center"/>
              <w:rPr>
                <w:rFonts w:ascii="Arial" w:hAnsi="Arial" w:cs="Arial"/>
                <w:b/>
                <w:bCs/>
                <w:sz w:val="22"/>
                <w:szCs w:val="22"/>
              </w:rPr>
            </w:pPr>
            <w:r w:rsidRPr="007F7BB8">
              <w:rPr>
                <w:rFonts w:ascii="Arial" w:hAnsi="Arial" w:cs="Arial"/>
                <w:b/>
                <w:bCs/>
                <w:sz w:val="22"/>
                <w:szCs w:val="22"/>
              </w:rPr>
              <w:t>Početna vrijednost</w:t>
            </w:r>
            <w:r w:rsidRPr="007F7BB8">
              <w:rPr>
                <w:rFonts w:ascii="Arial" w:hAnsi="Arial" w:cs="Arial"/>
                <w:b/>
                <w:bCs/>
                <w:sz w:val="22"/>
                <w:szCs w:val="22"/>
              </w:rPr>
              <w:br/>
              <w:t>(2025.)</w:t>
            </w:r>
          </w:p>
        </w:tc>
        <w:tc>
          <w:tcPr>
            <w:tcW w:w="1418"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482A3139" w14:textId="12D4205E" w:rsidR="0052172F" w:rsidRPr="007F7BB8" w:rsidRDefault="0052172F" w:rsidP="0052172F">
            <w:pPr>
              <w:jc w:val="center"/>
              <w:rPr>
                <w:rFonts w:ascii="Arial" w:hAnsi="Arial" w:cs="Arial"/>
                <w:b/>
                <w:bCs/>
                <w:sz w:val="22"/>
                <w:szCs w:val="22"/>
              </w:rPr>
            </w:pPr>
            <w:r w:rsidRPr="007F7BB8">
              <w:rPr>
                <w:rFonts w:ascii="Arial" w:hAnsi="Arial" w:cs="Arial"/>
                <w:b/>
                <w:bCs/>
                <w:sz w:val="22"/>
                <w:szCs w:val="22"/>
              </w:rPr>
              <w:t>Ciljna</w:t>
            </w:r>
            <w:r w:rsidRPr="007F7BB8">
              <w:rPr>
                <w:rFonts w:ascii="Arial" w:hAnsi="Arial" w:cs="Arial"/>
                <w:b/>
                <w:bCs/>
                <w:sz w:val="22"/>
                <w:szCs w:val="22"/>
              </w:rPr>
              <w:br/>
              <w:t>vrijednost</w:t>
            </w:r>
            <w:r w:rsidRPr="007F7BB8">
              <w:rPr>
                <w:rFonts w:ascii="Arial" w:hAnsi="Arial" w:cs="Arial"/>
                <w:b/>
                <w:bCs/>
                <w:sz w:val="22"/>
                <w:szCs w:val="22"/>
              </w:rPr>
              <w:br/>
              <w:t>2025.</w:t>
            </w:r>
          </w:p>
        </w:tc>
        <w:tc>
          <w:tcPr>
            <w:tcW w:w="4252"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15AF29D5" w14:textId="3186F4F0" w:rsidR="0052172F" w:rsidRPr="007F7BB8" w:rsidRDefault="0052172F" w:rsidP="0052172F">
            <w:pPr>
              <w:jc w:val="center"/>
              <w:rPr>
                <w:rFonts w:ascii="Arial" w:hAnsi="Arial" w:cs="Arial"/>
                <w:b/>
                <w:bCs/>
                <w:sz w:val="22"/>
                <w:szCs w:val="22"/>
              </w:rPr>
            </w:pPr>
            <w:r w:rsidRPr="007F7BB8">
              <w:rPr>
                <w:rFonts w:ascii="Arial" w:hAnsi="Arial" w:cs="Arial"/>
                <w:b/>
                <w:bCs/>
                <w:sz w:val="22"/>
                <w:szCs w:val="22"/>
              </w:rPr>
              <w:t>Ostvarena vrijednost u periodu 01.-12/2025.</w:t>
            </w:r>
          </w:p>
        </w:tc>
      </w:tr>
      <w:tr w:rsidR="007F7BB8" w:rsidRPr="007F7BB8" w14:paraId="712BEF69" w14:textId="77777777" w:rsidTr="007F7BB8">
        <w:trPr>
          <w:trHeight w:val="416"/>
        </w:trPr>
        <w:tc>
          <w:tcPr>
            <w:tcW w:w="201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9163510" w14:textId="1F0B3498" w:rsidR="002555B9" w:rsidRPr="007F7BB8" w:rsidRDefault="002555B9" w:rsidP="002555B9">
            <w:pPr>
              <w:jc w:val="center"/>
              <w:rPr>
                <w:rFonts w:ascii="Arial" w:hAnsi="Arial" w:cs="Arial"/>
                <w:sz w:val="22"/>
                <w:szCs w:val="22"/>
              </w:rPr>
            </w:pPr>
            <w:r w:rsidRPr="007F7BB8">
              <w:rPr>
                <w:rFonts w:ascii="Arial" w:hAnsi="Arial" w:cs="Arial"/>
                <w:sz w:val="22"/>
                <w:szCs w:val="22"/>
                <w:shd w:val="clear" w:color="auto" w:fill="FFFFFF"/>
              </w:rPr>
              <w:t>Broj sudionika KV prevencije</w:t>
            </w:r>
            <w:r w:rsidR="00E172E2" w:rsidRPr="007F7BB8">
              <w:rPr>
                <w:rFonts w:ascii="Arial" w:hAnsi="Arial" w:cs="Arial"/>
                <w:sz w:val="22"/>
                <w:szCs w:val="22"/>
                <w:shd w:val="clear" w:color="auto" w:fill="FFFFFF"/>
              </w:rPr>
              <w:t xml:space="preserve"> i rehabilitacije</w:t>
            </w:r>
          </w:p>
        </w:tc>
        <w:tc>
          <w:tcPr>
            <w:tcW w:w="1559" w:type="dxa"/>
            <w:tcBorders>
              <w:top w:val="single" w:sz="4" w:space="0" w:color="000000"/>
              <w:left w:val="nil"/>
              <w:bottom w:val="single" w:sz="4" w:space="0" w:color="000000"/>
              <w:right w:val="single" w:sz="4" w:space="0" w:color="000000"/>
            </w:tcBorders>
            <w:shd w:val="clear" w:color="FFFFFF" w:fill="FFFFFF"/>
            <w:vAlign w:val="center"/>
          </w:tcPr>
          <w:p w14:paraId="33FE4E9A" w14:textId="30BD4CE2" w:rsidR="002555B9" w:rsidRPr="007F7BB8" w:rsidRDefault="00BB574B" w:rsidP="002555B9">
            <w:pPr>
              <w:jc w:val="center"/>
              <w:rPr>
                <w:rFonts w:ascii="Arial" w:hAnsi="Arial" w:cs="Arial"/>
                <w:sz w:val="22"/>
                <w:szCs w:val="22"/>
              </w:rPr>
            </w:pPr>
            <w:r w:rsidRPr="007F7BB8">
              <w:rPr>
                <w:rFonts w:ascii="Arial" w:hAnsi="Arial" w:cs="Arial"/>
                <w:sz w:val="22"/>
                <w:szCs w:val="22"/>
              </w:rPr>
              <w:t>650</w:t>
            </w:r>
          </w:p>
        </w:tc>
        <w:tc>
          <w:tcPr>
            <w:tcW w:w="1418" w:type="dxa"/>
            <w:tcBorders>
              <w:top w:val="single" w:sz="4" w:space="0" w:color="000000"/>
              <w:left w:val="nil"/>
              <w:bottom w:val="single" w:sz="4" w:space="0" w:color="000000"/>
              <w:right w:val="single" w:sz="4" w:space="0" w:color="000000"/>
            </w:tcBorders>
            <w:shd w:val="clear" w:color="FFFFFF" w:fill="FFFFFF"/>
            <w:vAlign w:val="center"/>
          </w:tcPr>
          <w:p w14:paraId="3E1A2EBB" w14:textId="52AF391D" w:rsidR="002555B9" w:rsidRPr="007F7BB8" w:rsidRDefault="00BB574B" w:rsidP="002555B9">
            <w:pPr>
              <w:jc w:val="center"/>
              <w:rPr>
                <w:rFonts w:ascii="Arial" w:hAnsi="Arial" w:cs="Arial"/>
                <w:sz w:val="22"/>
                <w:szCs w:val="22"/>
              </w:rPr>
            </w:pPr>
            <w:r w:rsidRPr="007F7BB8">
              <w:rPr>
                <w:rFonts w:ascii="Arial" w:hAnsi="Arial" w:cs="Arial"/>
                <w:sz w:val="22"/>
                <w:szCs w:val="22"/>
              </w:rPr>
              <w:t>750</w:t>
            </w:r>
          </w:p>
        </w:tc>
        <w:tc>
          <w:tcPr>
            <w:tcW w:w="4252" w:type="dxa"/>
            <w:tcBorders>
              <w:top w:val="single" w:sz="4" w:space="0" w:color="000000"/>
              <w:left w:val="nil"/>
              <w:bottom w:val="single" w:sz="4" w:space="0" w:color="000000"/>
              <w:right w:val="single" w:sz="4" w:space="0" w:color="000000"/>
            </w:tcBorders>
            <w:shd w:val="clear" w:color="FFFFFF" w:fill="FFFFFF"/>
            <w:vAlign w:val="center"/>
          </w:tcPr>
          <w:p w14:paraId="0D7F8C09" w14:textId="6FC3BB89" w:rsidR="002555B9" w:rsidRPr="007F7BB8" w:rsidRDefault="00862E62" w:rsidP="007F7BB8">
            <w:pPr>
              <w:jc w:val="both"/>
              <w:rPr>
                <w:rFonts w:ascii="Arial" w:hAnsi="Arial" w:cs="Arial"/>
                <w:sz w:val="22"/>
                <w:szCs w:val="22"/>
              </w:rPr>
            </w:pPr>
            <w:r w:rsidRPr="007F7BB8">
              <w:rPr>
                <w:rFonts w:ascii="Arial" w:hAnsi="Arial" w:cs="Arial"/>
                <w:sz w:val="22"/>
                <w:szCs w:val="22"/>
              </w:rPr>
              <w:t xml:space="preserve">Broj </w:t>
            </w:r>
            <w:r w:rsidR="007F7BB8">
              <w:rPr>
                <w:rFonts w:ascii="Arial" w:hAnsi="Arial" w:cs="Arial"/>
                <w:sz w:val="22"/>
                <w:szCs w:val="22"/>
              </w:rPr>
              <w:t>novo</w:t>
            </w:r>
            <w:r w:rsidRPr="007F7BB8">
              <w:rPr>
                <w:rFonts w:ascii="Arial" w:hAnsi="Arial" w:cs="Arial"/>
                <w:sz w:val="22"/>
                <w:szCs w:val="22"/>
              </w:rPr>
              <w:t xml:space="preserve">upisanih osoba u KV savjetovalištu </w:t>
            </w:r>
            <w:r w:rsidR="00BB574B" w:rsidRPr="007F7BB8">
              <w:rPr>
                <w:rFonts w:ascii="Arial" w:hAnsi="Arial" w:cs="Arial"/>
                <w:sz w:val="22"/>
                <w:szCs w:val="22"/>
              </w:rPr>
              <w:t>1.163</w:t>
            </w:r>
            <w:r w:rsidRPr="007F7BB8">
              <w:rPr>
                <w:rFonts w:ascii="Arial" w:hAnsi="Arial" w:cs="Arial"/>
                <w:sz w:val="22"/>
                <w:szCs w:val="22"/>
              </w:rPr>
              <w:t>, broj obavljenih KMAT-ova 1.</w:t>
            </w:r>
            <w:r w:rsidR="00BB574B" w:rsidRPr="007F7BB8">
              <w:rPr>
                <w:rFonts w:ascii="Arial" w:hAnsi="Arial" w:cs="Arial"/>
                <w:sz w:val="22"/>
                <w:szCs w:val="22"/>
              </w:rPr>
              <w:t>380</w:t>
            </w:r>
            <w:r w:rsidRPr="007F7BB8">
              <w:rPr>
                <w:rFonts w:ascii="Arial" w:hAnsi="Arial" w:cs="Arial"/>
                <w:sz w:val="22"/>
                <w:szCs w:val="22"/>
              </w:rPr>
              <w:t xml:space="preserve">, održano </w:t>
            </w:r>
            <w:r w:rsidR="00BB574B" w:rsidRPr="007F7BB8">
              <w:rPr>
                <w:rFonts w:ascii="Arial" w:hAnsi="Arial" w:cs="Arial"/>
                <w:sz w:val="22"/>
                <w:szCs w:val="22"/>
              </w:rPr>
              <w:t>18</w:t>
            </w:r>
            <w:r w:rsidRPr="007F7BB8">
              <w:rPr>
                <w:rFonts w:ascii="Arial" w:hAnsi="Arial" w:cs="Arial"/>
                <w:sz w:val="22"/>
                <w:szCs w:val="22"/>
              </w:rPr>
              <w:t xml:space="preserve"> grupa radionice hipertenzije (</w:t>
            </w:r>
            <w:r w:rsidR="00BB574B" w:rsidRPr="007F7BB8">
              <w:rPr>
                <w:rFonts w:ascii="Arial" w:hAnsi="Arial" w:cs="Arial"/>
                <w:sz w:val="22"/>
                <w:szCs w:val="22"/>
              </w:rPr>
              <w:t>74</w:t>
            </w:r>
            <w:r w:rsidRPr="007F7BB8">
              <w:rPr>
                <w:rFonts w:ascii="Arial" w:hAnsi="Arial" w:cs="Arial"/>
                <w:sz w:val="22"/>
                <w:szCs w:val="22"/>
              </w:rPr>
              <w:t xml:space="preserve"> polaznika)</w:t>
            </w:r>
            <w:r w:rsidR="00BB574B" w:rsidRPr="007F7BB8">
              <w:rPr>
                <w:rFonts w:ascii="Arial" w:hAnsi="Arial" w:cs="Arial"/>
                <w:sz w:val="22"/>
                <w:szCs w:val="22"/>
              </w:rPr>
              <w:t xml:space="preserve"> i 8</w:t>
            </w:r>
            <w:r w:rsidRPr="007F7BB8">
              <w:rPr>
                <w:rFonts w:ascii="Arial" w:hAnsi="Arial" w:cs="Arial"/>
                <w:sz w:val="22"/>
                <w:szCs w:val="22"/>
              </w:rPr>
              <w:t xml:space="preserve"> </w:t>
            </w:r>
            <w:r w:rsidR="00BB574B" w:rsidRPr="007F7BB8">
              <w:rPr>
                <w:rFonts w:ascii="Arial" w:hAnsi="Arial" w:cs="Arial"/>
                <w:sz w:val="22"/>
                <w:szCs w:val="22"/>
              </w:rPr>
              <w:t xml:space="preserve">radionica mršavljenja </w:t>
            </w:r>
            <w:r w:rsidRPr="007F7BB8">
              <w:rPr>
                <w:rFonts w:ascii="Arial" w:hAnsi="Arial" w:cs="Arial"/>
                <w:sz w:val="22"/>
                <w:szCs w:val="22"/>
              </w:rPr>
              <w:t>(</w:t>
            </w:r>
            <w:r w:rsidR="00BB574B" w:rsidRPr="007F7BB8">
              <w:rPr>
                <w:rFonts w:ascii="Arial" w:hAnsi="Arial" w:cs="Arial"/>
                <w:sz w:val="22"/>
                <w:szCs w:val="22"/>
              </w:rPr>
              <w:t>66</w:t>
            </w:r>
            <w:r w:rsidRPr="007F7BB8">
              <w:rPr>
                <w:rFonts w:ascii="Arial" w:hAnsi="Arial" w:cs="Arial"/>
                <w:sz w:val="22"/>
                <w:szCs w:val="22"/>
              </w:rPr>
              <w:t xml:space="preserve"> polaznika)</w:t>
            </w:r>
            <w:r w:rsidR="00E172E2" w:rsidRPr="007F7BB8">
              <w:rPr>
                <w:rFonts w:ascii="Arial" w:hAnsi="Arial" w:cs="Arial"/>
                <w:sz w:val="22"/>
                <w:szCs w:val="22"/>
              </w:rPr>
              <w:t>. KV rehabilitaciju prošlo 12</w:t>
            </w:r>
            <w:r w:rsidR="00BB574B" w:rsidRPr="007F7BB8">
              <w:rPr>
                <w:rFonts w:ascii="Arial" w:hAnsi="Arial" w:cs="Arial"/>
                <w:sz w:val="22"/>
                <w:szCs w:val="22"/>
              </w:rPr>
              <w:t>0</w:t>
            </w:r>
            <w:r w:rsidR="00E172E2" w:rsidRPr="007F7BB8">
              <w:rPr>
                <w:rFonts w:ascii="Arial" w:hAnsi="Arial" w:cs="Arial"/>
                <w:sz w:val="22"/>
                <w:szCs w:val="22"/>
              </w:rPr>
              <w:t xml:space="preserve"> </w:t>
            </w:r>
            <w:r w:rsidR="00BB574B" w:rsidRPr="007F7BB8">
              <w:rPr>
                <w:rFonts w:ascii="Arial" w:hAnsi="Arial" w:cs="Arial"/>
                <w:sz w:val="22"/>
                <w:szCs w:val="22"/>
              </w:rPr>
              <w:t>pacijenata</w:t>
            </w:r>
            <w:r w:rsidR="00E172E2" w:rsidRPr="007F7BB8">
              <w:rPr>
                <w:rFonts w:ascii="Arial" w:hAnsi="Arial" w:cs="Arial"/>
                <w:sz w:val="22"/>
                <w:szCs w:val="22"/>
              </w:rPr>
              <w:t>.</w:t>
            </w:r>
          </w:p>
        </w:tc>
      </w:tr>
    </w:tbl>
    <w:p w14:paraId="564A9803" w14:textId="1D6E3891" w:rsidR="002555B9" w:rsidRPr="007F7BB8" w:rsidRDefault="002555B9" w:rsidP="002555B9">
      <w:pPr>
        <w:jc w:val="both"/>
        <w:rPr>
          <w:rFonts w:ascii="Arial" w:hAnsi="Arial" w:cs="Arial"/>
          <w:b/>
          <w:sz w:val="22"/>
          <w:szCs w:val="22"/>
        </w:rPr>
      </w:pPr>
    </w:p>
    <w:p w14:paraId="06B69724" w14:textId="77777777" w:rsidR="002555B9" w:rsidRDefault="002555B9" w:rsidP="002555B9">
      <w:pPr>
        <w:jc w:val="both"/>
        <w:rPr>
          <w:rFonts w:ascii="Arial" w:hAnsi="Arial" w:cs="Arial"/>
          <w:b/>
          <w:sz w:val="22"/>
          <w:szCs w:val="22"/>
        </w:rPr>
      </w:pPr>
    </w:p>
    <w:p w14:paraId="7B662F90" w14:textId="77777777" w:rsidR="00AD78FF" w:rsidRDefault="00AD78FF" w:rsidP="002555B9">
      <w:pPr>
        <w:jc w:val="both"/>
        <w:rPr>
          <w:rFonts w:ascii="Arial" w:hAnsi="Arial" w:cs="Arial"/>
          <w:b/>
          <w:sz w:val="22"/>
          <w:szCs w:val="22"/>
        </w:rPr>
      </w:pPr>
    </w:p>
    <w:p w14:paraId="7D5147CD" w14:textId="77777777" w:rsidR="00AD78FF" w:rsidRPr="004F3556" w:rsidRDefault="00AD78FF" w:rsidP="002555B9">
      <w:pPr>
        <w:jc w:val="both"/>
        <w:rPr>
          <w:rFonts w:ascii="Arial" w:hAnsi="Arial" w:cs="Arial"/>
          <w:b/>
          <w:sz w:val="22"/>
          <w:szCs w:val="22"/>
        </w:rPr>
      </w:pPr>
    </w:p>
    <w:p w14:paraId="36670968" w14:textId="77777777" w:rsidR="002C412F" w:rsidRPr="002C412F" w:rsidRDefault="002555B9" w:rsidP="00887B83">
      <w:pPr>
        <w:pStyle w:val="Odlomakpopisa"/>
        <w:numPr>
          <w:ilvl w:val="1"/>
          <w:numId w:val="42"/>
        </w:numPr>
        <w:jc w:val="both"/>
        <w:rPr>
          <w:rFonts w:ascii="Arial" w:hAnsi="Arial" w:cs="Arial"/>
          <w:b/>
        </w:rPr>
      </w:pPr>
      <w:bookmarkStart w:id="1" w:name="_Hlk149200583"/>
      <w:r w:rsidRPr="004F3556">
        <w:rPr>
          <w:rFonts w:ascii="Arial" w:hAnsi="Arial" w:cs="Arial"/>
          <w:b/>
          <w:shd w:val="clear" w:color="auto" w:fill="FFFFFF"/>
        </w:rPr>
        <w:lastRenderedPageBreak/>
        <w:t>Prevencija i rano otkrivanje kroničnih nezaraznih bolesti - Preventivne mamografije (A610146)</w:t>
      </w:r>
      <w:r w:rsidR="002C412F">
        <w:rPr>
          <w:rFonts w:ascii="Arial" w:hAnsi="Arial" w:cs="Arial"/>
          <w:b/>
          <w:shd w:val="clear" w:color="auto" w:fill="FFFFFF"/>
        </w:rPr>
        <w:t xml:space="preserve"> </w:t>
      </w:r>
    </w:p>
    <w:p w14:paraId="2DF0D8C0" w14:textId="77777777" w:rsidR="002C412F" w:rsidRDefault="002C412F" w:rsidP="002C412F">
      <w:pPr>
        <w:pStyle w:val="Odlomakpopisa"/>
        <w:jc w:val="both"/>
        <w:rPr>
          <w:rFonts w:ascii="Arial" w:hAnsi="Arial" w:cs="Arial"/>
          <w:b/>
          <w:shd w:val="clear" w:color="auto" w:fill="FFFFFF"/>
        </w:rPr>
      </w:pPr>
    </w:p>
    <w:p w14:paraId="2BFFC906" w14:textId="5FA15705" w:rsidR="002555B9" w:rsidRPr="007F7BB8" w:rsidRDefault="002C412F" w:rsidP="007F7BB8">
      <w:pPr>
        <w:pStyle w:val="Odlomakpopisa"/>
        <w:spacing w:line="276" w:lineRule="auto"/>
        <w:ind w:left="0"/>
        <w:jc w:val="both"/>
        <w:rPr>
          <w:rFonts w:ascii="Arial" w:hAnsi="Arial" w:cs="Arial"/>
          <w:b/>
        </w:rPr>
      </w:pPr>
      <w:r w:rsidRPr="007F7BB8">
        <w:rPr>
          <w:rFonts w:ascii="Arial" w:hAnsi="Arial" w:cs="Arial"/>
        </w:rPr>
        <w:t xml:space="preserve">Maligne promjene dojki predstavljaju najčešći oblik malignih bolesti i vodeći su uzrok smrtnosti među ženama. Trenutno je najučinkovitiji način borbe s ovom bolešću rano otkrivanje putem preventivnih pregleda. Osnovna dijagnostička metoda za rano otkrivanje je mamografija, dok se, uz nju, koriste i </w:t>
      </w:r>
      <w:r w:rsidR="00A80763" w:rsidRPr="007F7BB8">
        <w:rPr>
          <w:rFonts w:ascii="Arial" w:hAnsi="Arial" w:cs="Arial"/>
        </w:rPr>
        <w:t>dodatne</w:t>
      </w:r>
      <w:r w:rsidRPr="007F7BB8">
        <w:rPr>
          <w:rFonts w:ascii="Arial" w:hAnsi="Arial" w:cs="Arial"/>
        </w:rPr>
        <w:t xml:space="preserve"> metode poput ultrazvuka i magnetske rezonance, koje su posebno korisne kod žena sa gustom žljezdanom strukturom dojki. Zahvaljujući sufinanciranju Istarske županije,</w:t>
      </w:r>
      <w:r w:rsidR="00D376EB">
        <w:rPr>
          <w:rFonts w:ascii="Arial" w:hAnsi="Arial" w:cs="Arial"/>
        </w:rPr>
        <w:t xml:space="preserve"> u listopadu</w:t>
      </w:r>
      <w:r w:rsidRPr="007F7BB8">
        <w:rPr>
          <w:rFonts w:ascii="Arial" w:hAnsi="Arial" w:cs="Arial"/>
        </w:rPr>
        <w:t xml:space="preserve"> </w:t>
      </w:r>
      <w:r w:rsidR="00D376EB">
        <w:rPr>
          <w:rFonts w:ascii="Arial" w:hAnsi="Arial" w:cs="Arial"/>
        </w:rPr>
        <w:t xml:space="preserve">2023. g. </w:t>
      </w:r>
      <w:r w:rsidRPr="007F7BB8">
        <w:rPr>
          <w:rFonts w:ascii="Arial" w:hAnsi="Arial" w:cs="Arial"/>
        </w:rPr>
        <w:t xml:space="preserve">nabavljena je mobilna mamografska jedinica, koja se sastoji od specijaliziranog vozila opremljenog najsuvremenijim 3D mamografskim uređajem, kao i suplementarne dijagnostičke metode ABUS (automatizirani ultrazvuk dojki). Prednost mobilne dijagnostičke jedinice je u tome što omogućava jednaku dostupnost svim ženama u Istarskoj županiji, bez potrebe za odlaskom u ispostave IDZ-a ili udaljene medicinske centre. Također, </w:t>
      </w:r>
      <w:r w:rsidR="00D376EB">
        <w:rPr>
          <w:rFonts w:ascii="Arial" w:hAnsi="Arial" w:cs="Arial"/>
        </w:rPr>
        <w:t xml:space="preserve">u studenom 2023. g. </w:t>
      </w:r>
      <w:r w:rsidRPr="007F7BB8">
        <w:rPr>
          <w:rFonts w:ascii="Arial" w:hAnsi="Arial" w:cs="Arial"/>
        </w:rPr>
        <w:t>Grad Labin donirao je novi digitalni mamografski uređaj IDZ-u, koji će, uz mobilnu jedinicu i postojeći mamograf u ispostavi Pazin, dodatno povećati broj</w:t>
      </w:r>
      <w:r w:rsidR="00BE53A8" w:rsidRPr="007F7BB8">
        <w:rPr>
          <w:rFonts w:ascii="Arial" w:hAnsi="Arial" w:cs="Arial"/>
        </w:rPr>
        <w:t xml:space="preserve"> odaziva</w:t>
      </w:r>
      <w:r w:rsidRPr="007F7BB8">
        <w:rPr>
          <w:rFonts w:ascii="Arial" w:hAnsi="Arial" w:cs="Arial"/>
        </w:rPr>
        <w:t xml:space="preserve"> žena na preventivne preglede dojki. </w:t>
      </w:r>
    </w:p>
    <w:p w14:paraId="1D70EF37" w14:textId="77777777" w:rsidR="00BE53A8" w:rsidRDefault="00BE53A8" w:rsidP="002555B9">
      <w:pPr>
        <w:jc w:val="both"/>
        <w:rPr>
          <w:rFonts w:ascii="Arial" w:hAnsi="Arial" w:cs="Arial"/>
          <w:sz w:val="22"/>
          <w:szCs w:val="22"/>
        </w:rPr>
      </w:pPr>
    </w:p>
    <w:p w14:paraId="4FE94EFA" w14:textId="1DDC09CE" w:rsidR="002555B9" w:rsidRPr="004F3556" w:rsidRDefault="002555B9" w:rsidP="002555B9">
      <w:pPr>
        <w:jc w:val="both"/>
        <w:rPr>
          <w:rFonts w:ascii="Arial" w:hAnsi="Arial" w:cs="Arial"/>
          <w:sz w:val="22"/>
          <w:szCs w:val="22"/>
        </w:rPr>
      </w:pPr>
      <w:r w:rsidRPr="004F3556">
        <w:rPr>
          <w:rFonts w:ascii="Arial" w:hAnsi="Arial" w:cs="Arial"/>
          <w:sz w:val="22"/>
          <w:szCs w:val="22"/>
        </w:rPr>
        <w:t>CILJ USPJEŠNOSTI - 2.2.6. Unaprjeđenje programa prevencije i ranog otkrivanja bolesti</w:t>
      </w:r>
    </w:p>
    <w:p w14:paraId="603F0A81" w14:textId="77777777" w:rsidR="00E172E2" w:rsidRPr="004F3556" w:rsidRDefault="00E172E2" w:rsidP="002555B9">
      <w:pPr>
        <w:jc w:val="both"/>
        <w:rPr>
          <w:rFonts w:ascii="Arial" w:hAnsi="Arial" w:cs="Arial"/>
          <w:sz w:val="22"/>
          <w:szCs w:val="22"/>
        </w:rPr>
      </w:pPr>
    </w:p>
    <w:p w14:paraId="22BB36F3" w14:textId="77777777" w:rsidR="002555B9" w:rsidRPr="004F3556" w:rsidRDefault="002555B9" w:rsidP="002555B9">
      <w:pPr>
        <w:jc w:val="both"/>
        <w:rPr>
          <w:rFonts w:ascii="Arial" w:hAnsi="Arial" w:cs="Arial"/>
          <w:sz w:val="22"/>
          <w:szCs w:val="22"/>
        </w:rPr>
      </w:pPr>
      <w:r w:rsidRPr="004F3556">
        <w:rPr>
          <w:rFonts w:ascii="Arial" w:hAnsi="Arial" w:cs="Arial"/>
          <w:sz w:val="22"/>
          <w:szCs w:val="22"/>
        </w:rPr>
        <w:t>POKAZATELJI USPJEŠNOSTI</w:t>
      </w:r>
    </w:p>
    <w:tbl>
      <w:tblPr>
        <w:tblW w:w="9385" w:type="dxa"/>
        <w:tblInd w:w="108" w:type="dxa"/>
        <w:tblLayout w:type="fixed"/>
        <w:tblLook w:val="04A0" w:firstRow="1" w:lastRow="0" w:firstColumn="1" w:lastColumn="0" w:noHBand="0" w:noVBand="1"/>
      </w:tblPr>
      <w:tblGrid>
        <w:gridCol w:w="1872"/>
        <w:gridCol w:w="1276"/>
        <w:gridCol w:w="1418"/>
        <w:gridCol w:w="4819"/>
      </w:tblGrid>
      <w:tr w:rsidR="00D376EB" w:rsidRPr="00D376EB" w14:paraId="6D4C9269" w14:textId="77777777" w:rsidTr="00650B14">
        <w:trPr>
          <w:trHeight w:val="958"/>
        </w:trPr>
        <w:tc>
          <w:tcPr>
            <w:tcW w:w="187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0337C3D9" w14:textId="0BF68F6C" w:rsidR="0052172F" w:rsidRPr="00D376EB" w:rsidRDefault="0052172F" w:rsidP="0052172F">
            <w:pPr>
              <w:jc w:val="center"/>
              <w:rPr>
                <w:rFonts w:ascii="Arial" w:hAnsi="Arial" w:cs="Arial"/>
                <w:b/>
                <w:bCs/>
                <w:sz w:val="22"/>
                <w:szCs w:val="22"/>
              </w:rPr>
            </w:pPr>
            <w:r w:rsidRPr="00D376EB">
              <w:rPr>
                <w:rFonts w:ascii="Arial" w:hAnsi="Arial" w:cs="Arial"/>
                <w:b/>
                <w:bCs/>
                <w:sz w:val="22"/>
                <w:szCs w:val="22"/>
              </w:rPr>
              <w:t xml:space="preserve">Pokazatelj rezultata </w:t>
            </w:r>
          </w:p>
        </w:tc>
        <w:tc>
          <w:tcPr>
            <w:tcW w:w="1276"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0D611ED2" w14:textId="5BF991AD" w:rsidR="0052172F" w:rsidRPr="00D376EB" w:rsidRDefault="0052172F" w:rsidP="0052172F">
            <w:pPr>
              <w:jc w:val="center"/>
              <w:rPr>
                <w:rFonts w:ascii="Arial" w:hAnsi="Arial" w:cs="Arial"/>
                <w:b/>
                <w:bCs/>
                <w:sz w:val="22"/>
                <w:szCs w:val="22"/>
              </w:rPr>
            </w:pPr>
            <w:r w:rsidRPr="00D376EB">
              <w:rPr>
                <w:rFonts w:ascii="Arial" w:hAnsi="Arial" w:cs="Arial"/>
                <w:b/>
                <w:bCs/>
                <w:sz w:val="22"/>
                <w:szCs w:val="22"/>
              </w:rPr>
              <w:t>Početna vrijednost</w:t>
            </w:r>
            <w:r w:rsidRPr="00D376EB">
              <w:rPr>
                <w:rFonts w:ascii="Arial" w:hAnsi="Arial" w:cs="Arial"/>
                <w:b/>
                <w:bCs/>
                <w:sz w:val="22"/>
                <w:szCs w:val="22"/>
              </w:rPr>
              <w:br/>
              <w:t>(2025.)</w:t>
            </w:r>
          </w:p>
        </w:tc>
        <w:tc>
          <w:tcPr>
            <w:tcW w:w="1418"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61E8209A" w14:textId="6016D34E" w:rsidR="0052172F" w:rsidRPr="00D376EB" w:rsidRDefault="0052172F" w:rsidP="0052172F">
            <w:pPr>
              <w:jc w:val="center"/>
              <w:rPr>
                <w:rFonts w:ascii="Arial" w:hAnsi="Arial" w:cs="Arial"/>
                <w:b/>
                <w:bCs/>
                <w:sz w:val="22"/>
                <w:szCs w:val="22"/>
              </w:rPr>
            </w:pPr>
            <w:r w:rsidRPr="00D376EB">
              <w:rPr>
                <w:rFonts w:ascii="Arial" w:hAnsi="Arial" w:cs="Arial"/>
                <w:b/>
                <w:bCs/>
                <w:sz w:val="22"/>
                <w:szCs w:val="22"/>
              </w:rPr>
              <w:t>Ciljna</w:t>
            </w:r>
            <w:r w:rsidRPr="00D376EB">
              <w:rPr>
                <w:rFonts w:ascii="Arial" w:hAnsi="Arial" w:cs="Arial"/>
                <w:b/>
                <w:bCs/>
                <w:sz w:val="22"/>
                <w:szCs w:val="22"/>
              </w:rPr>
              <w:br/>
              <w:t>vrijednost</w:t>
            </w:r>
            <w:r w:rsidRPr="00D376EB">
              <w:rPr>
                <w:rFonts w:ascii="Arial" w:hAnsi="Arial" w:cs="Arial"/>
                <w:b/>
                <w:bCs/>
                <w:sz w:val="22"/>
                <w:szCs w:val="22"/>
              </w:rPr>
              <w:br/>
              <w:t>2025.</w:t>
            </w:r>
          </w:p>
        </w:tc>
        <w:tc>
          <w:tcPr>
            <w:tcW w:w="4819"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21379B46" w14:textId="5387D65A" w:rsidR="0052172F" w:rsidRPr="00D376EB" w:rsidRDefault="0052172F" w:rsidP="0052172F">
            <w:pPr>
              <w:jc w:val="center"/>
              <w:rPr>
                <w:rFonts w:ascii="Arial" w:hAnsi="Arial" w:cs="Arial"/>
                <w:b/>
                <w:bCs/>
                <w:sz w:val="22"/>
                <w:szCs w:val="22"/>
              </w:rPr>
            </w:pPr>
            <w:r w:rsidRPr="00D376EB">
              <w:rPr>
                <w:rFonts w:ascii="Arial" w:hAnsi="Arial" w:cs="Arial"/>
                <w:b/>
                <w:bCs/>
                <w:sz w:val="22"/>
                <w:szCs w:val="22"/>
              </w:rPr>
              <w:t>Ostvarena vrijednost u periodu 01.-12/2025.</w:t>
            </w:r>
          </w:p>
        </w:tc>
      </w:tr>
      <w:tr w:rsidR="00D376EB" w:rsidRPr="00D376EB" w14:paraId="70C39CE0" w14:textId="77777777" w:rsidTr="00650B14">
        <w:trPr>
          <w:trHeight w:val="756"/>
        </w:trPr>
        <w:tc>
          <w:tcPr>
            <w:tcW w:w="1872" w:type="dxa"/>
            <w:tcBorders>
              <w:top w:val="single" w:sz="4" w:space="0" w:color="auto"/>
              <w:left w:val="single" w:sz="4" w:space="0" w:color="000000"/>
              <w:bottom w:val="single" w:sz="4" w:space="0" w:color="auto"/>
              <w:right w:val="single" w:sz="4" w:space="0" w:color="000000"/>
            </w:tcBorders>
            <w:shd w:val="clear" w:color="FFFFFF" w:fill="FFFFFF"/>
            <w:vAlign w:val="center"/>
          </w:tcPr>
          <w:p w14:paraId="2D99B903" w14:textId="1F11AAA1" w:rsidR="002555B9" w:rsidRPr="00D376EB" w:rsidRDefault="00E172E2" w:rsidP="002555B9">
            <w:pPr>
              <w:jc w:val="center"/>
              <w:rPr>
                <w:rFonts w:ascii="Arial" w:hAnsi="Arial" w:cs="Arial"/>
                <w:sz w:val="22"/>
                <w:szCs w:val="22"/>
                <w:shd w:val="clear" w:color="auto" w:fill="FFFFFF"/>
              </w:rPr>
            </w:pPr>
            <w:r w:rsidRPr="00D376EB">
              <w:rPr>
                <w:rFonts w:ascii="Arial" w:hAnsi="Arial" w:cs="Arial"/>
                <w:sz w:val="22"/>
                <w:szCs w:val="22"/>
                <w:shd w:val="clear" w:color="auto" w:fill="FFFFFF"/>
              </w:rPr>
              <w:t>Broj obavljenih mamografija</w:t>
            </w:r>
          </w:p>
        </w:tc>
        <w:tc>
          <w:tcPr>
            <w:tcW w:w="1276" w:type="dxa"/>
            <w:tcBorders>
              <w:top w:val="single" w:sz="4" w:space="0" w:color="auto"/>
              <w:left w:val="nil"/>
              <w:bottom w:val="single" w:sz="4" w:space="0" w:color="auto"/>
              <w:right w:val="single" w:sz="4" w:space="0" w:color="000000"/>
            </w:tcBorders>
            <w:shd w:val="clear" w:color="FFFFFF" w:fill="FFFFFF"/>
            <w:vAlign w:val="center"/>
          </w:tcPr>
          <w:p w14:paraId="7D5B6D18" w14:textId="396BE3DD" w:rsidR="002555B9" w:rsidRPr="00D376EB" w:rsidRDefault="00FF3DAA" w:rsidP="002555B9">
            <w:pPr>
              <w:jc w:val="center"/>
              <w:rPr>
                <w:rFonts w:ascii="Arial" w:hAnsi="Arial" w:cs="Arial"/>
                <w:sz w:val="22"/>
                <w:szCs w:val="22"/>
              </w:rPr>
            </w:pPr>
            <w:r w:rsidRPr="00D376EB">
              <w:rPr>
                <w:rFonts w:ascii="Arial" w:hAnsi="Arial" w:cs="Arial"/>
                <w:sz w:val="22"/>
                <w:szCs w:val="22"/>
              </w:rPr>
              <w:t>850</w:t>
            </w:r>
          </w:p>
        </w:tc>
        <w:tc>
          <w:tcPr>
            <w:tcW w:w="1418" w:type="dxa"/>
            <w:tcBorders>
              <w:top w:val="single" w:sz="4" w:space="0" w:color="auto"/>
              <w:left w:val="nil"/>
              <w:bottom w:val="single" w:sz="4" w:space="0" w:color="auto"/>
              <w:right w:val="single" w:sz="4" w:space="0" w:color="000000"/>
            </w:tcBorders>
            <w:shd w:val="clear" w:color="FFFFFF" w:fill="FFFFFF"/>
            <w:vAlign w:val="center"/>
          </w:tcPr>
          <w:p w14:paraId="37753D16" w14:textId="0B9CC8F6" w:rsidR="002555B9" w:rsidRPr="00D376EB" w:rsidRDefault="00FF3DAA" w:rsidP="002555B9">
            <w:pPr>
              <w:jc w:val="center"/>
              <w:rPr>
                <w:rFonts w:ascii="Arial" w:hAnsi="Arial" w:cs="Arial"/>
                <w:sz w:val="22"/>
                <w:szCs w:val="22"/>
              </w:rPr>
            </w:pPr>
            <w:r w:rsidRPr="00D376EB">
              <w:rPr>
                <w:rFonts w:ascii="Arial" w:hAnsi="Arial" w:cs="Arial"/>
                <w:sz w:val="22"/>
                <w:szCs w:val="22"/>
              </w:rPr>
              <w:t>900</w:t>
            </w:r>
          </w:p>
        </w:tc>
        <w:tc>
          <w:tcPr>
            <w:tcW w:w="4819" w:type="dxa"/>
            <w:tcBorders>
              <w:top w:val="single" w:sz="4" w:space="0" w:color="auto"/>
              <w:left w:val="nil"/>
              <w:bottom w:val="single" w:sz="4" w:space="0" w:color="auto"/>
              <w:right w:val="single" w:sz="4" w:space="0" w:color="000000"/>
            </w:tcBorders>
            <w:shd w:val="clear" w:color="FFFFFF" w:fill="FFFFFF"/>
            <w:vAlign w:val="center"/>
          </w:tcPr>
          <w:p w14:paraId="27B54923" w14:textId="1A0A4110" w:rsidR="002555B9" w:rsidRPr="00D376EB" w:rsidRDefault="00862E62" w:rsidP="002555B9">
            <w:pPr>
              <w:jc w:val="center"/>
              <w:rPr>
                <w:rFonts w:ascii="Arial" w:hAnsi="Arial" w:cs="Arial"/>
                <w:sz w:val="22"/>
                <w:szCs w:val="22"/>
              </w:rPr>
            </w:pPr>
            <w:r w:rsidRPr="00D376EB">
              <w:rPr>
                <w:rFonts w:ascii="Arial" w:hAnsi="Arial" w:cs="Arial"/>
                <w:sz w:val="22"/>
                <w:szCs w:val="22"/>
              </w:rPr>
              <w:t>Poslano 1.7</w:t>
            </w:r>
            <w:r w:rsidR="00FF3DAA" w:rsidRPr="00D376EB">
              <w:rPr>
                <w:rFonts w:ascii="Arial" w:hAnsi="Arial" w:cs="Arial"/>
                <w:sz w:val="22"/>
                <w:szCs w:val="22"/>
              </w:rPr>
              <w:t>08</w:t>
            </w:r>
            <w:r w:rsidRPr="00D376EB">
              <w:rPr>
                <w:rFonts w:ascii="Arial" w:hAnsi="Arial" w:cs="Arial"/>
                <w:sz w:val="22"/>
                <w:szCs w:val="22"/>
              </w:rPr>
              <w:t xml:space="preserve"> poziva za obavljanje pregleda;</w:t>
            </w:r>
            <w:r w:rsidR="00C636FA" w:rsidRPr="00D376EB">
              <w:rPr>
                <w:rFonts w:ascii="Arial" w:hAnsi="Arial" w:cs="Arial"/>
                <w:sz w:val="22"/>
                <w:szCs w:val="22"/>
              </w:rPr>
              <w:t xml:space="preserve"> </w:t>
            </w:r>
            <w:r w:rsidRPr="00D376EB">
              <w:rPr>
                <w:rFonts w:ascii="Arial" w:hAnsi="Arial" w:cs="Arial"/>
                <w:sz w:val="22"/>
                <w:szCs w:val="22"/>
              </w:rPr>
              <w:t xml:space="preserve">ukupno obavljeno </w:t>
            </w:r>
            <w:r w:rsidR="00FF3DAA" w:rsidRPr="00D376EB">
              <w:rPr>
                <w:rFonts w:ascii="Arial" w:hAnsi="Arial" w:cs="Arial"/>
                <w:sz w:val="22"/>
                <w:szCs w:val="22"/>
              </w:rPr>
              <w:t>735</w:t>
            </w:r>
            <w:r w:rsidRPr="00D376EB">
              <w:rPr>
                <w:rFonts w:ascii="Arial" w:hAnsi="Arial" w:cs="Arial"/>
                <w:sz w:val="22"/>
                <w:szCs w:val="22"/>
              </w:rPr>
              <w:t xml:space="preserve"> mamografij</w:t>
            </w:r>
            <w:r w:rsidR="00FF3DAA" w:rsidRPr="00D376EB">
              <w:rPr>
                <w:rFonts w:ascii="Arial" w:hAnsi="Arial" w:cs="Arial"/>
                <w:sz w:val="22"/>
                <w:szCs w:val="22"/>
              </w:rPr>
              <w:t>a</w:t>
            </w:r>
            <w:r w:rsidR="00CF7F5E" w:rsidRPr="00D376EB">
              <w:rPr>
                <w:rFonts w:ascii="Arial" w:hAnsi="Arial" w:cs="Arial"/>
                <w:sz w:val="22"/>
                <w:szCs w:val="22"/>
              </w:rPr>
              <w:t xml:space="preserve"> iz županijskog programa</w:t>
            </w:r>
            <w:r w:rsidRPr="00D376EB">
              <w:rPr>
                <w:rFonts w:ascii="Arial" w:hAnsi="Arial" w:cs="Arial"/>
                <w:sz w:val="22"/>
                <w:szCs w:val="22"/>
              </w:rPr>
              <w:t xml:space="preserve"> </w:t>
            </w:r>
            <w:r w:rsidR="00C636FA" w:rsidRPr="00D376EB">
              <w:rPr>
                <w:rFonts w:ascii="Arial" w:hAnsi="Arial" w:cs="Arial"/>
                <w:sz w:val="22"/>
                <w:szCs w:val="22"/>
              </w:rPr>
              <w:t>(odaziv 4</w:t>
            </w:r>
            <w:r w:rsidR="00FF3DAA" w:rsidRPr="00D376EB">
              <w:rPr>
                <w:rFonts w:ascii="Arial" w:hAnsi="Arial" w:cs="Arial"/>
                <w:sz w:val="22"/>
                <w:szCs w:val="22"/>
              </w:rPr>
              <w:t>3</w:t>
            </w:r>
            <w:r w:rsidR="00C636FA" w:rsidRPr="00D376EB">
              <w:rPr>
                <w:rFonts w:ascii="Arial" w:hAnsi="Arial" w:cs="Arial"/>
                <w:sz w:val="22"/>
                <w:szCs w:val="22"/>
              </w:rPr>
              <w:t xml:space="preserve">%). </w:t>
            </w:r>
          </w:p>
        </w:tc>
      </w:tr>
      <w:bookmarkEnd w:id="1"/>
    </w:tbl>
    <w:p w14:paraId="1B66436D" w14:textId="77777777" w:rsidR="002555B9" w:rsidRPr="004F3556" w:rsidRDefault="002555B9" w:rsidP="002555B9">
      <w:pPr>
        <w:jc w:val="both"/>
        <w:rPr>
          <w:rFonts w:ascii="Arial" w:hAnsi="Arial" w:cs="Arial"/>
          <w:b/>
          <w:sz w:val="22"/>
          <w:szCs w:val="22"/>
        </w:rPr>
      </w:pPr>
    </w:p>
    <w:p w14:paraId="43744D6B" w14:textId="77777777" w:rsidR="002555B9" w:rsidRPr="004F3556" w:rsidRDefault="002555B9" w:rsidP="002555B9">
      <w:pPr>
        <w:jc w:val="both"/>
        <w:rPr>
          <w:rFonts w:ascii="Arial" w:hAnsi="Arial" w:cs="Arial"/>
          <w:b/>
          <w:sz w:val="22"/>
          <w:szCs w:val="22"/>
        </w:rPr>
      </w:pPr>
    </w:p>
    <w:p w14:paraId="5FCAE932" w14:textId="77777777" w:rsidR="002555B9" w:rsidRPr="004F3556" w:rsidRDefault="002555B9" w:rsidP="00887B83">
      <w:pPr>
        <w:pStyle w:val="Odlomakpopisa"/>
        <w:numPr>
          <w:ilvl w:val="0"/>
          <w:numId w:val="42"/>
        </w:numPr>
        <w:jc w:val="both"/>
        <w:rPr>
          <w:rFonts w:ascii="Arial" w:hAnsi="Arial" w:cs="Arial"/>
          <w:b/>
          <w:u w:val="single"/>
        </w:rPr>
      </w:pPr>
      <w:r w:rsidRPr="004F3556">
        <w:rPr>
          <w:rFonts w:ascii="Arial" w:hAnsi="Arial" w:cs="Arial"/>
          <w:b/>
          <w:u w:val="single"/>
        </w:rPr>
        <w:t>NAZIV PROGRAMA: PROGRAMI IZNAD STANDARDA UGOVORENOG S HZZO (4204)</w:t>
      </w:r>
    </w:p>
    <w:p w14:paraId="06610F84" w14:textId="77777777" w:rsidR="002555B9" w:rsidRPr="004F3556" w:rsidRDefault="002555B9" w:rsidP="002555B9">
      <w:pPr>
        <w:jc w:val="both"/>
        <w:rPr>
          <w:rFonts w:ascii="Arial" w:hAnsi="Arial" w:cs="Arial"/>
          <w:b/>
          <w:sz w:val="22"/>
          <w:szCs w:val="22"/>
          <w:u w:val="single"/>
        </w:rPr>
      </w:pPr>
    </w:p>
    <w:p w14:paraId="549CE117" w14:textId="1C3894F2" w:rsidR="002555B9" w:rsidRPr="004F3556" w:rsidRDefault="002555B9" w:rsidP="00887B83">
      <w:pPr>
        <w:pStyle w:val="Odlomakpopisa"/>
        <w:numPr>
          <w:ilvl w:val="1"/>
          <w:numId w:val="42"/>
        </w:numPr>
        <w:jc w:val="both"/>
        <w:rPr>
          <w:rFonts w:ascii="Arial" w:hAnsi="Arial" w:cs="Arial"/>
          <w:b/>
        </w:rPr>
      </w:pPr>
      <w:r w:rsidRPr="004F3556">
        <w:rPr>
          <w:rFonts w:ascii="Arial" w:hAnsi="Arial" w:cs="Arial"/>
          <w:b/>
        </w:rPr>
        <w:t xml:space="preserve">Zdravstvena zaštita iznad standarda (mrtvozorstvo, </w:t>
      </w:r>
      <w:r w:rsidR="00370613">
        <w:rPr>
          <w:rFonts w:ascii="Arial" w:hAnsi="Arial" w:cs="Arial"/>
          <w:b/>
        </w:rPr>
        <w:t>specijalisti</w:t>
      </w:r>
      <w:r w:rsidRPr="004F3556">
        <w:rPr>
          <w:rFonts w:ascii="Arial" w:hAnsi="Arial" w:cs="Arial"/>
          <w:b/>
        </w:rPr>
        <w:t xml:space="preserve"> – A420401)</w:t>
      </w:r>
    </w:p>
    <w:p w14:paraId="3F322697" w14:textId="04D6B860" w:rsidR="001D05C9" w:rsidRDefault="00636CEB" w:rsidP="00370613">
      <w:pPr>
        <w:spacing w:before="100" w:beforeAutospacing="1" w:after="100" w:afterAutospacing="1"/>
        <w:jc w:val="both"/>
        <w:rPr>
          <w:rFonts w:ascii="Arial" w:hAnsi="Arial" w:cs="Arial"/>
          <w:sz w:val="22"/>
          <w:szCs w:val="22"/>
        </w:rPr>
      </w:pPr>
      <w:r w:rsidRPr="00370613">
        <w:rPr>
          <w:rFonts w:ascii="Arial" w:hAnsi="Arial" w:cs="Arial"/>
          <w:sz w:val="22"/>
          <w:szCs w:val="22"/>
        </w:rPr>
        <w:t xml:space="preserve">Program izvan standardnih usluga omogućava pristup zdravstvenoj zaštiti i u područjima koja nisu obuhvaćena ugovorom s HZZO-om. U cilju pružanja višeg nivoa zdravstvene skrbi svojim stanovnicima, ovaj program sufinanciraju jedinice lokalne </w:t>
      </w:r>
      <w:r w:rsidR="00370613" w:rsidRPr="00370613">
        <w:rPr>
          <w:rFonts w:ascii="Arial" w:hAnsi="Arial" w:cs="Arial"/>
          <w:sz w:val="22"/>
          <w:szCs w:val="22"/>
        </w:rPr>
        <w:t xml:space="preserve">i regionalne </w:t>
      </w:r>
      <w:r w:rsidRPr="00370613">
        <w:rPr>
          <w:rFonts w:ascii="Arial" w:hAnsi="Arial" w:cs="Arial"/>
          <w:sz w:val="22"/>
          <w:szCs w:val="22"/>
        </w:rPr>
        <w:t>samouprave. U sklopu aktivnosti mrtvozorstva vodi se evidencija i usklađuje raspored dežurstava liječnika mrtvozornika, uz nabavu i opskrbu potrebnim obrascima za mrtvozornike na razini cijele Istre.</w:t>
      </w:r>
    </w:p>
    <w:p w14:paraId="176CB350" w14:textId="0DE5AD33" w:rsidR="002555B9" w:rsidRPr="004F3556" w:rsidRDefault="002555B9" w:rsidP="001D05C9">
      <w:pPr>
        <w:rPr>
          <w:rFonts w:ascii="Arial" w:hAnsi="Arial" w:cs="Arial"/>
          <w:sz w:val="22"/>
          <w:szCs w:val="22"/>
        </w:rPr>
      </w:pPr>
      <w:r w:rsidRPr="004F3556">
        <w:rPr>
          <w:rFonts w:ascii="Arial" w:hAnsi="Arial" w:cs="Arial"/>
          <w:sz w:val="22"/>
          <w:szCs w:val="22"/>
        </w:rPr>
        <w:t>CILJ USPJEŠNOSTI - 2.2.8. Ostale mjere iz samoupravnog djelokruga u području zdravstva</w:t>
      </w:r>
    </w:p>
    <w:p w14:paraId="4027C926" w14:textId="77777777" w:rsidR="002555B9" w:rsidRPr="004F3556" w:rsidRDefault="002555B9" w:rsidP="002555B9">
      <w:pPr>
        <w:jc w:val="both"/>
        <w:rPr>
          <w:rFonts w:ascii="Arial" w:hAnsi="Arial" w:cs="Arial"/>
          <w:sz w:val="22"/>
          <w:szCs w:val="22"/>
        </w:rPr>
      </w:pPr>
    </w:p>
    <w:p w14:paraId="515C7C6A" w14:textId="77777777" w:rsidR="002555B9" w:rsidRPr="004F3556" w:rsidRDefault="002555B9" w:rsidP="002555B9">
      <w:pPr>
        <w:jc w:val="both"/>
        <w:rPr>
          <w:rFonts w:ascii="Arial" w:hAnsi="Arial" w:cs="Arial"/>
          <w:sz w:val="22"/>
          <w:szCs w:val="22"/>
        </w:rPr>
      </w:pPr>
      <w:r w:rsidRPr="004F3556">
        <w:rPr>
          <w:rFonts w:ascii="Arial" w:hAnsi="Arial" w:cs="Arial"/>
          <w:sz w:val="22"/>
          <w:szCs w:val="22"/>
        </w:rPr>
        <w:t>POKAZATELJI USPJEŠNOSTI</w:t>
      </w:r>
    </w:p>
    <w:tbl>
      <w:tblPr>
        <w:tblW w:w="10201" w:type="dxa"/>
        <w:jc w:val="center"/>
        <w:tblLayout w:type="fixed"/>
        <w:tblLook w:val="04A0" w:firstRow="1" w:lastRow="0" w:firstColumn="1" w:lastColumn="0" w:noHBand="0" w:noVBand="1"/>
      </w:tblPr>
      <w:tblGrid>
        <w:gridCol w:w="1838"/>
        <w:gridCol w:w="2126"/>
        <w:gridCol w:w="2127"/>
        <w:gridCol w:w="4110"/>
      </w:tblGrid>
      <w:tr w:rsidR="0052172F" w:rsidRPr="004F3556" w14:paraId="03927906" w14:textId="77777777" w:rsidTr="00823257">
        <w:trPr>
          <w:trHeight w:val="816"/>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641DBE88" w14:textId="0D512FB9" w:rsidR="0052172F" w:rsidRPr="00370613" w:rsidRDefault="0052172F" w:rsidP="0052172F">
            <w:pPr>
              <w:jc w:val="center"/>
              <w:rPr>
                <w:rFonts w:ascii="Arial" w:hAnsi="Arial" w:cs="Arial"/>
                <w:b/>
                <w:bCs/>
                <w:sz w:val="22"/>
                <w:szCs w:val="22"/>
              </w:rPr>
            </w:pPr>
            <w:r w:rsidRPr="00370613">
              <w:rPr>
                <w:rFonts w:ascii="Arial" w:hAnsi="Arial" w:cs="Arial"/>
                <w:b/>
                <w:bCs/>
                <w:sz w:val="22"/>
                <w:szCs w:val="22"/>
              </w:rPr>
              <w:t xml:space="preserve">Pokazatelj rezultata </w:t>
            </w:r>
          </w:p>
        </w:tc>
        <w:tc>
          <w:tcPr>
            <w:tcW w:w="2126"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642340F2" w14:textId="6CF35DE4" w:rsidR="0052172F" w:rsidRPr="00370613" w:rsidRDefault="0052172F" w:rsidP="0052172F">
            <w:pPr>
              <w:jc w:val="center"/>
              <w:rPr>
                <w:rFonts w:ascii="Arial" w:hAnsi="Arial" w:cs="Arial"/>
                <w:b/>
                <w:bCs/>
                <w:sz w:val="22"/>
                <w:szCs w:val="22"/>
              </w:rPr>
            </w:pPr>
            <w:r w:rsidRPr="00370613">
              <w:rPr>
                <w:rFonts w:ascii="Arial" w:hAnsi="Arial" w:cs="Arial"/>
                <w:b/>
                <w:bCs/>
                <w:sz w:val="22"/>
                <w:szCs w:val="22"/>
              </w:rPr>
              <w:t>Početna vrijednost</w:t>
            </w:r>
            <w:r w:rsidRPr="00370613">
              <w:rPr>
                <w:rFonts w:ascii="Arial" w:hAnsi="Arial" w:cs="Arial"/>
                <w:b/>
                <w:bCs/>
                <w:sz w:val="22"/>
                <w:szCs w:val="22"/>
              </w:rPr>
              <w:br/>
              <w:t>(2025.)</w:t>
            </w:r>
          </w:p>
        </w:tc>
        <w:tc>
          <w:tcPr>
            <w:tcW w:w="2127"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377F6014" w14:textId="153E696F" w:rsidR="0052172F" w:rsidRPr="00370613" w:rsidRDefault="0052172F" w:rsidP="0052172F">
            <w:pPr>
              <w:jc w:val="center"/>
              <w:rPr>
                <w:rFonts w:ascii="Arial" w:hAnsi="Arial" w:cs="Arial"/>
                <w:b/>
                <w:bCs/>
                <w:sz w:val="22"/>
                <w:szCs w:val="22"/>
              </w:rPr>
            </w:pPr>
            <w:r w:rsidRPr="00370613">
              <w:rPr>
                <w:rFonts w:ascii="Arial" w:hAnsi="Arial" w:cs="Arial"/>
                <w:b/>
                <w:bCs/>
                <w:sz w:val="22"/>
                <w:szCs w:val="22"/>
              </w:rPr>
              <w:t>Ciljna</w:t>
            </w:r>
            <w:r w:rsidRPr="00370613">
              <w:rPr>
                <w:rFonts w:ascii="Arial" w:hAnsi="Arial" w:cs="Arial"/>
                <w:b/>
                <w:bCs/>
                <w:sz w:val="22"/>
                <w:szCs w:val="22"/>
              </w:rPr>
              <w:br/>
              <w:t>vrijednost</w:t>
            </w:r>
            <w:r w:rsidRPr="00370613">
              <w:rPr>
                <w:rFonts w:ascii="Arial" w:hAnsi="Arial" w:cs="Arial"/>
                <w:b/>
                <w:bCs/>
                <w:sz w:val="22"/>
                <w:szCs w:val="22"/>
              </w:rPr>
              <w:br/>
              <w:t>2025.</w:t>
            </w:r>
          </w:p>
        </w:tc>
        <w:tc>
          <w:tcPr>
            <w:tcW w:w="4110"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2C95A2C7" w14:textId="66E5C86E" w:rsidR="0052172F" w:rsidRPr="00370613" w:rsidRDefault="0052172F" w:rsidP="0052172F">
            <w:pPr>
              <w:jc w:val="center"/>
              <w:rPr>
                <w:rFonts w:ascii="Arial" w:hAnsi="Arial" w:cs="Arial"/>
                <w:b/>
                <w:bCs/>
                <w:sz w:val="22"/>
                <w:szCs w:val="22"/>
              </w:rPr>
            </w:pPr>
            <w:r w:rsidRPr="00370613">
              <w:rPr>
                <w:rFonts w:ascii="Arial" w:hAnsi="Arial" w:cs="Arial"/>
                <w:b/>
                <w:bCs/>
                <w:sz w:val="22"/>
                <w:szCs w:val="22"/>
              </w:rPr>
              <w:t>Ostvarena vrijednost u periodu 01.-12/2025.</w:t>
            </w:r>
          </w:p>
        </w:tc>
      </w:tr>
      <w:tr w:rsidR="002555B9" w:rsidRPr="004F3556" w14:paraId="15C59414" w14:textId="77777777" w:rsidTr="00823257">
        <w:trPr>
          <w:trHeight w:val="443"/>
          <w:jc w:val="center"/>
        </w:trPr>
        <w:tc>
          <w:tcPr>
            <w:tcW w:w="1838" w:type="dxa"/>
            <w:tcBorders>
              <w:top w:val="single" w:sz="4" w:space="0" w:color="000000"/>
              <w:left w:val="single" w:sz="4" w:space="0" w:color="000000"/>
              <w:bottom w:val="single" w:sz="4" w:space="0" w:color="auto"/>
              <w:right w:val="single" w:sz="4" w:space="0" w:color="000000"/>
            </w:tcBorders>
            <w:vAlign w:val="center"/>
          </w:tcPr>
          <w:p w14:paraId="3698669D" w14:textId="77777777" w:rsidR="002555B9" w:rsidRPr="00370613" w:rsidRDefault="002555B9" w:rsidP="002555B9">
            <w:pPr>
              <w:jc w:val="center"/>
              <w:rPr>
                <w:rFonts w:ascii="Arial" w:hAnsi="Arial" w:cs="Arial"/>
                <w:bCs/>
                <w:sz w:val="22"/>
                <w:szCs w:val="22"/>
              </w:rPr>
            </w:pPr>
            <w:r w:rsidRPr="00370613">
              <w:rPr>
                <w:rFonts w:ascii="Arial" w:hAnsi="Arial" w:cs="Arial"/>
                <w:bCs/>
                <w:sz w:val="22"/>
                <w:szCs w:val="22"/>
              </w:rPr>
              <w:t>Mrtvozorstvo – nabavljeni svi obrasci</w:t>
            </w:r>
          </w:p>
        </w:tc>
        <w:tc>
          <w:tcPr>
            <w:tcW w:w="2126" w:type="dxa"/>
            <w:tcBorders>
              <w:top w:val="single" w:sz="4" w:space="0" w:color="000000"/>
              <w:left w:val="nil"/>
              <w:bottom w:val="single" w:sz="4" w:space="0" w:color="auto"/>
              <w:right w:val="single" w:sz="4" w:space="0" w:color="000000"/>
            </w:tcBorders>
            <w:vAlign w:val="center"/>
          </w:tcPr>
          <w:p w14:paraId="0FA55687" w14:textId="19CD584C" w:rsidR="002555B9" w:rsidRPr="00370613" w:rsidRDefault="002555B9" w:rsidP="002555B9">
            <w:pPr>
              <w:jc w:val="center"/>
              <w:rPr>
                <w:rFonts w:ascii="Arial" w:hAnsi="Arial" w:cs="Arial"/>
                <w:bCs/>
                <w:sz w:val="22"/>
                <w:szCs w:val="22"/>
              </w:rPr>
            </w:pPr>
            <w:r w:rsidRPr="00370613">
              <w:rPr>
                <w:rFonts w:ascii="Arial" w:hAnsi="Arial" w:cs="Arial"/>
                <w:bCs/>
                <w:sz w:val="22"/>
                <w:szCs w:val="22"/>
              </w:rPr>
              <w:t>Nabava mrtvozorničkih obrazaca i evidencija dežurstava mrtvozornika</w:t>
            </w:r>
          </w:p>
        </w:tc>
        <w:tc>
          <w:tcPr>
            <w:tcW w:w="2127" w:type="dxa"/>
            <w:tcBorders>
              <w:top w:val="single" w:sz="4" w:space="0" w:color="000000"/>
              <w:left w:val="nil"/>
              <w:bottom w:val="single" w:sz="4" w:space="0" w:color="auto"/>
              <w:right w:val="single" w:sz="4" w:space="0" w:color="000000"/>
            </w:tcBorders>
            <w:vAlign w:val="center"/>
          </w:tcPr>
          <w:p w14:paraId="54F52314" w14:textId="75C121AA" w:rsidR="002555B9" w:rsidRPr="00370613" w:rsidRDefault="002555B9" w:rsidP="002555B9">
            <w:pPr>
              <w:jc w:val="center"/>
              <w:rPr>
                <w:rFonts w:ascii="Arial" w:hAnsi="Arial" w:cs="Arial"/>
                <w:bCs/>
                <w:sz w:val="22"/>
                <w:szCs w:val="22"/>
              </w:rPr>
            </w:pPr>
            <w:r w:rsidRPr="00370613">
              <w:rPr>
                <w:rFonts w:ascii="Arial" w:hAnsi="Arial" w:cs="Arial"/>
                <w:bCs/>
                <w:sz w:val="22"/>
                <w:szCs w:val="22"/>
              </w:rPr>
              <w:t>Nabava mrtvozorničkih obrazaca i evidencija dežurstava mrtvozornika</w:t>
            </w:r>
          </w:p>
        </w:tc>
        <w:tc>
          <w:tcPr>
            <w:tcW w:w="4110" w:type="dxa"/>
            <w:tcBorders>
              <w:top w:val="single" w:sz="4" w:space="0" w:color="000000"/>
              <w:left w:val="nil"/>
              <w:bottom w:val="single" w:sz="4" w:space="0" w:color="auto"/>
              <w:right w:val="single" w:sz="4" w:space="0" w:color="000000"/>
            </w:tcBorders>
          </w:tcPr>
          <w:p w14:paraId="2C637FA0" w14:textId="77777777" w:rsidR="00B444D3" w:rsidRPr="00370613" w:rsidRDefault="002555B9" w:rsidP="002555B9">
            <w:pPr>
              <w:jc w:val="center"/>
              <w:rPr>
                <w:rFonts w:ascii="Arial" w:hAnsi="Arial" w:cs="Arial"/>
                <w:sz w:val="22"/>
              </w:rPr>
            </w:pPr>
            <w:r w:rsidRPr="00370613">
              <w:rPr>
                <w:rFonts w:ascii="Arial" w:hAnsi="Arial" w:cs="Arial"/>
                <w:sz w:val="22"/>
                <w:szCs w:val="22"/>
              </w:rPr>
              <w:t>Nabavljeni i distribuirani svi obrasci „Potvrda o smrti, dozvola za pokop i popratnica za prijevoz i obdukciju“</w:t>
            </w:r>
            <w:r w:rsidR="00862E62" w:rsidRPr="00370613">
              <w:rPr>
                <w:rFonts w:ascii="Arial" w:hAnsi="Arial" w:cs="Arial"/>
                <w:sz w:val="22"/>
                <w:szCs w:val="22"/>
              </w:rPr>
              <w:t xml:space="preserve">. </w:t>
            </w:r>
            <w:r w:rsidR="00B444D3" w:rsidRPr="00370613">
              <w:rPr>
                <w:rFonts w:ascii="Arial" w:hAnsi="Arial" w:cs="Arial"/>
                <w:sz w:val="22"/>
              </w:rPr>
              <w:t xml:space="preserve">Vođene evidencije i poslan raspored rada / dežurstava liječnika mrtvozornika nadležnim ustanovama. </w:t>
            </w:r>
          </w:p>
          <w:p w14:paraId="5B4F8C48" w14:textId="0A7E5A86" w:rsidR="002555B9" w:rsidRPr="00370613" w:rsidRDefault="00862E62" w:rsidP="002555B9">
            <w:pPr>
              <w:jc w:val="center"/>
              <w:rPr>
                <w:rFonts w:ascii="Arial" w:hAnsi="Arial" w:cs="Arial"/>
                <w:sz w:val="22"/>
                <w:szCs w:val="22"/>
              </w:rPr>
            </w:pPr>
            <w:r w:rsidRPr="00370613">
              <w:rPr>
                <w:rFonts w:ascii="Arial" w:hAnsi="Arial" w:cs="Arial"/>
                <w:sz w:val="22"/>
                <w:szCs w:val="22"/>
              </w:rPr>
              <w:t>Sredstva ut</w:t>
            </w:r>
            <w:r w:rsidR="00864580" w:rsidRPr="00370613">
              <w:rPr>
                <w:rFonts w:ascii="Arial" w:hAnsi="Arial" w:cs="Arial"/>
                <w:sz w:val="22"/>
                <w:szCs w:val="22"/>
              </w:rPr>
              <w:t>r</w:t>
            </w:r>
            <w:r w:rsidRPr="00370613">
              <w:rPr>
                <w:rFonts w:ascii="Arial" w:hAnsi="Arial" w:cs="Arial"/>
                <w:sz w:val="22"/>
                <w:szCs w:val="22"/>
              </w:rPr>
              <w:t>ošena u cijelosti.</w:t>
            </w:r>
          </w:p>
        </w:tc>
      </w:tr>
    </w:tbl>
    <w:p w14:paraId="57CE88A6" w14:textId="77777777" w:rsidR="002555B9" w:rsidRDefault="002555B9" w:rsidP="002555B9">
      <w:pPr>
        <w:jc w:val="both"/>
        <w:rPr>
          <w:rFonts w:ascii="Arial" w:hAnsi="Arial" w:cs="Arial"/>
          <w:sz w:val="22"/>
          <w:szCs w:val="22"/>
        </w:rPr>
      </w:pPr>
    </w:p>
    <w:p w14:paraId="295D29CA" w14:textId="77777777" w:rsidR="002555B9" w:rsidRPr="004F3556" w:rsidRDefault="002555B9" w:rsidP="002555B9">
      <w:pPr>
        <w:jc w:val="both"/>
        <w:rPr>
          <w:rFonts w:ascii="Arial" w:hAnsi="Arial" w:cs="Arial"/>
          <w:sz w:val="22"/>
          <w:szCs w:val="22"/>
        </w:rPr>
      </w:pPr>
    </w:p>
    <w:p w14:paraId="7618E9EB" w14:textId="77777777" w:rsidR="002555B9" w:rsidRPr="004F3556" w:rsidRDefault="002555B9" w:rsidP="00887B83">
      <w:pPr>
        <w:pStyle w:val="Odlomakpopisa"/>
        <w:numPr>
          <w:ilvl w:val="1"/>
          <w:numId w:val="42"/>
        </w:numPr>
        <w:jc w:val="both"/>
        <w:rPr>
          <w:rFonts w:ascii="Arial" w:hAnsi="Arial" w:cs="Arial"/>
          <w:b/>
        </w:rPr>
      </w:pPr>
      <w:r w:rsidRPr="004F3556">
        <w:rPr>
          <w:rFonts w:ascii="Arial" w:hAnsi="Arial" w:cs="Arial"/>
          <w:b/>
        </w:rPr>
        <w:lastRenderedPageBreak/>
        <w:t>Projekt „Istra bez karijesa“ (A420402)</w:t>
      </w:r>
    </w:p>
    <w:p w14:paraId="34D2DDC6" w14:textId="77777777" w:rsidR="002555B9" w:rsidRPr="004F3556" w:rsidRDefault="002555B9" w:rsidP="002555B9">
      <w:pPr>
        <w:pStyle w:val="Odlomakpopisa"/>
        <w:jc w:val="both"/>
        <w:rPr>
          <w:rFonts w:ascii="Arial" w:hAnsi="Arial" w:cs="Arial"/>
          <w:b/>
        </w:rPr>
      </w:pPr>
    </w:p>
    <w:p w14:paraId="6421B00B" w14:textId="1658523E" w:rsidR="00E4253D" w:rsidRPr="00370613" w:rsidRDefault="00E4253D" w:rsidP="00370613">
      <w:pPr>
        <w:spacing w:line="276" w:lineRule="auto"/>
        <w:jc w:val="both"/>
      </w:pPr>
      <w:r w:rsidRPr="00370613">
        <w:rPr>
          <w:rFonts w:ascii="Arial" w:hAnsi="Arial" w:cs="Arial"/>
          <w:sz w:val="22"/>
          <w:szCs w:val="22"/>
        </w:rPr>
        <w:t xml:space="preserve">Oralno zdravlje djece u Hrvatskoj nalazi se </w:t>
      </w:r>
      <w:r w:rsidR="00D435A0" w:rsidRPr="00370613">
        <w:rPr>
          <w:rFonts w:ascii="Arial" w:hAnsi="Arial" w:cs="Arial"/>
          <w:sz w:val="22"/>
          <w:szCs w:val="22"/>
        </w:rPr>
        <w:t xml:space="preserve">pri </w:t>
      </w:r>
      <w:r w:rsidRPr="00370613">
        <w:rPr>
          <w:rFonts w:ascii="Arial" w:hAnsi="Arial" w:cs="Arial"/>
          <w:sz w:val="22"/>
          <w:szCs w:val="22"/>
        </w:rPr>
        <w:t>samom dnu ljestvice među zemljama članicama EU, posebno u pogledu broja karijesa. S obzirom na zabrinjavajuće statistike, posljednjih godina povećava se fokus na podizanje svijesti o važnosti oralne higijene kod djece, prevenciji nastanka karijesa (s ciljem smanjenja KEP indeksa) te ublažavanju straha djece tijekom posjeta stomatologu</w:t>
      </w:r>
      <w:r w:rsidR="00370613" w:rsidRPr="00370613">
        <w:rPr>
          <w:rFonts w:ascii="Arial" w:hAnsi="Arial" w:cs="Arial"/>
          <w:sz w:val="22"/>
          <w:szCs w:val="22"/>
        </w:rPr>
        <w:t xml:space="preserve"> što su glavni zadaci projekta</w:t>
      </w:r>
      <w:r w:rsidRPr="00370613">
        <w:rPr>
          <w:rFonts w:ascii="Arial" w:hAnsi="Arial" w:cs="Arial"/>
          <w:sz w:val="22"/>
          <w:szCs w:val="22"/>
        </w:rPr>
        <w:t xml:space="preserve"> "Istra bez karijesa". Oralno zdravlje ne samo da ima veliki utjecaj na kvalitetu života, već je i ključni dio cjelokupnog zdravlja svakog pojedinca</w:t>
      </w:r>
      <w:r w:rsidR="00D435A0" w:rsidRPr="00370613">
        <w:rPr>
          <w:rFonts w:ascii="Arial" w:hAnsi="Arial" w:cs="Arial"/>
          <w:sz w:val="22"/>
          <w:szCs w:val="22"/>
        </w:rPr>
        <w:t xml:space="preserve"> te je brigu o oralnom zdravlju neophodno voditi od najranije dobi.</w:t>
      </w:r>
    </w:p>
    <w:p w14:paraId="6662F73F" w14:textId="77777777" w:rsidR="00E4253D" w:rsidRDefault="00E4253D" w:rsidP="002555B9">
      <w:pPr>
        <w:jc w:val="both"/>
      </w:pPr>
    </w:p>
    <w:p w14:paraId="6ED2CF9B" w14:textId="7B6B81E4" w:rsidR="002555B9" w:rsidRPr="004F3556" w:rsidRDefault="002555B9" w:rsidP="002555B9">
      <w:pPr>
        <w:jc w:val="both"/>
        <w:rPr>
          <w:rFonts w:ascii="Arial" w:hAnsi="Arial" w:cs="Arial"/>
          <w:sz w:val="22"/>
          <w:szCs w:val="22"/>
        </w:rPr>
      </w:pPr>
      <w:r w:rsidRPr="004F3556">
        <w:rPr>
          <w:rFonts w:ascii="Arial" w:hAnsi="Arial" w:cs="Arial"/>
          <w:sz w:val="22"/>
          <w:szCs w:val="22"/>
        </w:rPr>
        <w:t>CILJ USPJEŠNOSTI - 2.2.6. Unaprjeđenje programa prevencije i ranog otkrivanja bolesti</w:t>
      </w:r>
    </w:p>
    <w:p w14:paraId="28734DD1" w14:textId="77777777" w:rsidR="002555B9" w:rsidRPr="004F3556" w:rsidRDefault="002555B9" w:rsidP="002555B9">
      <w:pPr>
        <w:jc w:val="both"/>
        <w:rPr>
          <w:rFonts w:ascii="Arial" w:hAnsi="Arial" w:cs="Arial"/>
          <w:sz w:val="22"/>
          <w:szCs w:val="22"/>
        </w:rPr>
      </w:pPr>
    </w:p>
    <w:p w14:paraId="6A7D22F7" w14:textId="77777777" w:rsidR="002555B9" w:rsidRPr="004F3556" w:rsidRDefault="002555B9" w:rsidP="002555B9">
      <w:pPr>
        <w:jc w:val="both"/>
        <w:rPr>
          <w:rFonts w:ascii="Arial" w:hAnsi="Arial" w:cs="Arial"/>
          <w:sz w:val="22"/>
          <w:szCs w:val="22"/>
        </w:rPr>
      </w:pPr>
      <w:r w:rsidRPr="004F3556">
        <w:rPr>
          <w:rFonts w:ascii="Arial" w:hAnsi="Arial" w:cs="Arial"/>
          <w:sz w:val="22"/>
          <w:szCs w:val="22"/>
        </w:rPr>
        <w:t>POKAZATELJI USPJEŠNOSTI</w:t>
      </w:r>
    </w:p>
    <w:tbl>
      <w:tblPr>
        <w:tblW w:w="9634" w:type="dxa"/>
        <w:jc w:val="center"/>
        <w:tblLayout w:type="fixed"/>
        <w:tblLook w:val="04A0" w:firstRow="1" w:lastRow="0" w:firstColumn="1" w:lastColumn="0" w:noHBand="0" w:noVBand="1"/>
      </w:tblPr>
      <w:tblGrid>
        <w:gridCol w:w="1413"/>
        <w:gridCol w:w="1701"/>
        <w:gridCol w:w="1276"/>
        <w:gridCol w:w="5244"/>
      </w:tblGrid>
      <w:tr w:rsidR="00370613" w:rsidRPr="00370613" w14:paraId="51D8A8B4" w14:textId="77777777" w:rsidTr="00370613">
        <w:trPr>
          <w:trHeight w:val="666"/>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5DB347FA" w14:textId="74090CD7" w:rsidR="0052172F" w:rsidRPr="00370613" w:rsidRDefault="0052172F" w:rsidP="0052172F">
            <w:pPr>
              <w:jc w:val="center"/>
              <w:rPr>
                <w:rFonts w:ascii="Arial" w:hAnsi="Arial" w:cs="Arial"/>
                <w:b/>
                <w:bCs/>
                <w:sz w:val="22"/>
                <w:szCs w:val="22"/>
              </w:rPr>
            </w:pPr>
            <w:r w:rsidRPr="00370613">
              <w:rPr>
                <w:rFonts w:ascii="Arial" w:hAnsi="Arial" w:cs="Arial"/>
                <w:b/>
                <w:bCs/>
                <w:sz w:val="22"/>
                <w:szCs w:val="22"/>
              </w:rPr>
              <w:t xml:space="preserve">Pokazatelj rezultata </w:t>
            </w:r>
          </w:p>
        </w:tc>
        <w:tc>
          <w:tcPr>
            <w:tcW w:w="1701"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41DD3164" w14:textId="6A6293C2" w:rsidR="0052172F" w:rsidRPr="00370613" w:rsidRDefault="0052172F" w:rsidP="0052172F">
            <w:pPr>
              <w:jc w:val="center"/>
              <w:rPr>
                <w:rFonts w:ascii="Arial" w:hAnsi="Arial" w:cs="Arial"/>
                <w:b/>
                <w:bCs/>
                <w:sz w:val="22"/>
                <w:szCs w:val="22"/>
              </w:rPr>
            </w:pPr>
            <w:r w:rsidRPr="00370613">
              <w:rPr>
                <w:rFonts w:ascii="Arial" w:hAnsi="Arial" w:cs="Arial"/>
                <w:b/>
                <w:bCs/>
                <w:sz w:val="22"/>
                <w:szCs w:val="22"/>
              </w:rPr>
              <w:t>Početna vrijednost</w:t>
            </w:r>
            <w:r w:rsidRPr="00370613">
              <w:rPr>
                <w:rFonts w:ascii="Arial" w:hAnsi="Arial" w:cs="Arial"/>
                <w:b/>
                <w:bCs/>
                <w:sz w:val="22"/>
                <w:szCs w:val="22"/>
              </w:rPr>
              <w:br/>
              <w:t>(2025.)</w:t>
            </w:r>
          </w:p>
        </w:tc>
        <w:tc>
          <w:tcPr>
            <w:tcW w:w="1276"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5DBC8E8F" w14:textId="32080565" w:rsidR="0052172F" w:rsidRPr="00370613" w:rsidRDefault="0052172F" w:rsidP="0052172F">
            <w:pPr>
              <w:jc w:val="center"/>
              <w:rPr>
                <w:rFonts w:ascii="Arial" w:hAnsi="Arial" w:cs="Arial"/>
                <w:b/>
                <w:bCs/>
                <w:sz w:val="22"/>
                <w:szCs w:val="22"/>
              </w:rPr>
            </w:pPr>
            <w:r w:rsidRPr="00370613">
              <w:rPr>
                <w:rFonts w:ascii="Arial" w:hAnsi="Arial" w:cs="Arial"/>
                <w:b/>
                <w:bCs/>
                <w:sz w:val="22"/>
                <w:szCs w:val="22"/>
              </w:rPr>
              <w:t>Ciljna</w:t>
            </w:r>
            <w:r w:rsidRPr="00370613">
              <w:rPr>
                <w:rFonts w:ascii="Arial" w:hAnsi="Arial" w:cs="Arial"/>
                <w:b/>
                <w:bCs/>
                <w:sz w:val="22"/>
                <w:szCs w:val="22"/>
              </w:rPr>
              <w:br/>
              <w:t>vrijednost</w:t>
            </w:r>
            <w:r w:rsidRPr="00370613">
              <w:rPr>
                <w:rFonts w:ascii="Arial" w:hAnsi="Arial" w:cs="Arial"/>
                <w:b/>
                <w:bCs/>
                <w:sz w:val="22"/>
                <w:szCs w:val="22"/>
              </w:rPr>
              <w:br/>
              <w:t>2025.</w:t>
            </w:r>
          </w:p>
        </w:tc>
        <w:tc>
          <w:tcPr>
            <w:tcW w:w="5244"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25B5FDDC" w14:textId="0818A9F5" w:rsidR="0052172F" w:rsidRPr="00370613" w:rsidRDefault="0052172F" w:rsidP="0052172F">
            <w:pPr>
              <w:jc w:val="center"/>
              <w:rPr>
                <w:rFonts w:ascii="Arial" w:hAnsi="Arial" w:cs="Arial"/>
                <w:b/>
                <w:bCs/>
                <w:sz w:val="22"/>
                <w:szCs w:val="22"/>
              </w:rPr>
            </w:pPr>
            <w:r w:rsidRPr="00370613">
              <w:rPr>
                <w:rFonts w:ascii="Arial" w:hAnsi="Arial" w:cs="Arial"/>
                <w:b/>
                <w:bCs/>
                <w:sz w:val="22"/>
                <w:szCs w:val="22"/>
              </w:rPr>
              <w:t>Ostvarena vrijednost u periodu 01.-12/2025.</w:t>
            </w:r>
          </w:p>
        </w:tc>
      </w:tr>
      <w:tr w:rsidR="00370613" w:rsidRPr="00370613" w14:paraId="176FF2F4" w14:textId="77777777" w:rsidTr="00370613">
        <w:trPr>
          <w:trHeight w:val="750"/>
          <w:jc w:val="center"/>
        </w:trPr>
        <w:tc>
          <w:tcPr>
            <w:tcW w:w="1413" w:type="dxa"/>
            <w:tcBorders>
              <w:top w:val="single" w:sz="4" w:space="0" w:color="000000"/>
              <w:left w:val="single" w:sz="4" w:space="0" w:color="000000"/>
              <w:bottom w:val="single" w:sz="4" w:space="0" w:color="auto"/>
              <w:right w:val="single" w:sz="4" w:space="0" w:color="000000"/>
            </w:tcBorders>
            <w:vAlign w:val="center"/>
          </w:tcPr>
          <w:p w14:paraId="7FCCDBAD" w14:textId="77777777" w:rsidR="002555B9" w:rsidRPr="00370613" w:rsidRDefault="002555B9" w:rsidP="002555B9">
            <w:pPr>
              <w:jc w:val="center"/>
              <w:rPr>
                <w:rFonts w:ascii="Arial" w:hAnsi="Arial" w:cs="Arial"/>
                <w:bCs/>
                <w:sz w:val="22"/>
                <w:szCs w:val="22"/>
              </w:rPr>
            </w:pPr>
            <w:r w:rsidRPr="00370613">
              <w:rPr>
                <w:rFonts w:ascii="Arial" w:hAnsi="Arial" w:cs="Arial"/>
                <w:bCs/>
                <w:sz w:val="22"/>
                <w:szCs w:val="22"/>
              </w:rPr>
              <w:t>Broj pregledane djece</w:t>
            </w:r>
          </w:p>
        </w:tc>
        <w:tc>
          <w:tcPr>
            <w:tcW w:w="1701" w:type="dxa"/>
            <w:tcBorders>
              <w:top w:val="single" w:sz="4" w:space="0" w:color="000000"/>
              <w:left w:val="nil"/>
              <w:bottom w:val="single" w:sz="4" w:space="0" w:color="auto"/>
              <w:right w:val="single" w:sz="4" w:space="0" w:color="000000"/>
            </w:tcBorders>
            <w:vAlign w:val="center"/>
          </w:tcPr>
          <w:p w14:paraId="71147754" w14:textId="3DE4735D" w:rsidR="002555B9" w:rsidRPr="00370613" w:rsidRDefault="002B573A" w:rsidP="002555B9">
            <w:pPr>
              <w:jc w:val="center"/>
              <w:rPr>
                <w:rFonts w:ascii="Arial" w:hAnsi="Arial" w:cs="Arial"/>
                <w:bCs/>
                <w:sz w:val="22"/>
                <w:szCs w:val="22"/>
              </w:rPr>
            </w:pPr>
            <w:r w:rsidRPr="00370613">
              <w:rPr>
                <w:rFonts w:ascii="Arial" w:hAnsi="Arial" w:cs="Arial"/>
                <w:bCs/>
                <w:sz w:val="22"/>
                <w:szCs w:val="22"/>
              </w:rPr>
              <w:t>1.200</w:t>
            </w:r>
          </w:p>
        </w:tc>
        <w:tc>
          <w:tcPr>
            <w:tcW w:w="1276" w:type="dxa"/>
            <w:tcBorders>
              <w:top w:val="single" w:sz="4" w:space="0" w:color="000000"/>
              <w:left w:val="nil"/>
              <w:bottom w:val="single" w:sz="4" w:space="0" w:color="auto"/>
              <w:right w:val="single" w:sz="4" w:space="0" w:color="000000"/>
            </w:tcBorders>
            <w:vAlign w:val="center"/>
          </w:tcPr>
          <w:p w14:paraId="3932B88B" w14:textId="2DE9B360" w:rsidR="002555B9" w:rsidRPr="00370613" w:rsidRDefault="002B573A" w:rsidP="002555B9">
            <w:pPr>
              <w:jc w:val="center"/>
              <w:rPr>
                <w:rFonts w:ascii="Arial" w:hAnsi="Arial" w:cs="Arial"/>
                <w:bCs/>
                <w:sz w:val="22"/>
                <w:szCs w:val="22"/>
              </w:rPr>
            </w:pPr>
            <w:r w:rsidRPr="00370613">
              <w:rPr>
                <w:rFonts w:ascii="Arial" w:hAnsi="Arial" w:cs="Arial"/>
                <w:bCs/>
                <w:sz w:val="22"/>
                <w:szCs w:val="22"/>
              </w:rPr>
              <w:t>1.250</w:t>
            </w:r>
          </w:p>
        </w:tc>
        <w:tc>
          <w:tcPr>
            <w:tcW w:w="5244" w:type="dxa"/>
            <w:tcBorders>
              <w:top w:val="single" w:sz="4" w:space="0" w:color="000000"/>
              <w:left w:val="nil"/>
              <w:bottom w:val="single" w:sz="4" w:space="0" w:color="auto"/>
              <w:right w:val="single" w:sz="4" w:space="0" w:color="000000"/>
            </w:tcBorders>
            <w:vAlign w:val="center"/>
          </w:tcPr>
          <w:p w14:paraId="69DE7D0B" w14:textId="31666FAD" w:rsidR="002555B9" w:rsidRPr="00370613" w:rsidRDefault="002555B9" w:rsidP="00823257">
            <w:pPr>
              <w:jc w:val="both"/>
              <w:rPr>
                <w:rFonts w:ascii="Arial" w:hAnsi="Arial" w:cs="Arial"/>
                <w:bCs/>
                <w:sz w:val="22"/>
                <w:szCs w:val="22"/>
              </w:rPr>
            </w:pPr>
            <w:r w:rsidRPr="00370613">
              <w:rPr>
                <w:rFonts w:ascii="Arial" w:hAnsi="Arial" w:cs="Arial"/>
                <w:bCs/>
                <w:sz w:val="22"/>
                <w:szCs w:val="22"/>
              </w:rPr>
              <w:t xml:space="preserve">Broj pregledane </w:t>
            </w:r>
            <w:r w:rsidR="00864580" w:rsidRPr="00370613">
              <w:rPr>
                <w:rFonts w:ascii="Arial" w:hAnsi="Arial" w:cs="Arial"/>
                <w:bCs/>
                <w:sz w:val="22"/>
                <w:szCs w:val="22"/>
              </w:rPr>
              <w:t xml:space="preserve">i educirane </w:t>
            </w:r>
            <w:r w:rsidRPr="00370613">
              <w:rPr>
                <w:rFonts w:ascii="Arial" w:hAnsi="Arial" w:cs="Arial"/>
                <w:bCs/>
                <w:sz w:val="22"/>
                <w:szCs w:val="22"/>
              </w:rPr>
              <w:t xml:space="preserve">djece </w:t>
            </w:r>
            <w:r w:rsidR="00864580" w:rsidRPr="00370613">
              <w:rPr>
                <w:rFonts w:ascii="Arial" w:hAnsi="Arial" w:cs="Arial"/>
                <w:bCs/>
                <w:sz w:val="22"/>
                <w:szCs w:val="22"/>
              </w:rPr>
              <w:t>veći od 1.500</w:t>
            </w:r>
            <w:r w:rsidRPr="00370613">
              <w:rPr>
                <w:rFonts w:ascii="Arial" w:hAnsi="Arial" w:cs="Arial"/>
                <w:bCs/>
                <w:sz w:val="22"/>
                <w:szCs w:val="22"/>
              </w:rPr>
              <w:t xml:space="preserve"> uz snimak stanja KP indeksa u gradovima i naseljima </w:t>
            </w:r>
            <w:r w:rsidR="00C911FD" w:rsidRPr="00370613">
              <w:rPr>
                <w:rFonts w:ascii="Arial" w:hAnsi="Arial" w:cs="Arial"/>
                <w:bCs/>
                <w:sz w:val="22"/>
                <w:szCs w:val="22"/>
              </w:rPr>
              <w:t>Pula, Rovinj, Pazin, Poreč, Buje, Umag, Višnjan, Brtonigla, Oprtalj, Medulin, Vodnjan</w:t>
            </w:r>
            <w:r w:rsidR="002B573A" w:rsidRPr="00370613">
              <w:rPr>
                <w:rFonts w:ascii="Arial" w:hAnsi="Arial" w:cs="Arial"/>
                <w:bCs/>
                <w:sz w:val="22"/>
                <w:szCs w:val="22"/>
              </w:rPr>
              <w:t xml:space="preserve">, </w:t>
            </w:r>
            <w:r w:rsidR="00C911FD" w:rsidRPr="00370613">
              <w:rPr>
                <w:rFonts w:ascii="Arial" w:hAnsi="Arial" w:cs="Arial"/>
                <w:bCs/>
                <w:sz w:val="22"/>
                <w:szCs w:val="22"/>
              </w:rPr>
              <w:t>Fažana</w:t>
            </w:r>
            <w:r w:rsidR="002B573A" w:rsidRPr="00370613">
              <w:rPr>
                <w:rFonts w:ascii="Arial" w:hAnsi="Arial" w:cs="Arial"/>
                <w:bCs/>
                <w:sz w:val="22"/>
                <w:szCs w:val="22"/>
              </w:rPr>
              <w:t xml:space="preserve">, Svetvinčenat, </w:t>
            </w:r>
            <w:proofErr w:type="spellStart"/>
            <w:r w:rsidR="002B573A" w:rsidRPr="00370613">
              <w:rPr>
                <w:rFonts w:ascii="Arial" w:hAnsi="Arial" w:cs="Arial"/>
                <w:bCs/>
                <w:sz w:val="22"/>
                <w:szCs w:val="22"/>
              </w:rPr>
              <w:t>Vižinada</w:t>
            </w:r>
            <w:proofErr w:type="spellEnd"/>
            <w:r w:rsidR="002B573A" w:rsidRPr="00370613">
              <w:rPr>
                <w:rFonts w:ascii="Arial" w:hAnsi="Arial" w:cs="Arial"/>
                <w:bCs/>
                <w:sz w:val="22"/>
                <w:szCs w:val="22"/>
              </w:rPr>
              <w:t xml:space="preserve"> i Žminj.</w:t>
            </w:r>
          </w:p>
        </w:tc>
      </w:tr>
    </w:tbl>
    <w:p w14:paraId="3CC839F5" w14:textId="77777777" w:rsidR="002555B9" w:rsidRPr="004F3556" w:rsidRDefault="002555B9" w:rsidP="002555B9">
      <w:pPr>
        <w:jc w:val="both"/>
        <w:rPr>
          <w:rFonts w:ascii="Arial" w:hAnsi="Arial" w:cs="Arial"/>
          <w:sz w:val="22"/>
          <w:szCs w:val="22"/>
        </w:rPr>
      </w:pPr>
    </w:p>
    <w:p w14:paraId="68643222" w14:textId="77777777" w:rsidR="002555B9" w:rsidRPr="004F3556" w:rsidRDefault="002555B9" w:rsidP="002555B9">
      <w:pPr>
        <w:jc w:val="both"/>
        <w:rPr>
          <w:rFonts w:ascii="Arial" w:hAnsi="Arial" w:cs="Arial"/>
          <w:sz w:val="22"/>
          <w:szCs w:val="22"/>
        </w:rPr>
      </w:pPr>
    </w:p>
    <w:p w14:paraId="66E44327" w14:textId="77777777" w:rsidR="002555B9" w:rsidRPr="004F3556" w:rsidRDefault="002555B9" w:rsidP="00887B83">
      <w:pPr>
        <w:pStyle w:val="Odlomakpopisa"/>
        <w:numPr>
          <w:ilvl w:val="1"/>
          <w:numId w:val="42"/>
        </w:numPr>
        <w:jc w:val="both"/>
        <w:rPr>
          <w:rFonts w:ascii="Arial" w:hAnsi="Arial" w:cs="Arial"/>
          <w:b/>
        </w:rPr>
      </w:pPr>
      <w:r w:rsidRPr="004F3556">
        <w:rPr>
          <w:rFonts w:ascii="Arial" w:hAnsi="Arial" w:cs="Arial"/>
          <w:b/>
        </w:rPr>
        <w:t>Onkološka terapija u PZZ (A420403)</w:t>
      </w:r>
    </w:p>
    <w:p w14:paraId="5DF11239" w14:textId="77777777" w:rsidR="002555B9" w:rsidRPr="004F3556" w:rsidRDefault="002555B9" w:rsidP="002555B9">
      <w:pPr>
        <w:pStyle w:val="Odlomakpopisa"/>
        <w:jc w:val="both"/>
        <w:rPr>
          <w:rFonts w:ascii="Arial" w:hAnsi="Arial" w:cs="Arial"/>
          <w:b/>
        </w:rPr>
      </w:pPr>
    </w:p>
    <w:p w14:paraId="0454F37F" w14:textId="38D7CB3E" w:rsidR="002555B9" w:rsidRPr="00370613" w:rsidRDefault="00186875" w:rsidP="00370613">
      <w:pPr>
        <w:spacing w:line="276" w:lineRule="auto"/>
        <w:jc w:val="both"/>
        <w:rPr>
          <w:rFonts w:ascii="Arial" w:hAnsi="Arial" w:cs="Arial"/>
          <w:sz w:val="22"/>
          <w:szCs w:val="22"/>
        </w:rPr>
      </w:pPr>
      <w:r w:rsidRPr="00370613">
        <w:rPr>
          <w:rFonts w:ascii="Arial" w:hAnsi="Arial" w:cs="Arial"/>
          <w:sz w:val="22"/>
          <w:szCs w:val="22"/>
        </w:rPr>
        <w:t>Aktivnost Onkološka terapija u PZZ omogućava onkološkim bolesnicima primanje hormonalne, imuno i kemoterapije u mjestu njihovog stanovanja bez potrebe odlaska u OB Pula što osobito pogoduje bolesnicima koji žive u udaljenim dijelovima Istre te im je zbog prirode bolesti otežano stalno putovanje u bolnicu kako bi primili potrebnu terapiju. Zdravstveni djelatnici koji su uključeni u davanje terapije educiraju se na odjelu onkologije u OB Pula, koji je uvijek dostupan za sva dodatna savjetovanja, kako bi se omogućila provedba ove aktivnosti.</w:t>
      </w:r>
    </w:p>
    <w:p w14:paraId="4A0DF9FF" w14:textId="77777777" w:rsidR="002555B9" w:rsidRPr="004F3556" w:rsidRDefault="002555B9" w:rsidP="002555B9">
      <w:pPr>
        <w:jc w:val="both"/>
        <w:rPr>
          <w:rFonts w:ascii="Arial" w:hAnsi="Arial" w:cs="Arial"/>
          <w:b/>
          <w:sz w:val="22"/>
          <w:szCs w:val="22"/>
        </w:rPr>
      </w:pPr>
    </w:p>
    <w:p w14:paraId="153C8195" w14:textId="77777777" w:rsidR="002555B9" w:rsidRPr="004F3556" w:rsidRDefault="002555B9" w:rsidP="002555B9">
      <w:pPr>
        <w:ind w:left="2410" w:hanging="2410"/>
        <w:jc w:val="both"/>
        <w:rPr>
          <w:rFonts w:ascii="Arial" w:hAnsi="Arial" w:cs="Arial"/>
          <w:sz w:val="22"/>
          <w:szCs w:val="22"/>
        </w:rPr>
      </w:pPr>
      <w:r w:rsidRPr="004F3556">
        <w:rPr>
          <w:rFonts w:ascii="Arial" w:hAnsi="Arial" w:cs="Arial"/>
          <w:sz w:val="22"/>
          <w:szCs w:val="22"/>
        </w:rPr>
        <w:t>CILJ USPJEŠNOSTI - 2.2.1. Uvođenje i korištenje novih tehnologija u prevenciji, ranom otkrivanju, liječenju i rehabilitaciji</w:t>
      </w:r>
    </w:p>
    <w:p w14:paraId="07504869" w14:textId="77777777" w:rsidR="00370613" w:rsidRDefault="00370613" w:rsidP="002555B9">
      <w:pPr>
        <w:jc w:val="both"/>
        <w:rPr>
          <w:rFonts w:ascii="Arial" w:hAnsi="Arial" w:cs="Arial"/>
          <w:sz w:val="22"/>
          <w:szCs w:val="22"/>
        </w:rPr>
      </w:pPr>
    </w:p>
    <w:p w14:paraId="429CE959" w14:textId="4F44391F" w:rsidR="002555B9" w:rsidRPr="004F3556" w:rsidRDefault="002555B9" w:rsidP="002555B9">
      <w:pPr>
        <w:jc w:val="both"/>
        <w:rPr>
          <w:rFonts w:ascii="Arial" w:hAnsi="Arial" w:cs="Arial"/>
          <w:sz w:val="22"/>
          <w:szCs w:val="22"/>
        </w:rPr>
      </w:pPr>
      <w:r w:rsidRPr="004F3556">
        <w:rPr>
          <w:rFonts w:ascii="Arial" w:hAnsi="Arial" w:cs="Arial"/>
          <w:sz w:val="22"/>
          <w:szCs w:val="22"/>
        </w:rPr>
        <w:t>POKAZATELJI USPJEŠNOSTI</w:t>
      </w:r>
    </w:p>
    <w:tbl>
      <w:tblPr>
        <w:tblW w:w="9635" w:type="dxa"/>
        <w:jc w:val="center"/>
        <w:tblLayout w:type="fixed"/>
        <w:tblLook w:val="04A0" w:firstRow="1" w:lastRow="0" w:firstColumn="1" w:lastColumn="0" w:noHBand="0" w:noVBand="1"/>
      </w:tblPr>
      <w:tblGrid>
        <w:gridCol w:w="1980"/>
        <w:gridCol w:w="1559"/>
        <w:gridCol w:w="1276"/>
        <w:gridCol w:w="4820"/>
      </w:tblGrid>
      <w:tr w:rsidR="00370613" w:rsidRPr="00370613" w14:paraId="4CE8A67D" w14:textId="77777777" w:rsidTr="00650B14">
        <w:trPr>
          <w:trHeight w:val="449"/>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18B0DC71" w14:textId="27C3BE76" w:rsidR="0052172F" w:rsidRPr="00370613" w:rsidRDefault="0052172F" w:rsidP="0052172F">
            <w:pPr>
              <w:jc w:val="center"/>
              <w:rPr>
                <w:rFonts w:ascii="Arial" w:hAnsi="Arial" w:cs="Arial"/>
                <w:b/>
                <w:bCs/>
                <w:sz w:val="22"/>
                <w:szCs w:val="22"/>
              </w:rPr>
            </w:pPr>
            <w:r w:rsidRPr="00370613">
              <w:rPr>
                <w:rFonts w:ascii="Arial" w:hAnsi="Arial" w:cs="Arial"/>
                <w:b/>
                <w:bCs/>
                <w:sz w:val="22"/>
                <w:szCs w:val="22"/>
              </w:rPr>
              <w:t xml:space="preserve">Pokazatelj rezultata </w:t>
            </w:r>
          </w:p>
        </w:tc>
        <w:tc>
          <w:tcPr>
            <w:tcW w:w="1559"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54059E1C" w14:textId="78016E7B" w:rsidR="0052172F" w:rsidRPr="00370613" w:rsidRDefault="0052172F" w:rsidP="0052172F">
            <w:pPr>
              <w:jc w:val="center"/>
              <w:rPr>
                <w:rFonts w:ascii="Arial" w:hAnsi="Arial" w:cs="Arial"/>
                <w:b/>
                <w:bCs/>
                <w:sz w:val="22"/>
                <w:szCs w:val="22"/>
              </w:rPr>
            </w:pPr>
            <w:r w:rsidRPr="00370613">
              <w:rPr>
                <w:rFonts w:ascii="Arial" w:hAnsi="Arial" w:cs="Arial"/>
                <w:b/>
                <w:bCs/>
                <w:sz w:val="22"/>
                <w:szCs w:val="22"/>
              </w:rPr>
              <w:t>Početna vrijednost</w:t>
            </w:r>
            <w:r w:rsidRPr="00370613">
              <w:rPr>
                <w:rFonts w:ascii="Arial" w:hAnsi="Arial" w:cs="Arial"/>
                <w:b/>
                <w:bCs/>
                <w:sz w:val="22"/>
                <w:szCs w:val="22"/>
              </w:rPr>
              <w:br/>
              <w:t>(2025.)</w:t>
            </w:r>
          </w:p>
        </w:tc>
        <w:tc>
          <w:tcPr>
            <w:tcW w:w="1276"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768F87D0" w14:textId="75FBCFF9" w:rsidR="0052172F" w:rsidRPr="00370613" w:rsidRDefault="0052172F" w:rsidP="0052172F">
            <w:pPr>
              <w:jc w:val="center"/>
              <w:rPr>
                <w:rFonts w:ascii="Arial" w:hAnsi="Arial" w:cs="Arial"/>
                <w:b/>
                <w:bCs/>
                <w:sz w:val="22"/>
                <w:szCs w:val="22"/>
              </w:rPr>
            </w:pPr>
            <w:r w:rsidRPr="00370613">
              <w:rPr>
                <w:rFonts w:ascii="Arial" w:hAnsi="Arial" w:cs="Arial"/>
                <w:b/>
                <w:bCs/>
                <w:sz w:val="22"/>
                <w:szCs w:val="22"/>
              </w:rPr>
              <w:t>Ciljna</w:t>
            </w:r>
            <w:r w:rsidRPr="00370613">
              <w:rPr>
                <w:rFonts w:ascii="Arial" w:hAnsi="Arial" w:cs="Arial"/>
                <w:b/>
                <w:bCs/>
                <w:sz w:val="22"/>
                <w:szCs w:val="22"/>
              </w:rPr>
              <w:br/>
              <w:t>vrijednost</w:t>
            </w:r>
            <w:r w:rsidRPr="00370613">
              <w:rPr>
                <w:rFonts w:ascii="Arial" w:hAnsi="Arial" w:cs="Arial"/>
                <w:b/>
                <w:bCs/>
                <w:sz w:val="22"/>
                <w:szCs w:val="22"/>
              </w:rPr>
              <w:br/>
              <w:t>2025.</w:t>
            </w:r>
          </w:p>
        </w:tc>
        <w:tc>
          <w:tcPr>
            <w:tcW w:w="4820"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7B5A2920" w14:textId="6D2C7ADD" w:rsidR="0052172F" w:rsidRPr="00370613" w:rsidRDefault="0052172F" w:rsidP="0052172F">
            <w:pPr>
              <w:jc w:val="center"/>
              <w:rPr>
                <w:rFonts w:ascii="Arial" w:hAnsi="Arial" w:cs="Arial"/>
                <w:b/>
                <w:bCs/>
                <w:sz w:val="22"/>
                <w:szCs w:val="22"/>
              </w:rPr>
            </w:pPr>
            <w:r w:rsidRPr="00370613">
              <w:rPr>
                <w:rFonts w:ascii="Arial" w:hAnsi="Arial" w:cs="Arial"/>
                <w:b/>
                <w:bCs/>
                <w:sz w:val="22"/>
                <w:szCs w:val="22"/>
              </w:rPr>
              <w:t>Ostvarena vrijednost u periodu 01.-12/2025.</w:t>
            </w:r>
          </w:p>
        </w:tc>
      </w:tr>
      <w:tr w:rsidR="00370613" w:rsidRPr="00370613" w14:paraId="763C1FB3" w14:textId="77777777" w:rsidTr="00370613">
        <w:trPr>
          <w:trHeight w:val="1237"/>
          <w:jc w:val="center"/>
        </w:trPr>
        <w:tc>
          <w:tcPr>
            <w:tcW w:w="1980" w:type="dxa"/>
            <w:tcBorders>
              <w:top w:val="single" w:sz="4" w:space="0" w:color="auto"/>
              <w:left w:val="single" w:sz="4" w:space="0" w:color="auto"/>
              <w:bottom w:val="single" w:sz="4" w:space="0" w:color="auto"/>
              <w:right w:val="single" w:sz="4" w:space="0" w:color="auto"/>
            </w:tcBorders>
            <w:shd w:val="clear" w:color="FFFFFF" w:fill="FFFFFF"/>
            <w:vAlign w:val="center"/>
          </w:tcPr>
          <w:p w14:paraId="1447D89D" w14:textId="77777777" w:rsidR="002555B9" w:rsidRPr="00370613" w:rsidRDefault="002555B9" w:rsidP="002555B9">
            <w:pPr>
              <w:jc w:val="center"/>
              <w:rPr>
                <w:rFonts w:ascii="Arial" w:hAnsi="Arial" w:cs="Arial"/>
                <w:sz w:val="22"/>
                <w:szCs w:val="22"/>
              </w:rPr>
            </w:pPr>
            <w:r w:rsidRPr="00370613">
              <w:rPr>
                <w:rFonts w:ascii="Arial" w:hAnsi="Arial" w:cs="Arial"/>
                <w:sz w:val="22"/>
                <w:szCs w:val="22"/>
              </w:rPr>
              <w:t>Broj pruženih usluga onkološkim pacijentima</w:t>
            </w:r>
          </w:p>
        </w:tc>
        <w:tc>
          <w:tcPr>
            <w:tcW w:w="1559" w:type="dxa"/>
            <w:tcBorders>
              <w:top w:val="single" w:sz="4" w:space="0" w:color="auto"/>
              <w:left w:val="single" w:sz="4" w:space="0" w:color="auto"/>
              <w:bottom w:val="single" w:sz="4" w:space="0" w:color="auto"/>
              <w:right w:val="single" w:sz="4" w:space="0" w:color="auto"/>
            </w:tcBorders>
            <w:shd w:val="clear" w:color="FFFFFF" w:fill="FFFFFF"/>
            <w:vAlign w:val="center"/>
          </w:tcPr>
          <w:p w14:paraId="234DB24A" w14:textId="5AEEC817" w:rsidR="002555B9" w:rsidRPr="00370613" w:rsidRDefault="00AD77E5" w:rsidP="002555B9">
            <w:pPr>
              <w:jc w:val="center"/>
              <w:rPr>
                <w:rFonts w:ascii="Arial" w:hAnsi="Arial" w:cs="Arial"/>
                <w:sz w:val="22"/>
                <w:szCs w:val="22"/>
              </w:rPr>
            </w:pPr>
            <w:r w:rsidRPr="00370613">
              <w:rPr>
                <w:rFonts w:ascii="Arial" w:hAnsi="Arial" w:cs="Arial"/>
                <w:sz w:val="22"/>
                <w:szCs w:val="22"/>
              </w:rPr>
              <w:t>100</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76BD7DA6" w14:textId="2418D4BB" w:rsidR="002555B9" w:rsidRPr="00370613" w:rsidRDefault="00AD77E5" w:rsidP="002555B9">
            <w:pPr>
              <w:jc w:val="center"/>
              <w:rPr>
                <w:rFonts w:ascii="Arial" w:hAnsi="Arial" w:cs="Arial"/>
                <w:sz w:val="22"/>
                <w:szCs w:val="22"/>
              </w:rPr>
            </w:pPr>
            <w:r w:rsidRPr="00370613">
              <w:rPr>
                <w:rFonts w:ascii="Arial" w:hAnsi="Arial" w:cs="Arial"/>
                <w:sz w:val="22"/>
                <w:szCs w:val="22"/>
              </w:rPr>
              <w:t>120</w:t>
            </w:r>
          </w:p>
        </w:tc>
        <w:tc>
          <w:tcPr>
            <w:tcW w:w="4820" w:type="dxa"/>
            <w:tcBorders>
              <w:top w:val="single" w:sz="4" w:space="0" w:color="auto"/>
              <w:left w:val="single" w:sz="4" w:space="0" w:color="auto"/>
              <w:bottom w:val="single" w:sz="4" w:space="0" w:color="auto"/>
              <w:right w:val="single" w:sz="4" w:space="0" w:color="auto"/>
            </w:tcBorders>
            <w:shd w:val="clear" w:color="FFFFFF" w:fill="FFFFFF"/>
            <w:vAlign w:val="center"/>
          </w:tcPr>
          <w:p w14:paraId="5E8A2F0E" w14:textId="76DA5BC6" w:rsidR="002555B9" w:rsidRPr="00370613" w:rsidRDefault="00864580" w:rsidP="002555B9">
            <w:pPr>
              <w:jc w:val="center"/>
              <w:rPr>
                <w:rFonts w:ascii="Arial" w:hAnsi="Arial" w:cs="Arial"/>
                <w:sz w:val="22"/>
                <w:szCs w:val="22"/>
              </w:rPr>
            </w:pPr>
            <w:r w:rsidRPr="00370613">
              <w:rPr>
                <w:rFonts w:ascii="Arial" w:hAnsi="Arial" w:cs="Arial"/>
                <w:sz w:val="22"/>
                <w:szCs w:val="22"/>
              </w:rPr>
              <w:t xml:space="preserve">U terapiju uključeno </w:t>
            </w:r>
            <w:r w:rsidR="00370613">
              <w:rPr>
                <w:rFonts w:ascii="Arial" w:hAnsi="Arial" w:cs="Arial"/>
                <w:sz w:val="22"/>
                <w:szCs w:val="22"/>
              </w:rPr>
              <w:t xml:space="preserve">prosječno </w:t>
            </w:r>
            <w:r w:rsidR="00AD77E5" w:rsidRPr="00370613">
              <w:rPr>
                <w:rFonts w:ascii="Arial" w:hAnsi="Arial" w:cs="Arial"/>
                <w:sz w:val="22"/>
                <w:szCs w:val="22"/>
              </w:rPr>
              <w:t>10</w:t>
            </w:r>
            <w:r w:rsidRPr="00370613">
              <w:rPr>
                <w:rFonts w:ascii="Arial" w:hAnsi="Arial" w:cs="Arial"/>
                <w:sz w:val="22"/>
                <w:szCs w:val="22"/>
              </w:rPr>
              <w:t xml:space="preserve"> onkoloških pacijenata mjesečno. Ukupno obavljeno 1</w:t>
            </w:r>
            <w:r w:rsidR="00AD77E5" w:rsidRPr="00370613">
              <w:rPr>
                <w:rFonts w:ascii="Arial" w:hAnsi="Arial" w:cs="Arial"/>
                <w:sz w:val="22"/>
                <w:szCs w:val="22"/>
              </w:rPr>
              <w:t>84</w:t>
            </w:r>
            <w:r w:rsidRPr="00370613">
              <w:rPr>
                <w:rFonts w:ascii="Arial" w:hAnsi="Arial" w:cs="Arial"/>
                <w:sz w:val="22"/>
                <w:szCs w:val="22"/>
              </w:rPr>
              <w:t xml:space="preserve"> postupka</w:t>
            </w:r>
            <w:r w:rsidR="002555B9" w:rsidRPr="00370613">
              <w:rPr>
                <w:rFonts w:ascii="Arial" w:hAnsi="Arial" w:cs="Arial"/>
                <w:sz w:val="22"/>
                <w:szCs w:val="22"/>
              </w:rPr>
              <w:t xml:space="preserve"> (</w:t>
            </w:r>
            <w:r w:rsidR="00AD77E5" w:rsidRPr="00370613">
              <w:rPr>
                <w:rFonts w:ascii="Arial" w:hAnsi="Arial" w:cs="Arial"/>
                <w:iCs/>
                <w:sz w:val="22"/>
                <w:szCs w:val="22"/>
              </w:rPr>
              <w:t xml:space="preserve">skidanje </w:t>
            </w:r>
            <w:proofErr w:type="spellStart"/>
            <w:r w:rsidR="00AD77E5" w:rsidRPr="00370613">
              <w:rPr>
                <w:rFonts w:ascii="Arial" w:hAnsi="Arial" w:cs="Arial"/>
                <w:iCs/>
                <w:sz w:val="22"/>
                <w:szCs w:val="22"/>
              </w:rPr>
              <w:t>elastomerskih</w:t>
            </w:r>
            <w:proofErr w:type="spellEnd"/>
            <w:r w:rsidR="00AD77E5" w:rsidRPr="00370613">
              <w:rPr>
                <w:rFonts w:ascii="Arial" w:hAnsi="Arial" w:cs="Arial"/>
                <w:iCs/>
                <w:sz w:val="22"/>
                <w:szCs w:val="22"/>
              </w:rPr>
              <w:t xml:space="preserve"> pumpi, ispiranje porta, davanje terapije, infuzije i davanje parenteralne prehrane na port</w:t>
            </w:r>
            <w:r w:rsidR="002555B9" w:rsidRPr="00370613">
              <w:rPr>
                <w:rFonts w:ascii="Arial" w:hAnsi="Arial" w:cs="Arial"/>
                <w:sz w:val="22"/>
                <w:szCs w:val="22"/>
              </w:rPr>
              <w:t>)</w:t>
            </w:r>
          </w:p>
        </w:tc>
      </w:tr>
    </w:tbl>
    <w:p w14:paraId="7B98FA47" w14:textId="77777777" w:rsidR="002555B9" w:rsidRPr="004F3556" w:rsidRDefault="002555B9" w:rsidP="002555B9">
      <w:pPr>
        <w:jc w:val="both"/>
        <w:rPr>
          <w:rFonts w:ascii="Arial" w:hAnsi="Arial" w:cs="Arial"/>
          <w:b/>
          <w:sz w:val="22"/>
          <w:szCs w:val="22"/>
        </w:rPr>
      </w:pPr>
    </w:p>
    <w:p w14:paraId="36C6777F" w14:textId="77777777" w:rsidR="002555B9" w:rsidRPr="004F3556" w:rsidRDefault="002555B9" w:rsidP="002555B9">
      <w:pPr>
        <w:pStyle w:val="Odlomakpopisa"/>
        <w:jc w:val="both"/>
        <w:rPr>
          <w:rFonts w:ascii="Arial" w:hAnsi="Arial" w:cs="Arial"/>
          <w:b/>
        </w:rPr>
      </w:pPr>
    </w:p>
    <w:p w14:paraId="76E306CB" w14:textId="77777777" w:rsidR="002555B9" w:rsidRPr="004F3556" w:rsidRDefault="002555B9" w:rsidP="00887B83">
      <w:pPr>
        <w:pStyle w:val="Odlomakpopisa"/>
        <w:numPr>
          <w:ilvl w:val="1"/>
          <w:numId w:val="42"/>
        </w:numPr>
        <w:jc w:val="both"/>
        <w:rPr>
          <w:rFonts w:ascii="Arial" w:hAnsi="Arial" w:cs="Arial"/>
          <w:b/>
        </w:rPr>
      </w:pPr>
      <w:r w:rsidRPr="004F3556">
        <w:rPr>
          <w:rFonts w:ascii="Arial" w:hAnsi="Arial" w:cs="Arial"/>
          <w:b/>
        </w:rPr>
        <w:t>Posebno pedijatrijsko dežurstvo (A420438)</w:t>
      </w:r>
    </w:p>
    <w:p w14:paraId="0FD61A75" w14:textId="6D93E224" w:rsidR="00B42928" w:rsidRPr="00370613" w:rsidRDefault="00B42928" w:rsidP="00370613">
      <w:pPr>
        <w:spacing w:before="100" w:beforeAutospacing="1" w:after="100" w:afterAutospacing="1" w:line="276" w:lineRule="auto"/>
        <w:jc w:val="both"/>
        <w:rPr>
          <w:rFonts w:ascii="Arial" w:hAnsi="Arial" w:cs="Arial"/>
          <w:sz w:val="22"/>
          <w:szCs w:val="22"/>
        </w:rPr>
      </w:pPr>
      <w:r w:rsidRPr="00370613">
        <w:rPr>
          <w:rFonts w:ascii="Arial" w:hAnsi="Arial" w:cs="Arial"/>
          <w:sz w:val="22"/>
          <w:szCs w:val="22"/>
        </w:rPr>
        <w:t>Posebno pedijatrijsko dežurstvo organizirano je unutar hitne ambulante pri hitnom prijemu OB Pula, a aktivno je u vrijeme kada pedijatrijske ordinacije PZZ-a nisu dostupne, odnosno nedjeljom i praznicima. Osiguranje dostupnosti pedijatrijske zdravstvene skrbi ključno je za prevenciju i izbjegavanje potencijalnih prijetnji zdravlju i životu djece. U rad ove ambulante posebnog dežurstva uključeni su zdravstveni radnici Istarskih domova zdravlja, koncesionari te liječnici i medicinske sestre iz OB Pula čiju naknadu za rad sufinancira Istarska županija.</w:t>
      </w:r>
    </w:p>
    <w:p w14:paraId="4F3E3B3A" w14:textId="77777777" w:rsidR="002555B9" w:rsidRPr="004F3556" w:rsidRDefault="002555B9" w:rsidP="002555B9">
      <w:pPr>
        <w:ind w:left="2410" w:hanging="2410"/>
        <w:jc w:val="both"/>
        <w:rPr>
          <w:rFonts w:ascii="Arial" w:hAnsi="Arial" w:cs="Arial"/>
          <w:sz w:val="22"/>
          <w:szCs w:val="22"/>
        </w:rPr>
      </w:pPr>
      <w:r w:rsidRPr="004F3556">
        <w:rPr>
          <w:rFonts w:ascii="Arial" w:hAnsi="Arial" w:cs="Arial"/>
          <w:sz w:val="22"/>
          <w:szCs w:val="22"/>
        </w:rPr>
        <w:lastRenderedPageBreak/>
        <w:t>CILJ USPJEŠNOSTI - 2.2.1. Uvođenje i korištenje novih tehnologija u prevenciji, ranom otkrivanju, liječenju i rehabilitaciji</w:t>
      </w:r>
    </w:p>
    <w:p w14:paraId="61A8958A" w14:textId="77777777" w:rsidR="00650B14" w:rsidRPr="004F3556" w:rsidRDefault="00650B14" w:rsidP="00B42928">
      <w:pPr>
        <w:jc w:val="both"/>
        <w:rPr>
          <w:rFonts w:ascii="Arial" w:hAnsi="Arial" w:cs="Arial"/>
          <w:sz w:val="22"/>
          <w:szCs w:val="22"/>
        </w:rPr>
      </w:pPr>
    </w:p>
    <w:p w14:paraId="55FDCDE1" w14:textId="77777777" w:rsidR="002555B9" w:rsidRPr="004F3556" w:rsidRDefault="002555B9" w:rsidP="002555B9">
      <w:pPr>
        <w:jc w:val="both"/>
        <w:rPr>
          <w:rFonts w:ascii="Arial" w:hAnsi="Arial" w:cs="Arial"/>
          <w:sz w:val="22"/>
          <w:szCs w:val="22"/>
        </w:rPr>
      </w:pPr>
      <w:r w:rsidRPr="004F3556">
        <w:rPr>
          <w:rFonts w:ascii="Arial" w:hAnsi="Arial" w:cs="Arial"/>
          <w:sz w:val="22"/>
          <w:szCs w:val="22"/>
        </w:rPr>
        <w:t>POKAZATELJI USPJEŠNOSTI</w:t>
      </w:r>
    </w:p>
    <w:tbl>
      <w:tblPr>
        <w:tblW w:w="9493" w:type="dxa"/>
        <w:jc w:val="center"/>
        <w:tblLayout w:type="fixed"/>
        <w:tblLook w:val="04A0" w:firstRow="1" w:lastRow="0" w:firstColumn="1" w:lastColumn="0" w:noHBand="0" w:noVBand="1"/>
      </w:tblPr>
      <w:tblGrid>
        <w:gridCol w:w="1980"/>
        <w:gridCol w:w="2268"/>
        <w:gridCol w:w="2410"/>
        <w:gridCol w:w="2835"/>
      </w:tblGrid>
      <w:tr w:rsidR="00370613" w:rsidRPr="00370613" w14:paraId="195D6A53" w14:textId="77777777" w:rsidTr="00370613">
        <w:trPr>
          <w:trHeight w:val="449"/>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04D01FDC" w14:textId="6159CB31" w:rsidR="0052172F" w:rsidRPr="00370613" w:rsidRDefault="0052172F" w:rsidP="0052172F">
            <w:pPr>
              <w:jc w:val="center"/>
              <w:rPr>
                <w:rFonts w:ascii="Arial" w:hAnsi="Arial" w:cs="Arial"/>
                <w:b/>
                <w:bCs/>
                <w:sz w:val="22"/>
                <w:szCs w:val="22"/>
              </w:rPr>
            </w:pPr>
            <w:r w:rsidRPr="00370613">
              <w:rPr>
                <w:rFonts w:ascii="Arial" w:hAnsi="Arial" w:cs="Arial"/>
                <w:b/>
                <w:bCs/>
                <w:sz w:val="22"/>
                <w:szCs w:val="22"/>
              </w:rPr>
              <w:t xml:space="preserve">Pokazatelj rezultata </w:t>
            </w:r>
          </w:p>
        </w:tc>
        <w:tc>
          <w:tcPr>
            <w:tcW w:w="2268"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3F62FCB6" w14:textId="20B60E87" w:rsidR="0052172F" w:rsidRPr="00370613" w:rsidRDefault="0052172F" w:rsidP="0052172F">
            <w:pPr>
              <w:jc w:val="center"/>
              <w:rPr>
                <w:rFonts w:ascii="Arial" w:hAnsi="Arial" w:cs="Arial"/>
                <w:b/>
                <w:bCs/>
                <w:sz w:val="22"/>
                <w:szCs w:val="22"/>
              </w:rPr>
            </w:pPr>
            <w:r w:rsidRPr="00370613">
              <w:rPr>
                <w:rFonts w:ascii="Arial" w:hAnsi="Arial" w:cs="Arial"/>
                <w:b/>
                <w:bCs/>
                <w:sz w:val="22"/>
                <w:szCs w:val="22"/>
              </w:rPr>
              <w:t>Početna vrijednost</w:t>
            </w:r>
            <w:r w:rsidRPr="00370613">
              <w:rPr>
                <w:rFonts w:ascii="Arial" w:hAnsi="Arial" w:cs="Arial"/>
                <w:b/>
                <w:bCs/>
                <w:sz w:val="22"/>
                <w:szCs w:val="22"/>
              </w:rPr>
              <w:br/>
              <w:t>(2025.)</w:t>
            </w:r>
          </w:p>
        </w:tc>
        <w:tc>
          <w:tcPr>
            <w:tcW w:w="2410"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53859806" w14:textId="65025958" w:rsidR="0052172F" w:rsidRPr="00370613" w:rsidRDefault="0052172F" w:rsidP="0052172F">
            <w:pPr>
              <w:jc w:val="center"/>
              <w:rPr>
                <w:rFonts w:ascii="Arial" w:hAnsi="Arial" w:cs="Arial"/>
                <w:b/>
                <w:bCs/>
                <w:sz w:val="22"/>
                <w:szCs w:val="22"/>
              </w:rPr>
            </w:pPr>
            <w:r w:rsidRPr="00370613">
              <w:rPr>
                <w:rFonts w:ascii="Arial" w:hAnsi="Arial" w:cs="Arial"/>
                <w:b/>
                <w:bCs/>
                <w:sz w:val="22"/>
                <w:szCs w:val="22"/>
              </w:rPr>
              <w:t>Ciljna</w:t>
            </w:r>
            <w:r w:rsidRPr="00370613">
              <w:rPr>
                <w:rFonts w:ascii="Arial" w:hAnsi="Arial" w:cs="Arial"/>
                <w:b/>
                <w:bCs/>
                <w:sz w:val="22"/>
                <w:szCs w:val="22"/>
              </w:rPr>
              <w:br/>
              <w:t>vrijednost</w:t>
            </w:r>
            <w:r w:rsidRPr="00370613">
              <w:rPr>
                <w:rFonts w:ascii="Arial" w:hAnsi="Arial" w:cs="Arial"/>
                <w:b/>
                <w:bCs/>
                <w:sz w:val="22"/>
                <w:szCs w:val="22"/>
              </w:rPr>
              <w:br/>
              <w:t>2025.</w:t>
            </w:r>
          </w:p>
        </w:tc>
        <w:tc>
          <w:tcPr>
            <w:tcW w:w="2835"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47260A14" w14:textId="4774C3F8" w:rsidR="0052172F" w:rsidRPr="00370613" w:rsidRDefault="0052172F" w:rsidP="0052172F">
            <w:pPr>
              <w:jc w:val="center"/>
              <w:rPr>
                <w:rFonts w:ascii="Arial" w:hAnsi="Arial" w:cs="Arial"/>
                <w:b/>
                <w:bCs/>
                <w:sz w:val="22"/>
                <w:szCs w:val="22"/>
              </w:rPr>
            </w:pPr>
            <w:r w:rsidRPr="00370613">
              <w:rPr>
                <w:rFonts w:ascii="Arial" w:hAnsi="Arial" w:cs="Arial"/>
                <w:b/>
                <w:bCs/>
                <w:sz w:val="22"/>
                <w:szCs w:val="22"/>
              </w:rPr>
              <w:t>Ostvarena vrijednost u periodu 01.-12/2025.</w:t>
            </w:r>
          </w:p>
        </w:tc>
      </w:tr>
      <w:tr w:rsidR="00370613" w:rsidRPr="00370613" w14:paraId="2D2E35F6" w14:textId="77777777" w:rsidTr="00370613">
        <w:trPr>
          <w:trHeight w:val="685"/>
          <w:jc w:val="center"/>
        </w:trPr>
        <w:tc>
          <w:tcPr>
            <w:tcW w:w="1980" w:type="dxa"/>
            <w:tcBorders>
              <w:top w:val="single" w:sz="4" w:space="0" w:color="auto"/>
              <w:left w:val="single" w:sz="4" w:space="0" w:color="auto"/>
              <w:bottom w:val="single" w:sz="4" w:space="0" w:color="auto"/>
              <w:right w:val="single" w:sz="4" w:space="0" w:color="auto"/>
            </w:tcBorders>
            <w:shd w:val="clear" w:color="FFFFFF" w:fill="FFFFFF"/>
            <w:vAlign w:val="center"/>
          </w:tcPr>
          <w:p w14:paraId="2FC4A973" w14:textId="77777777" w:rsidR="002555B9" w:rsidRPr="00370613" w:rsidRDefault="002555B9" w:rsidP="002555B9">
            <w:pPr>
              <w:jc w:val="center"/>
              <w:rPr>
                <w:rFonts w:ascii="Arial" w:hAnsi="Arial" w:cs="Arial"/>
                <w:sz w:val="22"/>
                <w:szCs w:val="22"/>
              </w:rPr>
            </w:pPr>
            <w:r w:rsidRPr="00370613">
              <w:rPr>
                <w:rFonts w:ascii="Arial" w:hAnsi="Arial" w:cs="Arial"/>
                <w:sz w:val="22"/>
                <w:szCs w:val="22"/>
              </w:rPr>
              <w:t>Broj pregledane djece</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tcPr>
          <w:p w14:paraId="26A57C91" w14:textId="10B55C7D" w:rsidR="002555B9" w:rsidRPr="00370613" w:rsidRDefault="00B42928" w:rsidP="002555B9">
            <w:pPr>
              <w:jc w:val="center"/>
              <w:rPr>
                <w:rFonts w:ascii="Arial" w:hAnsi="Arial" w:cs="Arial"/>
                <w:sz w:val="22"/>
                <w:szCs w:val="22"/>
              </w:rPr>
            </w:pPr>
            <w:r w:rsidRPr="00370613">
              <w:rPr>
                <w:rFonts w:ascii="Arial" w:hAnsi="Arial" w:cs="Arial"/>
                <w:sz w:val="22"/>
                <w:szCs w:val="22"/>
              </w:rPr>
              <w:t>Pružena zdravstvena zaštita svoj djeci koja su trebala zdravstvenu skrb nedjeljom i blagdanima</w:t>
            </w:r>
          </w:p>
        </w:tc>
        <w:tc>
          <w:tcPr>
            <w:tcW w:w="2410" w:type="dxa"/>
            <w:tcBorders>
              <w:top w:val="single" w:sz="4" w:space="0" w:color="auto"/>
              <w:left w:val="single" w:sz="4" w:space="0" w:color="auto"/>
              <w:bottom w:val="single" w:sz="4" w:space="0" w:color="auto"/>
              <w:right w:val="single" w:sz="4" w:space="0" w:color="auto"/>
            </w:tcBorders>
            <w:shd w:val="clear" w:color="FFFFFF" w:fill="FFFFFF"/>
            <w:vAlign w:val="center"/>
          </w:tcPr>
          <w:p w14:paraId="35A88DB5" w14:textId="5F493042" w:rsidR="002555B9" w:rsidRPr="00370613" w:rsidRDefault="00B42928" w:rsidP="002555B9">
            <w:pPr>
              <w:jc w:val="center"/>
              <w:rPr>
                <w:rFonts w:ascii="Arial" w:hAnsi="Arial" w:cs="Arial"/>
                <w:sz w:val="22"/>
                <w:szCs w:val="22"/>
              </w:rPr>
            </w:pPr>
            <w:r w:rsidRPr="00370613">
              <w:rPr>
                <w:rFonts w:ascii="Arial" w:hAnsi="Arial" w:cs="Arial"/>
                <w:sz w:val="22"/>
                <w:szCs w:val="22"/>
              </w:rPr>
              <w:t>Pružena zdravstvena zaštita svoj djeci koja su trebala zdravstvenu skrb nedjeljom i blagdanima</w:t>
            </w:r>
          </w:p>
        </w:tc>
        <w:tc>
          <w:tcPr>
            <w:tcW w:w="2835" w:type="dxa"/>
            <w:tcBorders>
              <w:top w:val="single" w:sz="4" w:space="0" w:color="auto"/>
              <w:left w:val="single" w:sz="4" w:space="0" w:color="auto"/>
              <w:bottom w:val="single" w:sz="4" w:space="0" w:color="auto"/>
              <w:right w:val="single" w:sz="4" w:space="0" w:color="auto"/>
            </w:tcBorders>
            <w:shd w:val="clear" w:color="FFFFFF" w:fill="FFFFFF"/>
            <w:vAlign w:val="center"/>
          </w:tcPr>
          <w:p w14:paraId="1E513A17" w14:textId="69915AA5" w:rsidR="002555B9" w:rsidRPr="00370613" w:rsidRDefault="00C911FD" w:rsidP="002555B9">
            <w:pPr>
              <w:jc w:val="center"/>
              <w:rPr>
                <w:rFonts w:ascii="Arial" w:hAnsi="Arial" w:cs="Arial"/>
                <w:sz w:val="22"/>
                <w:szCs w:val="22"/>
              </w:rPr>
            </w:pPr>
            <w:r w:rsidRPr="00370613">
              <w:rPr>
                <w:rFonts w:ascii="Arial" w:hAnsi="Arial" w:cs="Arial"/>
                <w:sz w:val="22"/>
                <w:szCs w:val="22"/>
              </w:rPr>
              <w:t>Tijekom 202</w:t>
            </w:r>
            <w:r w:rsidR="00C94BF7" w:rsidRPr="00370613">
              <w:rPr>
                <w:rFonts w:ascii="Arial" w:hAnsi="Arial" w:cs="Arial"/>
                <w:sz w:val="22"/>
                <w:szCs w:val="22"/>
              </w:rPr>
              <w:t>5</w:t>
            </w:r>
            <w:r w:rsidRPr="00370613">
              <w:rPr>
                <w:rFonts w:ascii="Arial" w:hAnsi="Arial" w:cs="Arial"/>
                <w:sz w:val="22"/>
                <w:szCs w:val="22"/>
              </w:rPr>
              <w:t xml:space="preserve">. godine organizirano </w:t>
            </w:r>
            <w:r w:rsidR="00C94BF7" w:rsidRPr="00370613">
              <w:rPr>
                <w:rFonts w:ascii="Arial" w:hAnsi="Arial" w:cs="Arial"/>
                <w:sz w:val="22"/>
                <w:szCs w:val="22"/>
              </w:rPr>
              <w:t>64</w:t>
            </w:r>
            <w:r w:rsidRPr="00370613">
              <w:rPr>
                <w:rFonts w:ascii="Arial" w:hAnsi="Arial" w:cs="Arial"/>
                <w:sz w:val="22"/>
                <w:szCs w:val="22"/>
              </w:rPr>
              <w:t xml:space="preserve"> pedijatrijskih dežurstava</w:t>
            </w:r>
            <w:r w:rsidR="00C94BF7" w:rsidRPr="00370613">
              <w:rPr>
                <w:rFonts w:ascii="Arial" w:hAnsi="Arial" w:cs="Arial"/>
                <w:sz w:val="22"/>
                <w:szCs w:val="22"/>
              </w:rPr>
              <w:t>, tijekom svakog dežurstva u prosjeku je pregledano 30-ak djece</w:t>
            </w:r>
            <w:r w:rsidRPr="00370613">
              <w:rPr>
                <w:rFonts w:ascii="Arial" w:hAnsi="Arial" w:cs="Arial"/>
                <w:sz w:val="22"/>
                <w:szCs w:val="22"/>
              </w:rPr>
              <w:t>.</w:t>
            </w:r>
          </w:p>
        </w:tc>
      </w:tr>
    </w:tbl>
    <w:p w14:paraId="60D8DB48" w14:textId="77777777" w:rsidR="002555B9" w:rsidRPr="004F3556" w:rsidRDefault="002555B9" w:rsidP="002555B9">
      <w:pPr>
        <w:jc w:val="both"/>
        <w:rPr>
          <w:rFonts w:ascii="Arial" w:hAnsi="Arial" w:cs="Arial"/>
          <w:sz w:val="22"/>
          <w:szCs w:val="22"/>
        </w:rPr>
      </w:pPr>
    </w:p>
    <w:p w14:paraId="7A614CD8" w14:textId="77777777" w:rsidR="002555B9" w:rsidRPr="004F3556" w:rsidRDefault="002555B9" w:rsidP="002555B9">
      <w:pPr>
        <w:rPr>
          <w:rFonts w:ascii="Arial" w:hAnsi="Arial" w:cs="Arial"/>
          <w:sz w:val="22"/>
          <w:szCs w:val="22"/>
        </w:rPr>
      </w:pPr>
    </w:p>
    <w:p w14:paraId="01CDE5B2" w14:textId="77777777" w:rsidR="002555B9" w:rsidRPr="004F3556" w:rsidRDefault="002555B9" w:rsidP="00887B83">
      <w:pPr>
        <w:pStyle w:val="Odlomakpopisa"/>
        <w:numPr>
          <w:ilvl w:val="1"/>
          <w:numId w:val="42"/>
        </w:numPr>
        <w:rPr>
          <w:rFonts w:ascii="Arial" w:hAnsi="Arial" w:cs="Arial"/>
          <w:b/>
          <w:bCs/>
        </w:rPr>
      </w:pPr>
      <w:r w:rsidRPr="004F3556">
        <w:rPr>
          <w:rFonts w:ascii="Arial" w:hAnsi="Arial" w:cs="Arial"/>
          <w:b/>
          <w:bCs/>
        </w:rPr>
        <w:t>Savjetovališta (A420439)</w:t>
      </w:r>
    </w:p>
    <w:p w14:paraId="52F18E71" w14:textId="77777777" w:rsidR="002555B9" w:rsidRPr="004F3556" w:rsidRDefault="002555B9" w:rsidP="002555B9">
      <w:pPr>
        <w:pStyle w:val="Odlomakpopisa"/>
        <w:rPr>
          <w:rFonts w:ascii="Arial" w:hAnsi="Arial" w:cs="Arial"/>
          <w:b/>
          <w:bCs/>
        </w:rPr>
      </w:pPr>
    </w:p>
    <w:p w14:paraId="4B45C592" w14:textId="77777777" w:rsidR="00B5298B" w:rsidRPr="00370613" w:rsidRDefault="00B5298B" w:rsidP="00370613">
      <w:pPr>
        <w:spacing w:line="276" w:lineRule="auto"/>
        <w:jc w:val="both"/>
        <w:rPr>
          <w:rFonts w:ascii="Arial" w:hAnsi="Arial" w:cs="Arial"/>
          <w:sz w:val="22"/>
          <w:szCs w:val="22"/>
        </w:rPr>
      </w:pPr>
      <w:r w:rsidRPr="00370613">
        <w:rPr>
          <w:rFonts w:ascii="Arial" w:hAnsi="Arial" w:cs="Arial"/>
          <w:sz w:val="22"/>
          <w:szCs w:val="22"/>
        </w:rPr>
        <w:t>U okviru programa savjetovališta, koji je sufinanciran sredstvima Istarske županije, organiziran je i proveden rad Savjetovališta za kronične rane te Savjetovališta za neurološke bolesti.</w:t>
      </w:r>
    </w:p>
    <w:p w14:paraId="6F43FC3C" w14:textId="337C7220" w:rsidR="002555B9" w:rsidRPr="00370613" w:rsidRDefault="00B5298B" w:rsidP="00370613">
      <w:pPr>
        <w:spacing w:line="276" w:lineRule="auto"/>
        <w:jc w:val="both"/>
        <w:rPr>
          <w:rFonts w:ascii="Arial" w:hAnsi="Arial" w:cs="Arial"/>
          <w:sz w:val="22"/>
          <w:szCs w:val="22"/>
        </w:rPr>
      </w:pPr>
      <w:r w:rsidRPr="00370613">
        <w:rPr>
          <w:rFonts w:ascii="Arial" w:hAnsi="Arial" w:cs="Arial"/>
          <w:sz w:val="22"/>
          <w:szCs w:val="22"/>
        </w:rPr>
        <w:t>U Savjetovalištu za kronične rane provode se aktivnosti usmjerene na unaprjeđenje skrbi za pacijente s ranama koje ne cijele unutar 6 do 8 tjedana, poput dekubitusa, potkoljeničnih ulkusa i dijabetičkog stopala</w:t>
      </w:r>
      <w:r w:rsidR="002555B9" w:rsidRPr="00370613">
        <w:rPr>
          <w:rFonts w:ascii="Arial" w:hAnsi="Arial" w:cs="Arial"/>
          <w:sz w:val="22"/>
          <w:szCs w:val="22"/>
        </w:rPr>
        <w:t>.</w:t>
      </w:r>
      <w:r w:rsidR="00E23F94" w:rsidRPr="00370613">
        <w:rPr>
          <w:rFonts w:ascii="Arial" w:hAnsi="Arial" w:cs="Arial"/>
          <w:sz w:val="22"/>
          <w:szCs w:val="22"/>
        </w:rPr>
        <w:t xml:space="preserve"> </w:t>
      </w:r>
      <w:r w:rsidRPr="00370613">
        <w:rPr>
          <w:rFonts w:ascii="Arial" w:hAnsi="Arial" w:cs="Arial"/>
          <w:sz w:val="22"/>
          <w:szCs w:val="22"/>
        </w:rPr>
        <w:t>Niz</w:t>
      </w:r>
      <w:r w:rsidR="002555B9" w:rsidRPr="00370613">
        <w:rPr>
          <w:rFonts w:ascii="Arial" w:hAnsi="Arial" w:cs="Arial"/>
          <w:sz w:val="22"/>
          <w:szCs w:val="22"/>
        </w:rPr>
        <w:t xml:space="preserve"> je faktora koji uvjetuju nastanak kronične rane </w:t>
      </w:r>
      <w:r w:rsidRPr="00370613">
        <w:rPr>
          <w:rFonts w:ascii="Arial" w:hAnsi="Arial" w:cs="Arial"/>
          <w:sz w:val="22"/>
          <w:szCs w:val="22"/>
        </w:rPr>
        <w:t xml:space="preserve">poput </w:t>
      </w:r>
      <w:r w:rsidR="002555B9" w:rsidRPr="00370613">
        <w:rPr>
          <w:rFonts w:ascii="Arial" w:hAnsi="Arial" w:cs="Arial"/>
          <w:sz w:val="22"/>
          <w:szCs w:val="22"/>
        </w:rPr>
        <w:t xml:space="preserve"> starost</w:t>
      </w:r>
      <w:r w:rsidR="006D18F3" w:rsidRPr="00370613">
        <w:rPr>
          <w:rFonts w:ascii="Arial" w:hAnsi="Arial" w:cs="Arial"/>
          <w:sz w:val="22"/>
          <w:szCs w:val="22"/>
        </w:rPr>
        <w:t>i</w:t>
      </w:r>
      <w:r w:rsidR="002555B9" w:rsidRPr="00370613">
        <w:rPr>
          <w:rFonts w:ascii="Arial" w:hAnsi="Arial" w:cs="Arial"/>
          <w:sz w:val="22"/>
          <w:szCs w:val="22"/>
        </w:rPr>
        <w:t xml:space="preserve"> bolesnika, </w:t>
      </w:r>
      <w:r w:rsidRPr="00370613">
        <w:rPr>
          <w:rFonts w:ascii="Arial" w:hAnsi="Arial" w:cs="Arial"/>
          <w:sz w:val="22"/>
          <w:szCs w:val="22"/>
        </w:rPr>
        <w:t>dijabetesa, srčane insuficijencije</w:t>
      </w:r>
      <w:r w:rsidR="00C21CDA" w:rsidRPr="00370613">
        <w:rPr>
          <w:rFonts w:ascii="Arial" w:hAnsi="Arial" w:cs="Arial"/>
          <w:sz w:val="22"/>
          <w:szCs w:val="22"/>
        </w:rPr>
        <w:t xml:space="preserve">, </w:t>
      </w:r>
      <w:r w:rsidR="002555B9" w:rsidRPr="00370613">
        <w:rPr>
          <w:rFonts w:ascii="Arial" w:hAnsi="Arial" w:cs="Arial"/>
          <w:sz w:val="22"/>
          <w:szCs w:val="22"/>
        </w:rPr>
        <w:t>ateroskleroz</w:t>
      </w:r>
      <w:r w:rsidRPr="00370613">
        <w:rPr>
          <w:rFonts w:ascii="Arial" w:hAnsi="Arial" w:cs="Arial"/>
          <w:sz w:val="22"/>
          <w:szCs w:val="22"/>
        </w:rPr>
        <w:t>e</w:t>
      </w:r>
      <w:r w:rsidR="002555B9" w:rsidRPr="00370613">
        <w:rPr>
          <w:rFonts w:ascii="Arial" w:hAnsi="Arial" w:cs="Arial"/>
          <w:sz w:val="22"/>
          <w:szCs w:val="22"/>
        </w:rPr>
        <w:t xml:space="preserve">, </w:t>
      </w:r>
      <w:proofErr w:type="spellStart"/>
      <w:r w:rsidR="002555B9" w:rsidRPr="00370613">
        <w:rPr>
          <w:rFonts w:ascii="Arial" w:hAnsi="Arial" w:cs="Arial"/>
          <w:sz w:val="22"/>
          <w:szCs w:val="22"/>
        </w:rPr>
        <w:t>imunodefiscijencij</w:t>
      </w:r>
      <w:r w:rsidRPr="00370613">
        <w:rPr>
          <w:rFonts w:ascii="Arial" w:hAnsi="Arial" w:cs="Arial"/>
          <w:sz w:val="22"/>
          <w:szCs w:val="22"/>
        </w:rPr>
        <w:t>e</w:t>
      </w:r>
      <w:proofErr w:type="spellEnd"/>
      <w:r w:rsidR="002555B9" w:rsidRPr="00370613">
        <w:rPr>
          <w:rFonts w:ascii="Arial" w:hAnsi="Arial" w:cs="Arial"/>
          <w:sz w:val="22"/>
          <w:szCs w:val="22"/>
        </w:rPr>
        <w:t xml:space="preserve">, </w:t>
      </w:r>
      <w:proofErr w:type="spellStart"/>
      <w:r w:rsidR="002555B9" w:rsidRPr="00370613">
        <w:rPr>
          <w:rFonts w:ascii="Arial" w:hAnsi="Arial" w:cs="Arial"/>
          <w:sz w:val="22"/>
          <w:szCs w:val="22"/>
        </w:rPr>
        <w:t>malnutricij</w:t>
      </w:r>
      <w:r w:rsidRPr="00370613">
        <w:rPr>
          <w:rFonts w:ascii="Arial" w:hAnsi="Arial" w:cs="Arial"/>
          <w:sz w:val="22"/>
          <w:szCs w:val="22"/>
        </w:rPr>
        <w:t>e</w:t>
      </w:r>
      <w:proofErr w:type="spellEnd"/>
      <w:r w:rsidR="002555B9" w:rsidRPr="00370613">
        <w:rPr>
          <w:rFonts w:ascii="Arial" w:hAnsi="Arial" w:cs="Arial"/>
          <w:sz w:val="22"/>
          <w:szCs w:val="22"/>
        </w:rPr>
        <w:t>, lijeko</w:t>
      </w:r>
      <w:r w:rsidRPr="00370613">
        <w:rPr>
          <w:rFonts w:ascii="Arial" w:hAnsi="Arial" w:cs="Arial"/>
          <w:sz w:val="22"/>
          <w:szCs w:val="22"/>
        </w:rPr>
        <w:t>va</w:t>
      </w:r>
      <w:r w:rsidR="002555B9" w:rsidRPr="00370613">
        <w:rPr>
          <w:rFonts w:ascii="Arial" w:hAnsi="Arial" w:cs="Arial"/>
          <w:sz w:val="22"/>
          <w:szCs w:val="22"/>
        </w:rPr>
        <w:t xml:space="preserve"> te  metode tretmana. </w:t>
      </w:r>
      <w:r w:rsidR="002C0D82" w:rsidRPr="00370613">
        <w:rPr>
          <w:rFonts w:ascii="Arial" w:hAnsi="Arial" w:cs="Arial"/>
          <w:sz w:val="22"/>
          <w:szCs w:val="22"/>
        </w:rPr>
        <w:t>U praksi je uočeno da se liječenju kroničnih rana ne pristupa uvijek uz dovoljnu razinu stručnosti i u skladu s važećim preporukama. Provedbom projekta unaprijeđen je pristup skrbi i liječenju kroničnih rana, što je rezultiralo poboljšanjem kvalitete života pacijenata te racionalnijim korištenjem resursa zdravstvenog sustava.</w:t>
      </w:r>
    </w:p>
    <w:p w14:paraId="4702B58F" w14:textId="064350B3" w:rsidR="002555B9" w:rsidRPr="00370613" w:rsidRDefault="002C0D82" w:rsidP="00370613">
      <w:pPr>
        <w:spacing w:line="276" w:lineRule="auto"/>
        <w:jc w:val="both"/>
        <w:rPr>
          <w:rFonts w:ascii="Arial" w:hAnsi="Arial" w:cs="Arial"/>
          <w:sz w:val="22"/>
          <w:szCs w:val="22"/>
        </w:rPr>
      </w:pPr>
      <w:r w:rsidRPr="00370613">
        <w:rPr>
          <w:rFonts w:ascii="Arial" w:hAnsi="Arial" w:cs="Arial"/>
          <w:sz w:val="22"/>
          <w:szCs w:val="22"/>
        </w:rPr>
        <w:t>U posljednjih 30 g</w:t>
      </w:r>
      <w:r w:rsidR="00370613">
        <w:rPr>
          <w:rFonts w:ascii="Arial" w:hAnsi="Arial" w:cs="Arial"/>
          <w:sz w:val="22"/>
          <w:szCs w:val="22"/>
        </w:rPr>
        <w:t>.</w:t>
      </w:r>
      <w:r w:rsidRPr="00370613">
        <w:rPr>
          <w:rFonts w:ascii="Arial" w:hAnsi="Arial" w:cs="Arial"/>
          <w:sz w:val="22"/>
          <w:szCs w:val="22"/>
        </w:rPr>
        <w:t xml:space="preserve"> evidentiran je značajan porast obolijevanja od neuroloških bolesti koj</w:t>
      </w:r>
      <w:r w:rsidR="00370613">
        <w:rPr>
          <w:rFonts w:ascii="Arial" w:hAnsi="Arial" w:cs="Arial"/>
          <w:sz w:val="22"/>
          <w:szCs w:val="22"/>
        </w:rPr>
        <w:t>e</w:t>
      </w:r>
      <w:r w:rsidRPr="00370613">
        <w:rPr>
          <w:rFonts w:ascii="Arial" w:hAnsi="Arial" w:cs="Arial"/>
          <w:sz w:val="22"/>
          <w:szCs w:val="22"/>
        </w:rPr>
        <w:t xml:space="preserve"> su najčešće kronične nezarazne bolesti od koji obolijeva otprilike 15% populacije.</w:t>
      </w:r>
      <w:r w:rsidR="00370613">
        <w:rPr>
          <w:rFonts w:ascii="Arial" w:hAnsi="Arial" w:cs="Arial"/>
          <w:sz w:val="22"/>
          <w:szCs w:val="22"/>
        </w:rPr>
        <w:t xml:space="preserve"> </w:t>
      </w:r>
      <w:r w:rsidRPr="00370613">
        <w:rPr>
          <w:rFonts w:ascii="Arial" w:hAnsi="Arial" w:cs="Arial"/>
          <w:sz w:val="22"/>
          <w:szCs w:val="22"/>
        </w:rPr>
        <w:t xml:space="preserve">Neurološke bolesti značajno narušavaju samostalnost pojedinca u obavljanju aktivnosti svakodnevnog života te posljedično smanjuju kvalitetu života. </w:t>
      </w:r>
      <w:r w:rsidR="006D18F3" w:rsidRPr="00370613">
        <w:rPr>
          <w:rFonts w:ascii="Arial" w:hAnsi="Arial" w:cs="Arial"/>
          <w:sz w:val="22"/>
          <w:szCs w:val="22"/>
        </w:rPr>
        <w:t>Posljedice</w:t>
      </w:r>
      <w:r w:rsidR="002555B9" w:rsidRPr="00370613">
        <w:rPr>
          <w:rFonts w:ascii="Arial" w:hAnsi="Arial" w:cs="Arial"/>
          <w:sz w:val="22"/>
          <w:szCs w:val="22"/>
        </w:rPr>
        <w:t xml:space="preserve"> neurološk</w:t>
      </w:r>
      <w:r w:rsidR="006D18F3" w:rsidRPr="00370613">
        <w:rPr>
          <w:rFonts w:ascii="Arial" w:hAnsi="Arial" w:cs="Arial"/>
          <w:sz w:val="22"/>
          <w:szCs w:val="22"/>
        </w:rPr>
        <w:t>ih</w:t>
      </w:r>
      <w:r w:rsidR="002555B9" w:rsidRPr="00370613">
        <w:rPr>
          <w:rFonts w:ascii="Arial" w:hAnsi="Arial" w:cs="Arial"/>
          <w:sz w:val="22"/>
          <w:szCs w:val="22"/>
        </w:rPr>
        <w:t xml:space="preserve"> </w:t>
      </w:r>
      <w:r w:rsidR="006D18F3" w:rsidRPr="00370613">
        <w:rPr>
          <w:rFonts w:ascii="Arial" w:hAnsi="Arial" w:cs="Arial"/>
          <w:sz w:val="22"/>
          <w:szCs w:val="22"/>
        </w:rPr>
        <w:t>oboljenja</w:t>
      </w:r>
      <w:r w:rsidR="0072731A" w:rsidRPr="00370613">
        <w:rPr>
          <w:rFonts w:ascii="Arial" w:hAnsi="Arial" w:cs="Arial"/>
          <w:sz w:val="22"/>
          <w:szCs w:val="22"/>
        </w:rPr>
        <w:t xml:space="preserve"> su i razne fizičke poteškoće koje</w:t>
      </w:r>
      <w:r w:rsidR="006D18F3" w:rsidRPr="00370613">
        <w:rPr>
          <w:rFonts w:ascii="Arial" w:hAnsi="Arial" w:cs="Arial"/>
          <w:sz w:val="22"/>
          <w:szCs w:val="22"/>
        </w:rPr>
        <w:t xml:space="preserve"> </w:t>
      </w:r>
      <w:r w:rsidR="002555B9" w:rsidRPr="00370613">
        <w:rPr>
          <w:rFonts w:ascii="Arial" w:hAnsi="Arial" w:cs="Arial"/>
          <w:sz w:val="22"/>
          <w:szCs w:val="22"/>
        </w:rPr>
        <w:t xml:space="preserve">predstavljaju </w:t>
      </w:r>
      <w:r w:rsidR="0072731A" w:rsidRPr="00370613">
        <w:rPr>
          <w:rFonts w:ascii="Arial" w:hAnsi="Arial" w:cs="Arial"/>
          <w:sz w:val="22"/>
          <w:szCs w:val="22"/>
        </w:rPr>
        <w:t>učestali</w:t>
      </w:r>
      <w:r w:rsidR="002555B9" w:rsidRPr="00370613">
        <w:rPr>
          <w:rFonts w:ascii="Arial" w:hAnsi="Arial" w:cs="Arial"/>
          <w:sz w:val="22"/>
          <w:szCs w:val="22"/>
        </w:rPr>
        <w:t xml:space="preserve"> razlog za gubitak radne sposobnosti</w:t>
      </w:r>
      <w:r w:rsidRPr="00370613">
        <w:rPr>
          <w:rFonts w:ascii="Arial" w:hAnsi="Arial" w:cs="Arial"/>
          <w:sz w:val="22"/>
          <w:szCs w:val="22"/>
        </w:rPr>
        <w:t xml:space="preserve"> kao i</w:t>
      </w:r>
      <w:r w:rsidR="002555B9" w:rsidRPr="00370613">
        <w:rPr>
          <w:rFonts w:ascii="Arial" w:hAnsi="Arial" w:cs="Arial"/>
          <w:sz w:val="22"/>
          <w:szCs w:val="22"/>
        </w:rPr>
        <w:t xml:space="preserve"> indikacij</w:t>
      </w:r>
      <w:r w:rsidRPr="00370613">
        <w:rPr>
          <w:rFonts w:ascii="Arial" w:hAnsi="Arial" w:cs="Arial"/>
          <w:sz w:val="22"/>
          <w:szCs w:val="22"/>
        </w:rPr>
        <w:t>u</w:t>
      </w:r>
      <w:r w:rsidR="002555B9" w:rsidRPr="00370613">
        <w:rPr>
          <w:rFonts w:ascii="Arial" w:hAnsi="Arial" w:cs="Arial"/>
          <w:sz w:val="22"/>
          <w:szCs w:val="22"/>
        </w:rPr>
        <w:t xml:space="preserve"> za propisivanje ortopedskih i drugih pomagala</w:t>
      </w:r>
      <w:r w:rsidR="00370613">
        <w:rPr>
          <w:rFonts w:ascii="Arial" w:hAnsi="Arial" w:cs="Arial"/>
          <w:sz w:val="22"/>
          <w:szCs w:val="22"/>
        </w:rPr>
        <w:t xml:space="preserve"> te su najčešći </w:t>
      </w:r>
      <w:r w:rsidR="002555B9" w:rsidRPr="00370613">
        <w:rPr>
          <w:rFonts w:ascii="Arial" w:hAnsi="Arial" w:cs="Arial"/>
          <w:sz w:val="22"/>
          <w:szCs w:val="22"/>
        </w:rPr>
        <w:t xml:space="preserve">razlog za traženje naknade za pomoć i njegu. </w:t>
      </w:r>
      <w:r w:rsidR="0072731A" w:rsidRPr="00370613">
        <w:rPr>
          <w:rFonts w:ascii="Arial" w:hAnsi="Arial" w:cs="Arial"/>
          <w:sz w:val="22"/>
          <w:szCs w:val="22"/>
        </w:rPr>
        <w:t xml:space="preserve">Učestala </w:t>
      </w:r>
      <w:r w:rsidRPr="00370613">
        <w:rPr>
          <w:rFonts w:ascii="Arial" w:hAnsi="Arial" w:cs="Arial"/>
          <w:sz w:val="22"/>
          <w:szCs w:val="22"/>
        </w:rPr>
        <w:t>pogoršanja oboljelih od neuroloških bolesti te akutni nastupi zbrinjavaju se u tijeku hospitalizacije kroz kurativno liječenje i početak rehabilitacije</w:t>
      </w:r>
      <w:r w:rsidR="00C21CDA" w:rsidRPr="00370613">
        <w:rPr>
          <w:rFonts w:ascii="Arial" w:hAnsi="Arial" w:cs="Arial"/>
          <w:sz w:val="22"/>
          <w:szCs w:val="22"/>
        </w:rPr>
        <w:t>. Međutim, n</w:t>
      </w:r>
      <w:r w:rsidR="002555B9" w:rsidRPr="00370613">
        <w:rPr>
          <w:rFonts w:ascii="Arial" w:hAnsi="Arial" w:cs="Arial"/>
          <w:sz w:val="22"/>
          <w:szCs w:val="22"/>
        </w:rPr>
        <w:t>erijetko pacijent nakon otpusta iz bolnice</w:t>
      </w:r>
      <w:r w:rsidR="00C21CDA" w:rsidRPr="00370613">
        <w:rPr>
          <w:rFonts w:ascii="Arial" w:hAnsi="Arial" w:cs="Arial"/>
          <w:sz w:val="22"/>
          <w:szCs w:val="22"/>
        </w:rPr>
        <w:t xml:space="preserve"> prekida rehabilitaciju te tek unutar mjesec dana nakon otpusta</w:t>
      </w:r>
      <w:r w:rsidR="002555B9" w:rsidRPr="00370613">
        <w:rPr>
          <w:rFonts w:ascii="Arial" w:hAnsi="Arial" w:cs="Arial"/>
          <w:sz w:val="22"/>
          <w:szCs w:val="22"/>
        </w:rPr>
        <w:t xml:space="preserve"> nastavlja kontinuitet svog fizičkog </w:t>
      </w:r>
      <w:r w:rsidR="00C21CDA" w:rsidRPr="00370613">
        <w:rPr>
          <w:rFonts w:ascii="Arial" w:hAnsi="Arial" w:cs="Arial"/>
          <w:sz w:val="22"/>
          <w:szCs w:val="22"/>
        </w:rPr>
        <w:t xml:space="preserve">oporavka. U cilju </w:t>
      </w:r>
      <w:r w:rsidR="002555B9" w:rsidRPr="00370613">
        <w:rPr>
          <w:rFonts w:ascii="Arial" w:hAnsi="Arial" w:cs="Arial"/>
          <w:sz w:val="22"/>
          <w:szCs w:val="22"/>
        </w:rPr>
        <w:t>premo</w:t>
      </w:r>
      <w:r w:rsidR="00C21CDA" w:rsidRPr="00370613">
        <w:rPr>
          <w:rFonts w:ascii="Arial" w:hAnsi="Arial" w:cs="Arial"/>
          <w:sz w:val="22"/>
          <w:szCs w:val="22"/>
        </w:rPr>
        <w:t>šćivanja</w:t>
      </w:r>
      <w:r w:rsidR="002555B9" w:rsidRPr="00370613">
        <w:rPr>
          <w:rFonts w:ascii="Arial" w:hAnsi="Arial" w:cs="Arial"/>
          <w:sz w:val="22"/>
          <w:szCs w:val="22"/>
        </w:rPr>
        <w:t xml:space="preserve"> period</w:t>
      </w:r>
      <w:r w:rsidR="00C21CDA" w:rsidRPr="00370613">
        <w:rPr>
          <w:rFonts w:ascii="Arial" w:hAnsi="Arial" w:cs="Arial"/>
          <w:sz w:val="22"/>
          <w:szCs w:val="22"/>
        </w:rPr>
        <w:t>a</w:t>
      </w:r>
      <w:r w:rsidR="002555B9" w:rsidRPr="00370613">
        <w:rPr>
          <w:rFonts w:ascii="Arial" w:hAnsi="Arial" w:cs="Arial"/>
          <w:sz w:val="22"/>
          <w:szCs w:val="22"/>
        </w:rPr>
        <w:t xml:space="preserve"> do početka fizikalne terapije u kući,  savjetovalište za</w:t>
      </w:r>
      <w:r w:rsidR="00C21CDA" w:rsidRPr="00370613">
        <w:rPr>
          <w:rFonts w:ascii="Arial" w:hAnsi="Arial" w:cs="Arial"/>
          <w:sz w:val="22"/>
          <w:szCs w:val="22"/>
        </w:rPr>
        <w:t xml:space="preserve"> neurološke bolesti </w:t>
      </w:r>
      <w:r w:rsidR="002555B9" w:rsidRPr="00370613">
        <w:rPr>
          <w:rFonts w:ascii="Arial" w:hAnsi="Arial" w:cs="Arial"/>
          <w:sz w:val="22"/>
          <w:szCs w:val="22"/>
        </w:rPr>
        <w:t>educi</w:t>
      </w:r>
      <w:r w:rsidR="00C21CDA" w:rsidRPr="00370613">
        <w:rPr>
          <w:rFonts w:ascii="Arial" w:hAnsi="Arial" w:cs="Arial"/>
          <w:sz w:val="22"/>
          <w:szCs w:val="22"/>
        </w:rPr>
        <w:t>ra</w:t>
      </w:r>
      <w:r w:rsidR="002555B9" w:rsidRPr="00370613">
        <w:rPr>
          <w:rFonts w:ascii="Arial" w:hAnsi="Arial" w:cs="Arial"/>
          <w:sz w:val="22"/>
          <w:szCs w:val="22"/>
        </w:rPr>
        <w:t xml:space="preserve"> obitelj i pacijenta o jednostavnim postupcima rehabilitacije pokreta, koje mogu </w:t>
      </w:r>
      <w:r w:rsidR="00C21CDA" w:rsidRPr="00370613">
        <w:rPr>
          <w:rFonts w:ascii="Arial" w:hAnsi="Arial" w:cs="Arial"/>
          <w:sz w:val="22"/>
          <w:szCs w:val="22"/>
        </w:rPr>
        <w:t>samostalno provoditi kod kuće</w:t>
      </w:r>
      <w:r w:rsidR="002555B9" w:rsidRPr="00370613">
        <w:rPr>
          <w:rFonts w:ascii="Arial" w:hAnsi="Arial" w:cs="Arial"/>
          <w:sz w:val="22"/>
          <w:szCs w:val="22"/>
        </w:rPr>
        <w:t xml:space="preserve"> ili uz pomoć člana obitelji.</w:t>
      </w:r>
    </w:p>
    <w:p w14:paraId="4DFBFC46" w14:textId="77777777" w:rsidR="002555B9" w:rsidRPr="004F3556" w:rsidRDefault="002555B9" w:rsidP="002555B9">
      <w:pPr>
        <w:jc w:val="both"/>
        <w:rPr>
          <w:rFonts w:ascii="Arial" w:hAnsi="Arial" w:cs="Arial"/>
          <w:sz w:val="22"/>
          <w:szCs w:val="22"/>
        </w:rPr>
      </w:pPr>
    </w:p>
    <w:p w14:paraId="5709F4A7" w14:textId="77777777" w:rsidR="002555B9" w:rsidRPr="004F3556" w:rsidRDefault="002555B9" w:rsidP="002555B9">
      <w:pPr>
        <w:ind w:left="2410" w:hanging="2410"/>
        <w:jc w:val="both"/>
        <w:rPr>
          <w:rFonts w:ascii="Arial" w:hAnsi="Arial" w:cs="Arial"/>
          <w:sz w:val="22"/>
          <w:szCs w:val="22"/>
        </w:rPr>
      </w:pPr>
      <w:r w:rsidRPr="004F3556">
        <w:rPr>
          <w:rFonts w:ascii="Arial" w:hAnsi="Arial" w:cs="Arial"/>
          <w:sz w:val="22"/>
          <w:szCs w:val="22"/>
        </w:rPr>
        <w:t>CILJ USPJEŠNOSTI - 2.2.1. Uvođenje i korištenje novih tehnologija u prevenciji, ranom otkrivanju, liječenju i rehabilitaciji</w:t>
      </w:r>
    </w:p>
    <w:p w14:paraId="33FB81BC" w14:textId="77777777" w:rsidR="002555B9" w:rsidRPr="004F3556" w:rsidRDefault="002555B9" w:rsidP="002555B9">
      <w:pPr>
        <w:jc w:val="both"/>
        <w:rPr>
          <w:rFonts w:ascii="Arial" w:hAnsi="Arial" w:cs="Arial"/>
          <w:sz w:val="22"/>
          <w:szCs w:val="22"/>
        </w:rPr>
      </w:pPr>
    </w:p>
    <w:p w14:paraId="52ACE5AF" w14:textId="77777777" w:rsidR="002555B9" w:rsidRPr="004F3556" w:rsidRDefault="002555B9" w:rsidP="002555B9">
      <w:pPr>
        <w:jc w:val="both"/>
        <w:rPr>
          <w:rFonts w:ascii="Arial" w:hAnsi="Arial" w:cs="Arial"/>
          <w:sz w:val="22"/>
          <w:szCs w:val="22"/>
        </w:rPr>
      </w:pPr>
      <w:r w:rsidRPr="004F3556">
        <w:rPr>
          <w:rFonts w:ascii="Arial" w:hAnsi="Arial" w:cs="Arial"/>
          <w:sz w:val="22"/>
          <w:szCs w:val="22"/>
        </w:rPr>
        <w:t>POKAZATELJI USPJEŠNOSTI</w:t>
      </w:r>
    </w:p>
    <w:tbl>
      <w:tblPr>
        <w:tblW w:w="9918" w:type="dxa"/>
        <w:jc w:val="center"/>
        <w:tblLayout w:type="fixed"/>
        <w:tblLook w:val="04A0" w:firstRow="1" w:lastRow="0" w:firstColumn="1" w:lastColumn="0" w:noHBand="0" w:noVBand="1"/>
      </w:tblPr>
      <w:tblGrid>
        <w:gridCol w:w="1555"/>
        <w:gridCol w:w="1559"/>
        <w:gridCol w:w="1276"/>
        <w:gridCol w:w="5528"/>
      </w:tblGrid>
      <w:tr w:rsidR="00DC116F" w:rsidRPr="00DC116F" w14:paraId="4096D33A" w14:textId="77777777" w:rsidTr="00B37A6F">
        <w:trPr>
          <w:trHeight w:val="449"/>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4DF442FD" w14:textId="0576B7DF" w:rsidR="0052172F" w:rsidRPr="00DC116F" w:rsidRDefault="0052172F" w:rsidP="0052172F">
            <w:pPr>
              <w:jc w:val="center"/>
              <w:rPr>
                <w:rFonts w:ascii="Arial" w:hAnsi="Arial" w:cs="Arial"/>
                <w:b/>
                <w:bCs/>
                <w:sz w:val="22"/>
                <w:szCs w:val="22"/>
              </w:rPr>
            </w:pPr>
            <w:r w:rsidRPr="00DC116F">
              <w:rPr>
                <w:rFonts w:ascii="Arial" w:hAnsi="Arial" w:cs="Arial"/>
                <w:b/>
                <w:bCs/>
                <w:sz w:val="22"/>
                <w:szCs w:val="22"/>
              </w:rPr>
              <w:t xml:space="preserve">Pokazatelj rezultata </w:t>
            </w:r>
          </w:p>
        </w:tc>
        <w:tc>
          <w:tcPr>
            <w:tcW w:w="1559"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2EBACAA3" w14:textId="4AF8A9D7" w:rsidR="0052172F" w:rsidRPr="00DC116F" w:rsidRDefault="0052172F" w:rsidP="0052172F">
            <w:pPr>
              <w:jc w:val="center"/>
              <w:rPr>
                <w:rFonts w:ascii="Arial" w:hAnsi="Arial" w:cs="Arial"/>
                <w:b/>
                <w:bCs/>
                <w:sz w:val="22"/>
                <w:szCs w:val="22"/>
              </w:rPr>
            </w:pPr>
            <w:r w:rsidRPr="00DC116F">
              <w:rPr>
                <w:rFonts w:ascii="Arial" w:hAnsi="Arial" w:cs="Arial"/>
                <w:b/>
                <w:bCs/>
                <w:sz w:val="22"/>
                <w:szCs w:val="22"/>
              </w:rPr>
              <w:t>Početna vrijednost</w:t>
            </w:r>
            <w:r w:rsidRPr="00DC116F">
              <w:rPr>
                <w:rFonts w:ascii="Arial" w:hAnsi="Arial" w:cs="Arial"/>
                <w:b/>
                <w:bCs/>
                <w:sz w:val="22"/>
                <w:szCs w:val="22"/>
              </w:rPr>
              <w:br/>
              <w:t>(2025.)</w:t>
            </w:r>
          </w:p>
        </w:tc>
        <w:tc>
          <w:tcPr>
            <w:tcW w:w="1276"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4EFCAA2D" w14:textId="369616E0" w:rsidR="0052172F" w:rsidRPr="00DC116F" w:rsidRDefault="0052172F" w:rsidP="0052172F">
            <w:pPr>
              <w:jc w:val="center"/>
              <w:rPr>
                <w:rFonts w:ascii="Arial" w:hAnsi="Arial" w:cs="Arial"/>
                <w:b/>
                <w:bCs/>
                <w:sz w:val="22"/>
                <w:szCs w:val="22"/>
              </w:rPr>
            </w:pPr>
            <w:r w:rsidRPr="00DC116F">
              <w:rPr>
                <w:rFonts w:ascii="Arial" w:hAnsi="Arial" w:cs="Arial"/>
                <w:b/>
                <w:bCs/>
                <w:sz w:val="22"/>
                <w:szCs w:val="22"/>
              </w:rPr>
              <w:t>Ciljna</w:t>
            </w:r>
            <w:r w:rsidRPr="00DC116F">
              <w:rPr>
                <w:rFonts w:ascii="Arial" w:hAnsi="Arial" w:cs="Arial"/>
                <w:b/>
                <w:bCs/>
                <w:sz w:val="22"/>
                <w:szCs w:val="22"/>
              </w:rPr>
              <w:br/>
              <w:t>vrijednost</w:t>
            </w:r>
            <w:r w:rsidRPr="00DC116F">
              <w:rPr>
                <w:rFonts w:ascii="Arial" w:hAnsi="Arial" w:cs="Arial"/>
                <w:b/>
                <w:bCs/>
                <w:sz w:val="22"/>
                <w:szCs w:val="22"/>
              </w:rPr>
              <w:br/>
              <w:t>2025.</w:t>
            </w:r>
          </w:p>
        </w:tc>
        <w:tc>
          <w:tcPr>
            <w:tcW w:w="5528"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4E196DD1" w14:textId="73B82B57" w:rsidR="0052172F" w:rsidRPr="00DC116F" w:rsidRDefault="0052172F" w:rsidP="0052172F">
            <w:pPr>
              <w:jc w:val="center"/>
              <w:rPr>
                <w:rFonts w:ascii="Arial" w:hAnsi="Arial" w:cs="Arial"/>
                <w:b/>
                <w:bCs/>
                <w:sz w:val="22"/>
                <w:szCs w:val="22"/>
              </w:rPr>
            </w:pPr>
            <w:r w:rsidRPr="00DC116F">
              <w:rPr>
                <w:rFonts w:ascii="Arial" w:hAnsi="Arial" w:cs="Arial"/>
                <w:b/>
                <w:bCs/>
                <w:sz w:val="22"/>
                <w:szCs w:val="22"/>
              </w:rPr>
              <w:t>Ostvarena vrijednost u periodu 01.-12/2025.</w:t>
            </w:r>
          </w:p>
        </w:tc>
      </w:tr>
      <w:tr w:rsidR="00DC116F" w:rsidRPr="00DC116F" w14:paraId="544D532E" w14:textId="77777777" w:rsidTr="00B37A6F">
        <w:trPr>
          <w:trHeight w:val="685"/>
          <w:jc w:val="center"/>
        </w:trPr>
        <w:tc>
          <w:tcPr>
            <w:tcW w:w="1555" w:type="dxa"/>
            <w:tcBorders>
              <w:top w:val="single" w:sz="4" w:space="0" w:color="auto"/>
              <w:left w:val="single" w:sz="4" w:space="0" w:color="auto"/>
              <w:bottom w:val="single" w:sz="4" w:space="0" w:color="auto"/>
              <w:right w:val="single" w:sz="4" w:space="0" w:color="auto"/>
            </w:tcBorders>
            <w:shd w:val="clear" w:color="FFFFFF" w:fill="FFFFFF"/>
            <w:vAlign w:val="center"/>
          </w:tcPr>
          <w:p w14:paraId="75322BEA" w14:textId="4AF67145" w:rsidR="002555B9" w:rsidRPr="00DC116F" w:rsidRDefault="00B37A6F" w:rsidP="002555B9">
            <w:pPr>
              <w:jc w:val="center"/>
              <w:rPr>
                <w:rFonts w:ascii="Arial" w:hAnsi="Arial" w:cs="Arial"/>
                <w:sz w:val="22"/>
                <w:szCs w:val="22"/>
              </w:rPr>
            </w:pPr>
            <w:r w:rsidRPr="00DC116F">
              <w:rPr>
                <w:rFonts w:ascii="Arial" w:hAnsi="Arial" w:cs="Arial"/>
                <w:sz w:val="22"/>
                <w:szCs w:val="22"/>
              </w:rPr>
              <w:t>Broj pacijenata u savjetovalištu za kronične rane</w:t>
            </w:r>
          </w:p>
        </w:tc>
        <w:tc>
          <w:tcPr>
            <w:tcW w:w="1559" w:type="dxa"/>
            <w:tcBorders>
              <w:top w:val="single" w:sz="4" w:space="0" w:color="auto"/>
              <w:left w:val="single" w:sz="4" w:space="0" w:color="auto"/>
              <w:bottom w:val="single" w:sz="4" w:space="0" w:color="auto"/>
              <w:right w:val="single" w:sz="4" w:space="0" w:color="auto"/>
            </w:tcBorders>
            <w:shd w:val="clear" w:color="FFFFFF" w:fill="FFFFFF"/>
            <w:vAlign w:val="center"/>
          </w:tcPr>
          <w:p w14:paraId="20CB93AA" w14:textId="06C8748D" w:rsidR="002555B9" w:rsidRPr="00DC116F" w:rsidRDefault="00DC116F" w:rsidP="002555B9">
            <w:pPr>
              <w:jc w:val="center"/>
              <w:rPr>
                <w:rFonts w:ascii="Arial" w:hAnsi="Arial" w:cs="Arial"/>
                <w:sz w:val="22"/>
                <w:szCs w:val="22"/>
              </w:rPr>
            </w:pPr>
            <w:r w:rsidRPr="00DC116F">
              <w:rPr>
                <w:rFonts w:ascii="Arial" w:hAnsi="Arial" w:cs="Arial"/>
                <w:sz w:val="22"/>
                <w:szCs w:val="22"/>
              </w:rPr>
              <w:t xml:space="preserve">Početak </w:t>
            </w:r>
            <w:r w:rsidR="00370613" w:rsidRPr="00DC116F">
              <w:rPr>
                <w:rFonts w:ascii="Arial" w:hAnsi="Arial" w:cs="Arial"/>
                <w:sz w:val="22"/>
                <w:szCs w:val="22"/>
              </w:rPr>
              <w:t xml:space="preserve"> rada savjetovališta</w:t>
            </w:r>
            <w:r w:rsidR="00B37A6F" w:rsidRPr="00DC116F">
              <w:rPr>
                <w:rFonts w:ascii="Arial" w:hAnsi="Arial" w:cs="Arial"/>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3CECAAB6" w14:textId="0A83C3A7" w:rsidR="002555B9" w:rsidRPr="00DC116F" w:rsidRDefault="00B37A6F" w:rsidP="002555B9">
            <w:pPr>
              <w:jc w:val="center"/>
              <w:rPr>
                <w:rFonts w:ascii="Arial" w:hAnsi="Arial" w:cs="Arial"/>
                <w:sz w:val="22"/>
                <w:szCs w:val="22"/>
                <w:highlight w:val="yellow"/>
              </w:rPr>
            </w:pPr>
            <w:r w:rsidRPr="00DC116F">
              <w:rPr>
                <w:rFonts w:ascii="Arial" w:hAnsi="Arial" w:cs="Arial"/>
                <w:sz w:val="22"/>
                <w:szCs w:val="22"/>
              </w:rPr>
              <w:t>500</w:t>
            </w:r>
          </w:p>
        </w:tc>
        <w:tc>
          <w:tcPr>
            <w:tcW w:w="5528" w:type="dxa"/>
            <w:tcBorders>
              <w:top w:val="single" w:sz="4" w:space="0" w:color="auto"/>
              <w:left w:val="single" w:sz="4" w:space="0" w:color="auto"/>
              <w:bottom w:val="single" w:sz="4" w:space="0" w:color="auto"/>
              <w:right w:val="single" w:sz="4" w:space="0" w:color="auto"/>
            </w:tcBorders>
            <w:shd w:val="clear" w:color="FFFFFF" w:fill="FFFFFF"/>
            <w:vAlign w:val="center"/>
          </w:tcPr>
          <w:p w14:paraId="5E5DECAB" w14:textId="042DDF89" w:rsidR="002555B9" w:rsidRPr="00DC116F" w:rsidRDefault="00C94BF7" w:rsidP="002555B9">
            <w:pPr>
              <w:jc w:val="both"/>
              <w:rPr>
                <w:rFonts w:ascii="Arial" w:hAnsi="Arial" w:cs="Arial"/>
                <w:sz w:val="22"/>
                <w:szCs w:val="22"/>
              </w:rPr>
            </w:pPr>
            <w:r w:rsidRPr="00DC116F">
              <w:rPr>
                <w:rFonts w:ascii="Arial" w:hAnsi="Arial" w:cs="Arial"/>
                <w:sz w:val="22"/>
                <w:szCs w:val="22"/>
              </w:rPr>
              <w:t>Tijekom 2025. g</w:t>
            </w:r>
            <w:r w:rsidR="00DC116F" w:rsidRPr="00DC116F">
              <w:rPr>
                <w:rFonts w:ascii="Arial" w:hAnsi="Arial" w:cs="Arial"/>
                <w:sz w:val="22"/>
                <w:szCs w:val="22"/>
              </w:rPr>
              <w:t>.</w:t>
            </w:r>
            <w:r w:rsidRPr="00DC116F">
              <w:rPr>
                <w:rFonts w:ascii="Arial" w:hAnsi="Arial" w:cs="Arial"/>
                <w:sz w:val="22"/>
                <w:szCs w:val="22"/>
              </w:rPr>
              <w:t xml:space="preserve"> obrađeno ukupno 22 pacijenata</w:t>
            </w:r>
            <w:r w:rsidR="00802B88" w:rsidRPr="00DC116F">
              <w:rPr>
                <w:rFonts w:ascii="Arial" w:hAnsi="Arial" w:cs="Arial"/>
                <w:sz w:val="22"/>
                <w:szCs w:val="22"/>
              </w:rPr>
              <w:t>, provedene edukacije pacijenata o pravilnoj higijeni i toaleti rane, prehrani i revidiranju kronične terapije te kontroli boli i pravilnom korištenju analgetika</w:t>
            </w:r>
            <w:r w:rsidR="00DC116F" w:rsidRPr="00DC116F">
              <w:rPr>
                <w:rFonts w:ascii="Arial" w:hAnsi="Arial" w:cs="Arial"/>
                <w:sz w:val="22"/>
                <w:szCs w:val="22"/>
              </w:rPr>
              <w:t>. Kod</w:t>
            </w:r>
            <w:r w:rsidR="00802B88" w:rsidRPr="00DC116F">
              <w:rPr>
                <w:rFonts w:ascii="Arial" w:hAnsi="Arial" w:cs="Arial"/>
                <w:sz w:val="22"/>
                <w:szCs w:val="22"/>
              </w:rPr>
              <w:t xml:space="preserve"> 2 pacijenta otkriveni ranije neprepoznati </w:t>
            </w:r>
            <w:proofErr w:type="spellStart"/>
            <w:r w:rsidR="00802B88" w:rsidRPr="00DC116F">
              <w:rPr>
                <w:rFonts w:ascii="Arial" w:hAnsi="Arial" w:cs="Arial"/>
                <w:sz w:val="22"/>
                <w:szCs w:val="22"/>
              </w:rPr>
              <w:t>komorbiditeti</w:t>
            </w:r>
            <w:proofErr w:type="spellEnd"/>
            <w:r w:rsidR="00802B88" w:rsidRPr="00DC116F">
              <w:rPr>
                <w:rFonts w:ascii="Arial" w:hAnsi="Arial" w:cs="Arial"/>
                <w:sz w:val="22"/>
                <w:szCs w:val="22"/>
              </w:rPr>
              <w:t xml:space="preserve"> koji su obrađeni, smanjeno opterećenje vaskularne i </w:t>
            </w:r>
            <w:r w:rsidR="00802B88" w:rsidRPr="00DC116F">
              <w:rPr>
                <w:rFonts w:ascii="Arial" w:hAnsi="Arial" w:cs="Arial"/>
                <w:sz w:val="22"/>
                <w:szCs w:val="22"/>
              </w:rPr>
              <w:lastRenderedPageBreak/>
              <w:t>ambulante za dijabetičko stopalo, povećana svjesnost pacijenata i zdravstvenih radnika o kompleksnosti kroničnih rana, zacijeljene kronične i akutne rane. Donacijom Hrvatske liječničke komore i sufinanciranjem Istarske županije nabavljen ABI uređaj. U rujnu 2025. g</w:t>
            </w:r>
            <w:r w:rsidR="00DC116F" w:rsidRPr="00DC116F">
              <w:rPr>
                <w:rFonts w:ascii="Arial" w:hAnsi="Arial" w:cs="Arial"/>
                <w:sz w:val="22"/>
                <w:szCs w:val="22"/>
              </w:rPr>
              <w:t>.</w:t>
            </w:r>
            <w:r w:rsidR="00802B88" w:rsidRPr="00DC116F">
              <w:rPr>
                <w:rFonts w:ascii="Arial" w:hAnsi="Arial" w:cs="Arial"/>
                <w:sz w:val="22"/>
                <w:szCs w:val="22"/>
              </w:rPr>
              <w:t xml:space="preserve"> dr. Đuherić </w:t>
            </w:r>
            <w:r w:rsidR="00511153" w:rsidRPr="00DC116F">
              <w:rPr>
                <w:rFonts w:ascii="Arial" w:hAnsi="Arial" w:cs="Arial"/>
                <w:sz w:val="22"/>
                <w:szCs w:val="22"/>
              </w:rPr>
              <w:t>sudjelovala  kao predavač na međunarodnom kongresu Udruge za rane u Zagrebu.</w:t>
            </w:r>
          </w:p>
        </w:tc>
      </w:tr>
      <w:tr w:rsidR="00DC116F" w:rsidRPr="00DC116F" w14:paraId="0B757F43" w14:textId="77777777" w:rsidTr="00B37A6F">
        <w:trPr>
          <w:trHeight w:val="685"/>
          <w:jc w:val="center"/>
        </w:trPr>
        <w:tc>
          <w:tcPr>
            <w:tcW w:w="1555" w:type="dxa"/>
            <w:tcBorders>
              <w:top w:val="single" w:sz="4" w:space="0" w:color="auto"/>
              <w:left w:val="single" w:sz="4" w:space="0" w:color="auto"/>
              <w:bottom w:val="single" w:sz="4" w:space="0" w:color="auto"/>
              <w:right w:val="single" w:sz="4" w:space="0" w:color="auto"/>
            </w:tcBorders>
            <w:shd w:val="clear" w:color="FFFFFF" w:fill="FFFFFF"/>
            <w:vAlign w:val="center"/>
          </w:tcPr>
          <w:p w14:paraId="357CFD9A" w14:textId="313327FA" w:rsidR="002555B9" w:rsidRPr="00DC116F" w:rsidRDefault="002555B9" w:rsidP="002555B9">
            <w:pPr>
              <w:jc w:val="center"/>
              <w:rPr>
                <w:rFonts w:ascii="Arial" w:hAnsi="Arial" w:cs="Arial"/>
                <w:sz w:val="22"/>
                <w:szCs w:val="22"/>
              </w:rPr>
            </w:pPr>
            <w:r w:rsidRPr="00DC116F">
              <w:rPr>
                <w:rFonts w:ascii="Arial" w:hAnsi="Arial" w:cs="Arial"/>
                <w:sz w:val="22"/>
                <w:szCs w:val="22"/>
              </w:rPr>
              <w:lastRenderedPageBreak/>
              <w:t xml:space="preserve">Broj  pacijenata </w:t>
            </w:r>
            <w:r w:rsidR="00B37A6F" w:rsidRPr="00DC116F">
              <w:rPr>
                <w:rFonts w:ascii="Arial" w:hAnsi="Arial" w:cs="Arial"/>
                <w:sz w:val="22"/>
                <w:szCs w:val="22"/>
              </w:rPr>
              <w:t>u savjetovalištu za neurološke bolesti</w:t>
            </w:r>
          </w:p>
        </w:tc>
        <w:tc>
          <w:tcPr>
            <w:tcW w:w="1559" w:type="dxa"/>
            <w:tcBorders>
              <w:top w:val="single" w:sz="4" w:space="0" w:color="auto"/>
              <w:left w:val="single" w:sz="4" w:space="0" w:color="auto"/>
              <w:bottom w:val="single" w:sz="4" w:space="0" w:color="auto"/>
              <w:right w:val="single" w:sz="4" w:space="0" w:color="auto"/>
            </w:tcBorders>
            <w:shd w:val="clear" w:color="FFFFFF" w:fill="FFFFFF"/>
            <w:vAlign w:val="center"/>
          </w:tcPr>
          <w:p w14:paraId="1719DA62" w14:textId="2E72469E" w:rsidR="002555B9" w:rsidRPr="00DC116F" w:rsidRDefault="00DC116F" w:rsidP="002555B9">
            <w:pPr>
              <w:jc w:val="center"/>
              <w:rPr>
                <w:rFonts w:ascii="Arial" w:hAnsi="Arial" w:cs="Arial"/>
                <w:sz w:val="22"/>
                <w:szCs w:val="22"/>
              </w:rPr>
            </w:pPr>
            <w:r w:rsidRPr="00DC116F">
              <w:rPr>
                <w:rFonts w:ascii="Arial" w:hAnsi="Arial" w:cs="Arial"/>
                <w:sz w:val="22"/>
                <w:szCs w:val="22"/>
              </w:rPr>
              <w:t>Početak  rada savjetovališta</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55DBA87C" w14:textId="7D6C9935" w:rsidR="002555B9" w:rsidRPr="00DC116F" w:rsidRDefault="00B37A6F" w:rsidP="002555B9">
            <w:pPr>
              <w:jc w:val="center"/>
              <w:rPr>
                <w:rFonts w:ascii="Arial" w:hAnsi="Arial" w:cs="Arial"/>
                <w:sz w:val="22"/>
                <w:szCs w:val="22"/>
                <w:highlight w:val="yellow"/>
              </w:rPr>
            </w:pPr>
            <w:r w:rsidRPr="00DC116F">
              <w:rPr>
                <w:rFonts w:ascii="Arial" w:hAnsi="Arial" w:cs="Arial"/>
                <w:sz w:val="22"/>
                <w:szCs w:val="22"/>
              </w:rPr>
              <w:t>150</w:t>
            </w:r>
          </w:p>
        </w:tc>
        <w:tc>
          <w:tcPr>
            <w:tcW w:w="5528" w:type="dxa"/>
            <w:tcBorders>
              <w:top w:val="single" w:sz="4" w:space="0" w:color="auto"/>
              <w:left w:val="single" w:sz="4" w:space="0" w:color="auto"/>
              <w:bottom w:val="single" w:sz="4" w:space="0" w:color="auto"/>
              <w:right w:val="single" w:sz="4" w:space="0" w:color="auto"/>
            </w:tcBorders>
            <w:shd w:val="clear" w:color="FFFFFF" w:fill="FFFFFF"/>
            <w:vAlign w:val="center"/>
          </w:tcPr>
          <w:p w14:paraId="66DB7071" w14:textId="0F5CD7B3" w:rsidR="002555B9" w:rsidRPr="00DC116F" w:rsidRDefault="00511153" w:rsidP="002555B9">
            <w:pPr>
              <w:jc w:val="both"/>
              <w:rPr>
                <w:rFonts w:ascii="Arial" w:hAnsi="Arial" w:cs="Arial"/>
                <w:sz w:val="22"/>
                <w:szCs w:val="22"/>
              </w:rPr>
            </w:pPr>
            <w:r w:rsidRPr="00DC116F">
              <w:rPr>
                <w:rFonts w:ascii="Arial" w:hAnsi="Arial" w:cs="Arial"/>
                <w:sz w:val="22"/>
                <w:szCs w:val="22"/>
              </w:rPr>
              <w:t>Tijekom 2025. godine u sklopu savjetovališta prati se 70 obitelji, u konzultantski tim kao podrška oboljelima i njihovim obiteljima uključen je neurolog, medicinska sestra, radni terapeut</w:t>
            </w:r>
            <w:r w:rsidR="00DC116F">
              <w:rPr>
                <w:rFonts w:ascii="Arial" w:hAnsi="Arial" w:cs="Arial"/>
                <w:sz w:val="22"/>
                <w:szCs w:val="22"/>
              </w:rPr>
              <w:t xml:space="preserve"> i</w:t>
            </w:r>
            <w:r w:rsidRPr="00DC116F">
              <w:rPr>
                <w:rFonts w:ascii="Arial" w:hAnsi="Arial" w:cs="Arial"/>
                <w:sz w:val="22"/>
                <w:szCs w:val="22"/>
              </w:rPr>
              <w:t xml:space="preserve"> </w:t>
            </w:r>
            <w:r w:rsidR="00AC6B12" w:rsidRPr="00DC116F">
              <w:rPr>
                <w:rFonts w:ascii="Arial" w:hAnsi="Arial" w:cs="Arial"/>
                <w:sz w:val="22"/>
                <w:szCs w:val="22"/>
              </w:rPr>
              <w:t>Centar podrške Pula</w:t>
            </w:r>
            <w:r w:rsidR="00DC116F">
              <w:rPr>
                <w:rFonts w:ascii="Arial" w:hAnsi="Arial" w:cs="Arial"/>
                <w:sz w:val="22"/>
                <w:szCs w:val="22"/>
              </w:rPr>
              <w:t>. O</w:t>
            </w:r>
            <w:r w:rsidRPr="00DC116F">
              <w:rPr>
                <w:rFonts w:ascii="Arial" w:hAnsi="Arial" w:cs="Arial"/>
                <w:sz w:val="22"/>
                <w:szCs w:val="22"/>
              </w:rPr>
              <w:t>držane</w:t>
            </w:r>
            <w:r w:rsidR="00CA2B0F" w:rsidRPr="00DC116F">
              <w:rPr>
                <w:rFonts w:ascii="Arial" w:hAnsi="Arial" w:cs="Arial"/>
                <w:sz w:val="22"/>
                <w:szCs w:val="22"/>
              </w:rPr>
              <w:t xml:space="preserve"> su </w:t>
            </w:r>
            <w:r w:rsidRPr="00DC116F">
              <w:rPr>
                <w:rFonts w:ascii="Arial" w:hAnsi="Arial" w:cs="Arial"/>
                <w:sz w:val="22"/>
                <w:szCs w:val="22"/>
              </w:rPr>
              <w:t xml:space="preserve">dvije edukacije za zdravstvene radnike i obitelji oboljelih </w:t>
            </w:r>
            <w:r w:rsidR="00CA2B0F" w:rsidRPr="00DC116F">
              <w:rPr>
                <w:rFonts w:ascii="Arial" w:hAnsi="Arial" w:cs="Arial"/>
                <w:sz w:val="22"/>
                <w:szCs w:val="22"/>
              </w:rPr>
              <w:t>te uspostavljen program vježbi za afaziju za korisnike savjetovališta. Edukacija djelatnika usmjerena je prema radnoj terapiji i svakodnevnoj fizičkoj aktivnosti.</w:t>
            </w:r>
          </w:p>
        </w:tc>
      </w:tr>
    </w:tbl>
    <w:p w14:paraId="2E3E365C" w14:textId="77777777" w:rsidR="004512B6" w:rsidRDefault="004512B6" w:rsidP="002555B9">
      <w:pPr>
        <w:jc w:val="both"/>
        <w:rPr>
          <w:rFonts w:ascii="Arial" w:hAnsi="Arial" w:cs="Arial"/>
          <w:sz w:val="22"/>
          <w:szCs w:val="22"/>
        </w:rPr>
      </w:pPr>
    </w:p>
    <w:p w14:paraId="6E44FDAA" w14:textId="77777777" w:rsidR="004512B6" w:rsidRPr="004F3556" w:rsidRDefault="004512B6" w:rsidP="002555B9">
      <w:pPr>
        <w:jc w:val="both"/>
        <w:rPr>
          <w:rFonts w:ascii="Arial" w:hAnsi="Arial" w:cs="Arial"/>
          <w:sz w:val="22"/>
          <w:szCs w:val="22"/>
        </w:rPr>
      </w:pPr>
    </w:p>
    <w:p w14:paraId="18DCE3A5" w14:textId="77777777" w:rsidR="002555B9" w:rsidRPr="004F3556" w:rsidRDefault="002555B9" w:rsidP="00887B83">
      <w:pPr>
        <w:pStyle w:val="Odlomakpopisa"/>
        <w:numPr>
          <w:ilvl w:val="0"/>
          <w:numId w:val="42"/>
        </w:numPr>
        <w:jc w:val="both"/>
        <w:rPr>
          <w:rFonts w:ascii="Arial" w:hAnsi="Arial" w:cs="Arial"/>
          <w:b/>
          <w:u w:val="single"/>
        </w:rPr>
      </w:pPr>
      <w:r w:rsidRPr="004F3556">
        <w:rPr>
          <w:rFonts w:ascii="Arial" w:hAnsi="Arial" w:cs="Arial"/>
          <w:b/>
          <w:u w:val="single"/>
        </w:rPr>
        <w:t>NAZIV PROGRAMA: EU PROJEKTI OD PRORAČUNSKIH KORISNIKA U ZDRAVSTVU (9202)</w:t>
      </w:r>
    </w:p>
    <w:p w14:paraId="6D15DE92" w14:textId="77777777" w:rsidR="002555B9" w:rsidRPr="004F3556" w:rsidRDefault="002555B9" w:rsidP="002555B9">
      <w:pPr>
        <w:jc w:val="both"/>
        <w:rPr>
          <w:rFonts w:ascii="Arial" w:hAnsi="Arial" w:cs="Arial"/>
          <w:b/>
          <w:sz w:val="22"/>
          <w:szCs w:val="22"/>
          <w:u w:val="single"/>
        </w:rPr>
      </w:pPr>
    </w:p>
    <w:p w14:paraId="7B0878A1" w14:textId="77777777" w:rsidR="002555B9" w:rsidRPr="004F3556" w:rsidRDefault="002555B9" w:rsidP="00887B83">
      <w:pPr>
        <w:pStyle w:val="Odlomakpopisa"/>
        <w:numPr>
          <w:ilvl w:val="1"/>
          <w:numId w:val="42"/>
        </w:numPr>
        <w:rPr>
          <w:rFonts w:ascii="Arial" w:hAnsi="Arial" w:cs="Arial"/>
          <w:b/>
        </w:rPr>
      </w:pPr>
      <w:r w:rsidRPr="004F3556">
        <w:rPr>
          <w:rFonts w:ascii="Arial" w:hAnsi="Arial" w:cs="Arial"/>
          <w:b/>
        </w:rPr>
        <w:t>Projekt "Specijalističko usavršavanje doktora medicine" (T920201)</w:t>
      </w:r>
    </w:p>
    <w:p w14:paraId="43FC1824" w14:textId="6E20FD77" w:rsidR="002555B9" w:rsidRPr="004F3556" w:rsidRDefault="00176D2F" w:rsidP="00DC116F">
      <w:pPr>
        <w:spacing w:before="100" w:beforeAutospacing="1" w:after="100" w:afterAutospacing="1" w:line="276" w:lineRule="auto"/>
        <w:jc w:val="both"/>
        <w:rPr>
          <w:rFonts w:ascii="Arial" w:hAnsi="Arial" w:cs="Arial"/>
          <w:sz w:val="22"/>
          <w:szCs w:val="22"/>
        </w:rPr>
      </w:pPr>
      <w:r w:rsidRPr="00DC116F">
        <w:rPr>
          <w:rFonts w:ascii="Arial" w:hAnsi="Arial" w:cs="Arial"/>
          <w:sz w:val="22"/>
          <w:szCs w:val="22"/>
        </w:rPr>
        <w:t>Aktivnost projekta specijalističkog usavršavanja doktora medicine usmjerena je na osiguravanje kontinuiteta zdravstvene zaštite kroz uključivanje novog medicinskog kadra, posebice u situacijama odlaska liječnika u mirovinu ili prestanka ugovora o zakupu. U sklopu ove aktivnosti provode se specijalizacije odobrene 2018. godine te specijalizacije iz 2023. godine. Program obuhvaća sljedeća specijalistička područja: obiteljska medicina, pedijatrija, ginekologija, fizikalna medicina, medicina rada, interna medicina i klinička radiologija.</w:t>
      </w:r>
    </w:p>
    <w:p w14:paraId="1E98BA55" w14:textId="12667E33" w:rsidR="00DC116F" w:rsidRDefault="002555B9" w:rsidP="002555B9">
      <w:pPr>
        <w:jc w:val="both"/>
        <w:rPr>
          <w:rFonts w:ascii="Arial" w:hAnsi="Arial" w:cs="Arial"/>
          <w:sz w:val="22"/>
          <w:szCs w:val="22"/>
        </w:rPr>
      </w:pPr>
      <w:r w:rsidRPr="004F3556">
        <w:rPr>
          <w:rFonts w:ascii="Arial" w:hAnsi="Arial" w:cs="Arial"/>
          <w:sz w:val="22"/>
          <w:szCs w:val="22"/>
        </w:rPr>
        <w:t>CILJ USPJEŠNOSTI - 2.2.2. Jačanje ljudskih kapaciteta u zdravstvu</w:t>
      </w:r>
    </w:p>
    <w:p w14:paraId="496A8C42" w14:textId="77777777" w:rsidR="00DC116F" w:rsidRDefault="00DC116F" w:rsidP="002555B9">
      <w:pPr>
        <w:jc w:val="both"/>
        <w:rPr>
          <w:rFonts w:ascii="Arial" w:hAnsi="Arial" w:cs="Arial"/>
          <w:sz w:val="22"/>
          <w:szCs w:val="22"/>
        </w:rPr>
      </w:pPr>
    </w:p>
    <w:p w14:paraId="0E93168E" w14:textId="6431111E" w:rsidR="002555B9" w:rsidRPr="004F3556" w:rsidRDefault="002555B9" w:rsidP="002555B9">
      <w:pPr>
        <w:jc w:val="both"/>
        <w:rPr>
          <w:rFonts w:ascii="Arial" w:hAnsi="Arial" w:cs="Arial"/>
          <w:sz w:val="22"/>
          <w:szCs w:val="22"/>
        </w:rPr>
      </w:pPr>
      <w:r w:rsidRPr="004F3556">
        <w:rPr>
          <w:rFonts w:ascii="Arial" w:hAnsi="Arial" w:cs="Arial"/>
          <w:sz w:val="22"/>
          <w:szCs w:val="22"/>
        </w:rPr>
        <w:t>POKAZATELJI USPJEŠNOSTI</w:t>
      </w:r>
    </w:p>
    <w:tbl>
      <w:tblPr>
        <w:tblW w:w="8743" w:type="dxa"/>
        <w:jc w:val="center"/>
        <w:tblLayout w:type="fixed"/>
        <w:tblLook w:val="04A0" w:firstRow="1" w:lastRow="0" w:firstColumn="1" w:lastColumn="0" w:noHBand="0" w:noVBand="1"/>
      </w:tblPr>
      <w:tblGrid>
        <w:gridCol w:w="1980"/>
        <w:gridCol w:w="1376"/>
        <w:gridCol w:w="1418"/>
        <w:gridCol w:w="3969"/>
      </w:tblGrid>
      <w:tr w:rsidR="00994C0F" w:rsidRPr="00994C0F" w14:paraId="057E34EC" w14:textId="77777777" w:rsidTr="00994C0F">
        <w:trPr>
          <w:trHeight w:val="694"/>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3BD4F265" w14:textId="01729B76" w:rsidR="0052172F" w:rsidRPr="00994C0F" w:rsidRDefault="0052172F" w:rsidP="0052172F">
            <w:pPr>
              <w:jc w:val="center"/>
              <w:rPr>
                <w:rFonts w:ascii="Arial" w:hAnsi="Arial" w:cs="Arial"/>
                <w:b/>
                <w:bCs/>
                <w:sz w:val="22"/>
                <w:szCs w:val="22"/>
              </w:rPr>
            </w:pPr>
            <w:bookmarkStart w:id="2" w:name="_Hlk146545836"/>
            <w:r w:rsidRPr="00994C0F">
              <w:rPr>
                <w:rFonts w:ascii="Arial" w:hAnsi="Arial" w:cs="Arial"/>
                <w:b/>
                <w:bCs/>
                <w:sz w:val="22"/>
                <w:szCs w:val="22"/>
              </w:rPr>
              <w:t xml:space="preserve">Pokazatelj rezultata </w:t>
            </w:r>
          </w:p>
        </w:tc>
        <w:tc>
          <w:tcPr>
            <w:tcW w:w="1376"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7363D7FE" w14:textId="5AC15E29" w:rsidR="0052172F" w:rsidRPr="00994C0F" w:rsidRDefault="0052172F" w:rsidP="0052172F">
            <w:pPr>
              <w:jc w:val="center"/>
              <w:rPr>
                <w:rFonts w:ascii="Arial" w:hAnsi="Arial" w:cs="Arial"/>
                <w:b/>
                <w:bCs/>
                <w:sz w:val="22"/>
                <w:szCs w:val="22"/>
              </w:rPr>
            </w:pPr>
            <w:r w:rsidRPr="00994C0F">
              <w:rPr>
                <w:rFonts w:ascii="Arial" w:hAnsi="Arial" w:cs="Arial"/>
                <w:b/>
                <w:bCs/>
                <w:sz w:val="22"/>
                <w:szCs w:val="22"/>
              </w:rPr>
              <w:t>Početna vrijednost</w:t>
            </w:r>
            <w:r w:rsidRPr="00994C0F">
              <w:rPr>
                <w:rFonts w:ascii="Arial" w:hAnsi="Arial" w:cs="Arial"/>
                <w:b/>
                <w:bCs/>
                <w:sz w:val="22"/>
                <w:szCs w:val="22"/>
              </w:rPr>
              <w:br/>
              <w:t>(2025.)</w:t>
            </w:r>
          </w:p>
        </w:tc>
        <w:tc>
          <w:tcPr>
            <w:tcW w:w="1418"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58621A2B" w14:textId="6A03162C" w:rsidR="0052172F" w:rsidRPr="00994C0F" w:rsidRDefault="0052172F" w:rsidP="0052172F">
            <w:pPr>
              <w:jc w:val="center"/>
              <w:rPr>
                <w:rFonts w:ascii="Arial" w:hAnsi="Arial" w:cs="Arial"/>
                <w:b/>
                <w:bCs/>
                <w:sz w:val="22"/>
                <w:szCs w:val="22"/>
              </w:rPr>
            </w:pPr>
            <w:r w:rsidRPr="00994C0F">
              <w:rPr>
                <w:rFonts w:ascii="Arial" w:hAnsi="Arial" w:cs="Arial"/>
                <w:b/>
                <w:bCs/>
                <w:sz w:val="22"/>
                <w:szCs w:val="22"/>
              </w:rPr>
              <w:t>Ciljna</w:t>
            </w:r>
            <w:r w:rsidRPr="00994C0F">
              <w:rPr>
                <w:rFonts w:ascii="Arial" w:hAnsi="Arial" w:cs="Arial"/>
                <w:b/>
                <w:bCs/>
                <w:sz w:val="22"/>
                <w:szCs w:val="22"/>
              </w:rPr>
              <w:br/>
              <w:t>vrijednost</w:t>
            </w:r>
            <w:r w:rsidRPr="00994C0F">
              <w:rPr>
                <w:rFonts w:ascii="Arial" w:hAnsi="Arial" w:cs="Arial"/>
                <w:b/>
                <w:bCs/>
                <w:sz w:val="22"/>
                <w:szCs w:val="22"/>
              </w:rPr>
              <w:br/>
              <w:t>2025.</w:t>
            </w:r>
          </w:p>
        </w:tc>
        <w:tc>
          <w:tcPr>
            <w:tcW w:w="3969"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4692B6DE" w14:textId="431CB2C5" w:rsidR="0052172F" w:rsidRPr="00994C0F" w:rsidRDefault="0052172F" w:rsidP="0052172F">
            <w:pPr>
              <w:jc w:val="center"/>
              <w:rPr>
                <w:rFonts w:ascii="Arial" w:hAnsi="Arial" w:cs="Arial"/>
                <w:b/>
                <w:bCs/>
                <w:sz w:val="22"/>
                <w:szCs w:val="22"/>
              </w:rPr>
            </w:pPr>
            <w:r w:rsidRPr="00994C0F">
              <w:rPr>
                <w:rFonts w:ascii="Arial" w:hAnsi="Arial" w:cs="Arial"/>
                <w:b/>
                <w:bCs/>
                <w:sz w:val="22"/>
                <w:szCs w:val="22"/>
              </w:rPr>
              <w:t>Ostvarena vrijednost u periodu 01.-12/2025.</w:t>
            </w:r>
          </w:p>
        </w:tc>
      </w:tr>
      <w:tr w:rsidR="00994C0F" w:rsidRPr="00994C0F" w14:paraId="71435B53" w14:textId="77777777" w:rsidTr="00994C0F">
        <w:trPr>
          <w:trHeight w:val="726"/>
          <w:jc w:val="center"/>
        </w:trPr>
        <w:tc>
          <w:tcPr>
            <w:tcW w:w="1980" w:type="dxa"/>
            <w:tcBorders>
              <w:top w:val="single" w:sz="4" w:space="0" w:color="000000"/>
              <w:left w:val="single" w:sz="4" w:space="0" w:color="000000"/>
              <w:bottom w:val="single" w:sz="4" w:space="0" w:color="auto"/>
              <w:right w:val="single" w:sz="4" w:space="0" w:color="000000"/>
            </w:tcBorders>
            <w:shd w:val="clear" w:color="FFFFFF" w:fill="FFFFFF"/>
            <w:vAlign w:val="center"/>
          </w:tcPr>
          <w:p w14:paraId="55C10625" w14:textId="77777777" w:rsidR="00E23F94" w:rsidRPr="00994C0F" w:rsidRDefault="00E23F94" w:rsidP="00E23F94">
            <w:pPr>
              <w:jc w:val="center"/>
              <w:rPr>
                <w:rFonts w:ascii="Arial" w:hAnsi="Arial" w:cs="Arial"/>
                <w:sz w:val="22"/>
                <w:szCs w:val="22"/>
              </w:rPr>
            </w:pPr>
            <w:r w:rsidRPr="00994C0F">
              <w:rPr>
                <w:rFonts w:ascii="Arial" w:hAnsi="Arial" w:cs="Arial"/>
                <w:sz w:val="22"/>
                <w:szCs w:val="22"/>
              </w:rPr>
              <w:t>Broj liječnika na specijalizaciji</w:t>
            </w:r>
          </w:p>
        </w:tc>
        <w:tc>
          <w:tcPr>
            <w:tcW w:w="1376" w:type="dxa"/>
            <w:tcBorders>
              <w:top w:val="single" w:sz="4" w:space="0" w:color="000000"/>
              <w:left w:val="nil"/>
              <w:bottom w:val="single" w:sz="4" w:space="0" w:color="auto"/>
              <w:right w:val="single" w:sz="4" w:space="0" w:color="000000"/>
            </w:tcBorders>
            <w:shd w:val="clear" w:color="FFFFFF" w:fill="FFFFFF"/>
            <w:vAlign w:val="center"/>
          </w:tcPr>
          <w:p w14:paraId="69158D0F" w14:textId="77777777" w:rsidR="00E23F94" w:rsidRPr="00994C0F" w:rsidRDefault="00E23F94" w:rsidP="00E23F94">
            <w:pPr>
              <w:jc w:val="center"/>
              <w:rPr>
                <w:rFonts w:ascii="Arial" w:hAnsi="Arial" w:cs="Arial"/>
                <w:sz w:val="22"/>
                <w:szCs w:val="22"/>
              </w:rPr>
            </w:pPr>
            <w:r w:rsidRPr="00994C0F">
              <w:rPr>
                <w:rFonts w:ascii="Arial" w:hAnsi="Arial" w:cs="Arial"/>
                <w:sz w:val="22"/>
                <w:szCs w:val="22"/>
              </w:rPr>
              <w:t>22</w:t>
            </w:r>
          </w:p>
        </w:tc>
        <w:tc>
          <w:tcPr>
            <w:tcW w:w="1418" w:type="dxa"/>
            <w:tcBorders>
              <w:top w:val="single" w:sz="4" w:space="0" w:color="000000"/>
              <w:left w:val="nil"/>
              <w:bottom w:val="single" w:sz="4" w:space="0" w:color="auto"/>
              <w:right w:val="single" w:sz="4" w:space="0" w:color="000000"/>
            </w:tcBorders>
            <w:shd w:val="clear" w:color="FFFFFF" w:fill="FFFFFF"/>
            <w:vAlign w:val="center"/>
          </w:tcPr>
          <w:p w14:paraId="7AD16D8F" w14:textId="349FC063" w:rsidR="00E23F94" w:rsidRPr="00994C0F" w:rsidRDefault="00E23F94" w:rsidP="00E23F94">
            <w:pPr>
              <w:jc w:val="center"/>
              <w:rPr>
                <w:rFonts w:ascii="Arial" w:hAnsi="Arial" w:cs="Arial"/>
                <w:sz w:val="22"/>
                <w:szCs w:val="22"/>
              </w:rPr>
            </w:pPr>
            <w:r w:rsidRPr="00994C0F">
              <w:rPr>
                <w:rFonts w:ascii="Arial" w:hAnsi="Arial" w:cs="Arial"/>
                <w:sz w:val="22"/>
                <w:szCs w:val="22"/>
              </w:rPr>
              <w:t>2</w:t>
            </w:r>
            <w:r w:rsidR="00176D2F" w:rsidRPr="00994C0F">
              <w:rPr>
                <w:rFonts w:ascii="Arial" w:hAnsi="Arial" w:cs="Arial"/>
                <w:sz w:val="22"/>
                <w:szCs w:val="22"/>
              </w:rPr>
              <w:t>5</w:t>
            </w:r>
          </w:p>
        </w:tc>
        <w:tc>
          <w:tcPr>
            <w:tcW w:w="3969" w:type="dxa"/>
            <w:tcBorders>
              <w:top w:val="single" w:sz="4" w:space="0" w:color="000000"/>
              <w:left w:val="nil"/>
              <w:bottom w:val="single" w:sz="4" w:space="0" w:color="auto"/>
              <w:right w:val="single" w:sz="4" w:space="0" w:color="000000"/>
            </w:tcBorders>
            <w:shd w:val="clear" w:color="FFFFFF" w:fill="FFFFFF"/>
            <w:vAlign w:val="center"/>
          </w:tcPr>
          <w:p w14:paraId="339867EE" w14:textId="77777777" w:rsidR="00680E92" w:rsidRPr="00994C0F" w:rsidRDefault="00E23F94" w:rsidP="00680E92">
            <w:pPr>
              <w:jc w:val="center"/>
              <w:rPr>
                <w:rFonts w:ascii="Arial" w:hAnsi="Arial" w:cs="Arial"/>
                <w:sz w:val="22"/>
                <w:szCs w:val="22"/>
              </w:rPr>
            </w:pPr>
            <w:r w:rsidRPr="00994C0F">
              <w:rPr>
                <w:rFonts w:ascii="Arial" w:hAnsi="Arial" w:cs="Arial"/>
                <w:sz w:val="22"/>
                <w:szCs w:val="22"/>
              </w:rPr>
              <w:t>2</w:t>
            </w:r>
            <w:r w:rsidR="00680E92" w:rsidRPr="00994C0F">
              <w:rPr>
                <w:rFonts w:ascii="Arial" w:hAnsi="Arial" w:cs="Arial"/>
                <w:sz w:val="22"/>
                <w:szCs w:val="22"/>
              </w:rPr>
              <w:t xml:space="preserve">8 </w:t>
            </w:r>
          </w:p>
          <w:p w14:paraId="4F65037B" w14:textId="2434B3EF" w:rsidR="00E23F94" w:rsidRPr="00994C0F" w:rsidRDefault="00DC116F" w:rsidP="00DC116F">
            <w:pPr>
              <w:jc w:val="both"/>
              <w:rPr>
                <w:rFonts w:ascii="Arial" w:hAnsi="Arial" w:cs="Arial"/>
              </w:rPr>
            </w:pPr>
            <w:r w:rsidRPr="00994C0F">
              <w:rPr>
                <w:rFonts w:ascii="Arial" w:hAnsi="Arial" w:cs="Arial"/>
              </w:rPr>
              <w:t>krajem</w:t>
            </w:r>
            <w:r w:rsidR="00680E92" w:rsidRPr="00994C0F">
              <w:rPr>
                <w:rFonts w:ascii="Arial" w:hAnsi="Arial" w:cs="Arial"/>
              </w:rPr>
              <w:t xml:space="preserve"> 2025. g</w:t>
            </w:r>
            <w:r w:rsidRPr="00994C0F">
              <w:rPr>
                <w:rFonts w:ascii="Arial" w:hAnsi="Arial" w:cs="Arial"/>
              </w:rPr>
              <w:t xml:space="preserve">odine </w:t>
            </w:r>
            <w:r w:rsidR="00680E92" w:rsidRPr="00994C0F">
              <w:rPr>
                <w:rFonts w:ascii="Arial" w:hAnsi="Arial" w:cs="Arial"/>
              </w:rPr>
              <w:t>završen</w:t>
            </w:r>
            <w:r w:rsidRPr="00994C0F">
              <w:rPr>
                <w:rFonts w:ascii="Arial" w:hAnsi="Arial" w:cs="Arial"/>
              </w:rPr>
              <w:t>e 2</w:t>
            </w:r>
            <w:r w:rsidR="00680E92" w:rsidRPr="00994C0F">
              <w:rPr>
                <w:rFonts w:ascii="Arial" w:hAnsi="Arial" w:cs="Arial"/>
              </w:rPr>
              <w:t xml:space="preserve"> specijalizacij</w:t>
            </w:r>
            <w:r w:rsidRPr="00994C0F">
              <w:rPr>
                <w:rFonts w:ascii="Arial" w:hAnsi="Arial" w:cs="Arial"/>
              </w:rPr>
              <w:t>e iz obiteljske medicine</w:t>
            </w:r>
          </w:p>
        </w:tc>
      </w:tr>
      <w:bookmarkEnd w:id="2"/>
    </w:tbl>
    <w:p w14:paraId="40137098" w14:textId="77777777" w:rsidR="002555B9" w:rsidRPr="004F3556" w:rsidRDefault="002555B9" w:rsidP="002555B9">
      <w:pPr>
        <w:jc w:val="both"/>
        <w:rPr>
          <w:rFonts w:ascii="Arial" w:hAnsi="Arial" w:cs="Arial"/>
          <w:b/>
          <w:sz w:val="22"/>
          <w:szCs w:val="22"/>
        </w:rPr>
      </w:pPr>
    </w:p>
    <w:p w14:paraId="44D3515C" w14:textId="77777777" w:rsidR="002555B9" w:rsidRPr="004F3556" w:rsidRDefault="002555B9" w:rsidP="002555B9">
      <w:pPr>
        <w:jc w:val="both"/>
        <w:rPr>
          <w:rFonts w:ascii="Arial" w:hAnsi="Arial" w:cs="Arial"/>
          <w:b/>
          <w:sz w:val="22"/>
          <w:szCs w:val="22"/>
        </w:rPr>
      </w:pPr>
    </w:p>
    <w:p w14:paraId="79E4FD9A" w14:textId="77777777" w:rsidR="002555B9" w:rsidRPr="0075723C" w:rsidRDefault="002555B9" w:rsidP="00887B83">
      <w:pPr>
        <w:pStyle w:val="Odlomakpopisa"/>
        <w:numPr>
          <w:ilvl w:val="1"/>
          <w:numId w:val="42"/>
        </w:numPr>
        <w:jc w:val="both"/>
        <w:rPr>
          <w:rFonts w:ascii="Arial" w:hAnsi="Arial" w:cs="Arial"/>
          <w:b/>
        </w:rPr>
      </w:pPr>
      <w:r w:rsidRPr="0075723C">
        <w:rPr>
          <w:rFonts w:ascii="Arial" w:hAnsi="Arial" w:cs="Arial"/>
          <w:b/>
        </w:rPr>
        <w:t>Obnova i opremanje putem EU fondova (T920208)</w:t>
      </w:r>
    </w:p>
    <w:p w14:paraId="03BB9828" w14:textId="7D21DEB9" w:rsidR="001C73F5" w:rsidRPr="001C73F5" w:rsidRDefault="001C73F5" w:rsidP="001C73F5">
      <w:pPr>
        <w:pStyle w:val="StandardWeb"/>
        <w:jc w:val="both"/>
        <w:rPr>
          <w:rFonts w:ascii="Arial" w:hAnsi="Arial" w:cs="Arial"/>
          <w:sz w:val="22"/>
          <w:szCs w:val="22"/>
        </w:rPr>
      </w:pPr>
      <w:r w:rsidRPr="001C73F5">
        <w:rPr>
          <w:rFonts w:ascii="Arial" w:hAnsi="Arial" w:cs="Arial"/>
          <w:sz w:val="22"/>
          <w:szCs w:val="22"/>
        </w:rPr>
        <w:t>Prijavom na natječaj za dodjelu bespovratnih sredstava iz EU fondova pod nazivom „Ulaganje u kapacitete za pružanje primarne i specijalističko-konzilijarne zdravstvene zaštite (PZZ i SKZZ)“, koji je objavljen 16.05.2025. godine, predviđa se modernizacija i unapređenje liječničkih ordinacija kroz nabavu potrebne medicinske i druge opreme. Cilj ove aktivnosti je povećanje razine kvalitete, učinkovitosti i dostupnosti zdravstvenih usluga za korisnike. </w:t>
      </w:r>
    </w:p>
    <w:p w14:paraId="025CC24B" w14:textId="77777777" w:rsidR="002555B9" w:rsidRPr="0075723C" w:rsidRDefault="002555B9" w:rsidP="002555B9">
      <w:pPr>
        <w:jc w:val="both"/>
        <w:rPr>
          <w:rFonts w:ascii="Arial" w:hAnsi="Arial" w:cs="Arial"/>
          <w:b/>
          <w:sz w:val="22"/>
          <w:szCs w:val="22"/>
        </w:rPr>
      </w:pPr>
    </w:p>
    <w:p w14:paraId="3B967969" w14:textId="77777777" w:rsidR="002555B9" w:rsidRPr="0075723C" w:rsidRDefault="002555B9" w:rsidP="002555B9">
      <w:pPr>
        <w:jc w:val="both"/>
        <w:rPr>
          <w:rFonts w:ascii="Arial" w:hAnsi="Arial" w:cs="Arial"/>
          <w:b/>
          <w:sz w:val="22"/>
          <w:szCs w:val="22"/>
        </w:rPr>
      </w:pPr>
      <w:r w:rsidRPr="0075723C">
        <w:rPr>
          <w:rFonts w:ascii="Arial" w:hAnsi="Arial" w:cs="Arial"/>
          <w:sz w:val="22"/>
          <w:szCs w:val="22"/>
        </w:rPr>
        <w:t>CILJ USPJEŠNOSTI: 2.2.3. Osiguranje suvremenih i ekološki održivih infrastrukturnih kapaciteta za pružanje zdravstvene zaštite</w:t>
      </w:r>
    </w:p>
    <w:p w14:paraId="16BC7389" w14:textId="77777777" w:rsidR="002555B9" w:rsidRPr="0075723C" w:rsidRDefault="002555B9" w:rsidP="002555B9">
      <w:pPr>
        <w:jc w:val="both"/>
        <w:rPr>
          <w:rFonts w:ascii="Arial" w:hAnsi="Arial" w:cs="Arial"/>
          <w:b/>
          <w:sz w:val="22"/>
          <w:szCs w:val="22"/>
        </w:rPr>
      </w:pPr>
    </w:p>
    <w:tbl>
      <w:tblPr>
        <w:tblW w:w="9526" w:type="dxa"/>
        <w:tblInd w:w="108" w:type="dxa"/>
        <w:tblLayout w:type="fixed"/>
        <w:tblLook w:val="04A0" w:firstRow="1" w:lastRow="0" w:firstColumn="1" w:lastColumn="0" w:noHBand="0" w:noVBand="1"/>
      </w:tblPr>
      <w:tblGrid>
        <w:gridCol w:w="2014"/>
        <w:gridCol w:w="1376"/>
        <w:gridCol w:w="1877"/>
        <w:gridCol w:w="4259"/>
      </w:tblGrid>
      <w:tr w:rsidR="0075723C" w:rsidRPr="0075723C" w14:paraId="411C28DE" w14:textId="77777777" w:rsidTr="001C73F5">
        <w:trPr>
          <w:trHeight w:val="694"/>
        </w:trPr>
        <w:tc>
          <w:tcPr>
            <w:tcW w:w="201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56A916B3" w14:textId="35939C97" w:rsidR="0052172F" w:rsidRPr="0075723C" w:rsidRDefault="0052172F" w:rsidP="0052172F">
            <w:pPr>
              <w:jc w:val="center"/>
              <w:rPr>
                <w:rFonts w:ascii="Arial" w:hAnsi="Arial" w:cs="Arial"/>
                <w:b/>
                <w:bCs/>
                <w:sz w:val="22"/>
                <w:szCs w:val="22"/>
              </w:rPr>
            </w:pPr>
            <w:r w:rsidRPr="0075723C">
              <w:rPr>
                <w:rFonts w:ascii="Arial" w:hAnsi="Arial" w:cs="Arial"/>
                <w:b/>
                <w:bCs/>
                <w:sz w:val="22"/>
                <w:szCs w:val="22"/>
              </w:rPr>
              <w:lastRenderedPageBreak/>
              <w:t xml:space="preserve">Pokazatelj rezultata </w:t>
            </w:r>
          </w:p>
        </w:tc>
        <w:tc>
          <w:tcPr>
            <w:tcW w:w="1376"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2FD8B941" w14:textId="266CB80D" w:rsidR="0052172F" w:rsidRPr="0075723C" w:rsidRDefault="0052172F" w:rsidP="0052172F">
            <w:pPr>
              <w:jc w:val="center"/>
              <w:rPr>
                <w:rFonts w:ascii="Arial" w:hAnsi="Arial" w:cs="Arial"/>
                <w:b/>
                <w:bCs/>
                <w:sz w:val="22"/>
                <w:szCs w:val="22"/>
              </w:rPr>
            </w:pPr>
            <w:r w:rsidRPr="0075723C">
              <w:rPr>
                <w:rFonts w:ascii="Arial" w:hAnsi="Arial" w:cs="Arial"/>
                <w:b/>
                <w:bCs/>
                <w:sz w:val="22"/>
                <w:szCs w:val="22"/>
              </w:rPr>
              <w:t>Početna vrijednost</w:t>
            </w:r>
            <w:r w:rsidRPr="0075723C">
              <w:rPr>
                <w:rFonts w:ascii="Arial" w:hAnsi="Arial" w:cs="Arial"/>
                <w:b/>
                <w:bCs/>
                <w:sz w:val="22"/>
                <w:szCs w:val="22"/>
              </w:rPr>
              <w:br/>
              <w:t>(2025.)</w:t>
            </w:r>
          </w:p>
        </w:tc>
        <w:tc>
          <w:tcPr>
            <w:tcW w:w="1877"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2847BF7E" w14:textId="54F4288A" w:rsidR="0052172F" w:rsidRPr="0075723C" w:rsidRDefault="0052172F" w:rsidP="0052172F">
            <w:pPr>
              <w:jc w:val="center"/>
              <w:rPr>
                <w:rFonts w:ascii="Arial" w:hAnsi="Arial" w:cs="Arial"/>
                <w:b/>
                <w:bCs/>
                <w:sz w:val="22"/>
                <w:szCs w:val="22"/>
              </w:rPr>
            </w:pPr>
            <w:r w:rsidRPr="0075723C">
              <w:rPr>
                <w:rFonts w:ascii="Arial" w:hAnsi="Arial" w:cs="Arial"/>
                <w:b/>
                <w:bCs/>
                <w:sz w:val="22"/>
                <w:szCs w:val="22"/>
              </w:rPr>
              <w:t>Ciljna</w:t>
            </w:r>
            <w:r w:rsidRPr="0075723C">
              <w:rPr>
                <w:rFonts w:ascii="Arial" w:hAnsi="Arial" w:cs="Arial"/>
                <w:b/>
                <w:bCs/>
                <w:sz w:val="22"/>
                <w:szCs w:val="22"/>
              </w:rPr>
              <w:br/>
              <w:t>vrijednost</w:t>
            </w:r>
            <w:r w:rsidRPr="0075723C">
              <w:rPr>
                <w:rFonts w:ascii="Arial" w:hAnsi="Arial" w:cs="Arial"/>
                <w:b/>
                <w:bCs/>
                <w:sz w:val="22"/>
                <w:szCs w:val="22"/>
              </w:rPr>
              <w:br/>
              <w:t>2025.</w:t>
            </w:r>
          </w:p>
        </w:tc>
        <w:tc>
          <w:tcPr>
            <w:tcW w:w="4259"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638A062F" w14:textId="456DC9AB" w:rsidR="0052172F" w:rsidRPr="0075723C" w:rsidRDefault="0052172F" w:rsidP="0052172F">
            <w:pPr>
              <w:jc w:val="center"/>
              <w:rPr>
                <w:rFonts w:ascii="Arial" w:hAnsi="Arial" w:cs="Arial"/>
                <w:b/>
                <w:bCs/>
                <w:sz w:val="22"/>
                <w:szCs w:val="22"/>
              </w:rPr>
            </w:pPr>
            <w:r w:rsidRPr="0075723C">
              <w:rPr>
                <w:rFonts w:ascii="Arial" w:hAnsi="Arial" w:cs="Arial"/>
                <w:b/>
                <w:bCs/>
                <w:sz w:val="22"/>
                <w:szCs w:val="22"/>
              </w:rPr>
              <w:t xml:space="preserve">Ostvarena vrijednost u periodu </w:t>
            </w:r>
            <w:r w:rsidR="001C73F5">
              <w:rPr>
                <w:rFonts w:ascii="Arial" w:hAnsi="Arial" w:cs="Arial"/>
                <w:b/>
                <w:bCs/>
                <w:sz w:val="22"/>
                <w:szCs w:val="22"/>
              </w:rPr>
              <w:t xml:space="preserve">      </w:t>
            </w:r>
            <w:r w:rsidRPr="0075723C">
              <w:rPr>
                <w:rFonts w:ascii="Arial" w:hAnsi="Arial" w:cs="Arial"/>
                <w:b/>
                <w:bCs/>
                <w:sz w:val="22"/>
                <w:szCs w:val="22"/>
              </w:rPr>
              <w:t>01.-12/2025.</w:t>
            </w:r>
          </w:p>
        </w:tc>
      </w:tr>
      <w:tr w:rsidR="0075723C" w:rsidRPr="0075723C" w14:paraId="40E0B702" w14:textId="77777777" w:rsidTr="001C73F5">
        <w:trPr>
          <w:trHeight w:val="1490"/>
        </w:trPr>
        <w:tc>
          <w:tcPr>
            <w:tcW w:w="2014" w:type="dxa"/>
            <w:tcBorders>
              <w:top w:val="nil"/>
              <w:left w:val="single" w:sz="4" w:space="0" w:color="000000"/>
              <w:bottom w:val="single" w:sz="4" w:space="0" w:color="000000"/>
              <w:right w:val="single" w:sz="4" w:space="0" w:color="000000"/>
            </w:tcBorders>
            <w:shd w:val="clear" w:color="FFFFFF" w:fill="FFFFFF"/>
            <w:vAlign w:val="center"/>
          </w:tcPr>
          <w:p w14:paraId="7058A6C9" w14:textId="77777777" w:rsidR="00E23F94" w:rsidRPr="0075723C" w:rsidRDefault="00E23F94" w:rsidP="00E23F94">
            <w:pPr>
              <w:jc w:val="center"/>
              <w:rPr>
                <w:rFonts w:ascii="Arial" w:hAnsi="Arial" w:cs="Arial"/>
                <w:sz w:val="22"/>
                <w:szCs w:val="22"/>
              </w:rPr>
            </w:pPr>
            <w:r w:rsidRPr="0075723C">
              <w:rPr>
                <w:rFonts w:ascii="Arial" w:hAnsi="Arial" w:cs="Arial"/>
                <w:sz w:val="22"/>
                <w:szCs w:val="22"/>
              </w:rPr>
              <w:t>Ukupan iznos dobivenih bespovratnih sredstava</w:t>
            </w:r>
          </w:p>
        </w:tc>
        <w:tc>
          <w:tcPr>
            <w:tcW w:w="1376" w:type="dxa"/>
            <w:tcBorders>
              <w:top w:val="nil"/>
              <w:left w:val="nil"/>
              <w:bottom w:val="single" w:sz="4" w:space="0" w:color="000000"/>
              <w:right w:val="single" w:sz="4" w:space="0" w:color="000000"/>
            </w:tcBorders>
            <w:shd w:val="clear" w:color="FFFFFF" w:fill="FFFFFF"/>
            <w:vAlign w:val="center"/>
          </w:tcPr>
          <w:p w14:paraId="14035A91" w14:textId="77777777" w:rsidR="00E23F94" w:rsidRPr="0075723C" w:rsidRDefault="00E23F94" w:rsidP="00E23F94">
            <w:pPr>
              <w:jc w:val="center"/>
              <w:rPr>
                <w:rFonts w:ascii="Arial" w:hAnsi="Arial" w:cs="Arial"/>
                <w:sz w:val="22"/>
                <w:szCs w:val="22"/>
              </w:rPr>
            </w:pPr>
            <w:r w:rsidRPr="0075723C">
              <w:rPr>
                <w:rFonts w:ascii="Arial" w:hAnsi="Arial" w:cs="Arial"/>
                <w:sz w:val="22"/>
                <w:szCs w:val="22"/>
              </w:rPr>
              <w:t>0</w:t>
            </w:r>
          </w:p>
        </w:tc>
        <w:tc>
          <w:tcPr>
            <w:tcW w:w="1877" w:type="dxa"/>
            <w:tcBorders>
              <w:top w:val="nil"/>
              <w:left w:val="nil"/>
              <w:bottom w:val="single" w:sz="4" w:space="0" w:color="000000"/>
              <w:right w:val="single" w:sz="4" w:space="0" w:color="000000"/>
            </w:tcBorders>
            <w:vAlign w:val="center"/>
          </w:tcPr>
          <w:p w14:paraId="5FB635BB" w14:textId="77777777" w:rsidR="00E23F94" w:rsidRPr="0075723C" w:rsidRDefault="00E23F94" w:rsidP="00E23F94">
            <w:pPr>
              <w:jc w:val="center"/>
              <w:rPr>
                <w:rFonts w:ascii="Arial" w:hAnsi="Arial" w:cs="Arial"/>
                <w:sz w:val="22"/>
                <w:szCs w:val="22"/>
              </w:rPr>
            </w:pPr>
            <w:r w:rsidRPr="00994C0F">
              <w:rPr>
                <w:rFonts w:ascii="Arial" w:hAnsi="Arial" w:cs="Arial"/>
                <w:sz w:val="22"/>
                <w:szCs w:val="22"/>
              </w:rPr>
              <w:t>Opremanje ordinacija u vrijednosti 100.000 eura</w:t>
            </w:r>
          </w:p>
        </w:tc>
        <w:tc>
          <w:tcPr>
            <w:tcW w:w="4259" w:type="dxa"/>
            <w:tcBorders>
              <w:top w:val="nil"/>
              <w:left w:val="nil"/>
              <w:bottom w:val="single" w:sz="4" w:space="0" w:color="000000"/>
              <w:right w:val="single" w:sz="4" w:space="0" w:color="000000"/>
            </w:tcBorders>
            <w:shd w:val="clear" w:color="FFFFFF" w:fill="FFFFFF"/>
            <w:vAlign w:val="center"/>
          </w:tcPr>
          <w:p w14:paraId="6C382497" w14:textId="6A016478" w:rsidR="00E23F94" w:rsidRPr="001C73F5" w:rsidRDefault="001C73F5" w:rsidP="001C73F5">
            <w:pPr>
              <w:pStyle w:val="StandardWeb"/>
              <w:jc w:val="both"/>
              <w:rPr>
                <w:rFonts w:ascii="Arial" w:hAnsi="Arial" w:cs="Arial"/>
                <w:sz w:val="22"/>
                <w:szCs w:val="22"/>
              </w:rPr>
            </w:pPr>
            <w:r w:rsidRPr="001C73F5">
              <w:rPr>
                <w:rFonts w:ascii="Arial" w:hAnsi="Arial" w:cs="Arial"/>
                <w:sz w:val="22"/>
                <w:szCs w:val="22"/>
              </w:rPr>
              <w:t>U tijeku je izrada i prikupljanje cjelokupne potrebne dokumentacije te priprema popisa prihvatljive opreme za PZZ i SKZZ sukladno stvarnim potrebama Ustanove.</w:t>
            </w:r>
            <w:r w:rsidRPr="001C73F5">
              <w:rPr>
                <w:rFonts w:ascii="Arial" w:hAnsi="Arial" w:cs="Arial"/>
                <w:sz w:val="22"/>
                <w:szCs w:val="22"/>
              </w:rPr>
              <w:t xml:space="preserve"> </w:t>
            </w:r>
            <w:r w:rsidRPr="001C73F5">
              <w:rPr>
                <w:rFonts w:ascii="Arial" w:hAnsi="Arial" w:cs="Arial"/>
                <w:sz w:val="22"/>
                <w:szCs w:val="22"/>
              </w:rPr>
              <w:t xml:space="preserve">Rok </w:t>
            </w:r>
            <w:r>
              <w:rPr>
                <w:rFonts w:ascii="Arial" w:hAnsi="Arial" w:cs="Arial"/>
                <w:sz w:val="22"/>
                <w:szCs w:val="22"/>
              </w:rPr>
              <w:t>prijavu za</w:t>
            </w:r>
            <w:r w:rsidRPr="001C73F5">
              <w:rPr>
                <w:rFonts w:ascii="Arial" w:hAnsi="Arial" w:cs="Arial"/>
                <w:sz w:val="22"/>
                <w:szCs w:val="22"/>
              </w:rPr>
              <w:t xml:space="preserve"> predaju </w:t>
            </w:r>
            <w:r>
              <w:rPr>
                <w:rFonts w:ascii="Arial" w:hAnsi="Arial" w:cs="Arial"/>
                <w:sz w:val="22"/>
                <w:szCs w:val="22"/>
              </w:rPr>
              <w:t xml:space="preserve">projektnih prijava je </w:t>
            </w:r>
            <w:r w:rsidRPr="001C73F5">
              <w:rPr>
                <w:rFonts w:ascii="Arial" w:hAnsi="Arial" w:cs="Arial"/>
                <w:sz w:val="22"/>
                <w:szCs w:val="22"/>
              </w:rPr>
              <w:t xml:space="preserve">01.04.2026. </w:t>
            </w:r>
            <w:r>
              <w:rPr>
                <w:rFonts w:ascii="Arial" w:hAnsi="Arial" w:cs="Arial"/>
                <w:sz w:val="22"/>
                <w:szCs w:val="22"/>
              </w:rPr>
              <w:t>g.</w:t>
            </w:r>
          </w:p>
        </w:tc>
      </w:tr>
    </w:tbl>
    <w:p w14:paraId="07D98ED6" w14:textId="77777777" w:rsidR="002555B9" w:rsidRPr="004F3556" w:rsidRDefault="002555B9" w:rsidP="002555B9">
      <w:pPr>
        <w:jc w:val="both"/>
        <w:rPr>
          <w:rFonts w:ascii="Arial" w:hAnsi="Arial" w:cs="Arial"/>
          <w:b/>
          <w:sz w:val="22"/>
          <w:szCs w:val="22"/>
        </w:rPr>
      </w:pPr>
    </w:p>
    <w:p w14:paraId="404969AE" w14:textId="77777777" w:rsidR="002555B9" w:rsidRPr="004F3556" w:rsidRDefault="002555B9" w:rsidP="002555B9">
      <w:pPr>
        <w:jc w:val="both"/>
        <w:rPr>
          <w:rFonts w:ascii="Arial" w:hAnsi="Arial" w:cs="Arial"/>
          <w:b/>
          <w:sz w:val="22"/>
          <w:szCs w:val="22"/>
        </w:rPr>
      </w:pPr>
    </w:p>
    <w:p w14:paraId="41A358BE" w14:textId="77777777" w:rsidR="002555B9" w:rsidRPr="004F3556" w:rsidRDefault="002555B9" w:rsidP="00887B83">
      <w:pPr>
        <w:pStyle w:val="Odlomakpopisa"/>
        <w:numPr>
          <w:ilvl w:val="0"/>
          <w:numId w:val="42"/>
        </w:numPr>
        <w:jc w:val="both"/>
        <w:rPr>
          <w:rFonts w:ascii="Arial" w:hAnsi="Arial" w:cs="Arial"/>
          <w:b/>
          <w:u w:val="single"/>
        </w:rPr>
      </w:pPr>
      <w:r w:rsidRPr="004F3556">
        <w:rPr>
          <w:rFonts w:ascii="Arial" w:hAnsi="Arial" w:cs="Arial"/>
          <w:b/>
          <w:u w:val="single"/>
        </w:rPr>
        <w:t>NAZIV PROGRAMA: PROGRAM MJERA ZA OSIGURAVANJE POTREBNIH LJUDSKIH RESURSA (4215)</w:t>
      </w:r>
    </w:p>
    <w:p w14:paraId="32903AD4" w14:textId="77777777" w:rsidR="002555B9" w:rsidRPr="004F3556" w:rsidRDefault="002555B9" w:rsidP="002555B9">
      <w:pPr>
        <w:jc w:val="both"/>
        <w:rPr>
          <w:rFonts w:ascii="Arial" w:hAnsi="Arial" w:cs="Arial"/>
          <w:b/>
          <w:sz w:val="22"/>
          <w:szCs w:val="22"/>
          <w:u w:val="single"/>
        </w:rPr>
      </w:pPr>
    </w:p>
    <w:p w14:paraId="622DADA2" w14:textId="77777777" w:rsidR="002555B9" w:rsidRPr="004F3556" w:rsidRDefault="002555B9" w:rsidP="00887B83">
      <w:pPr>
        <w:pStyle w:val="Odlomakpopisa"/>
        <w:numPr>
          <w:ilvl w:val="1"/>
          <w:numId w:val="42"/>
        </w:numPr>
        <w:ind w:left="567" w:hanging="567"/>
        <w:rPr>
          <w:rFonts w:ascii="Arial" w:hAnsi="Arial" w:cs="Arial"/>
          <w:b/>
        </w:rPr>
      </w:pPr>
      <w:r w:rsidRPr="004F3556">
        <w:rPr>
          <w:rFonts w:ascii="Arial" w:hAnsi="Arial" w:cs="Arial"/>
          <w:b/>
        </w:rPr>
        <w:t>Stambeno zbrinjavanje po beneficiranim uvjetima (A421502)</w:t>
      </w:r>
    </w:p>
    <w:p w14:paraId="1DA5A1A0" w14:textId="5EAB9AEA" w:rsidR="002555B9" w:rsidRPr="004F3556" w:rsidRDefault="009B5464" w:rsidP="007673EF">
      <w:pPr>
        <w:spacing w:before="100" w:beforeAutospacing="1" w:after="100" w:afterAutospacing="1" w:line="276" w:lineRule="auto"/>
        <w:jc w:val="both"/>
        <w:rPr>
          <w:rFonts w:ascii="Arial" w:hAnsi="Arial" w:cs="Arial"/>
          <w:sz w:val="22"/>
          <w:szCs w:val="22"/>
        </w:rPr>
      </w:pPr>
      <w:r w:rsidRPr="007673EF">
        <w:rPr>
          <w:rFonts w:ascii="Arial" w:hAnsi="Arial" w:cs="Arial"/>
          <w:sz w:val="22"/>
          <w:szCs w:val="22"/>
        </w:rPr>
        <w:t xml:space="preserve">Kontinuirani nedostatak medicinskog kadra predstavlja jedan od ključnih izazova na razini cijele države. Visoki troškovi stanovanja, kao i nedostatak smještajnih kapaciteta tijekom ljetnih mjeseci, dodatno otežavaju privlačenje zdravstvenih radnika na rad u Istru. S ciljem privlačenja deficitarnog medicinskog kadra, jedinice lokalne samouprave u suradnji s Istarskom županijom sudjeluju u sufinanciranju troškova privremenog smještaja, čime se osigurava kontinuitet pružanja zdravstvene zaštite. Istarska županija sufinancira smještaj u iznosu od 300,00 eura mjesečno, dok gradovi i općine — Umag, Pazin, Rovinj, Pula, Vodnjan, Medulin, Labin, Kršan, Pićan, Raša i Sv. Nedelja — sudjeluju u sufinanciranju s iznosima od 50,00 do 300,00 eura mjesečno. Također, </w:t>
      </w:r>
      <w:r w:rsidR="00B36B73" w:rsidRPr="007673EF">
        <w:rPr>
          <w:rFonts w:ascii="Arial" w:hAnsi="Arial" w:cs="Arial"/>
          <w:sz w:val="22"/>
          <w:szCs w:val="22"/>
        </w:rPr>
        <w:t xml:space="preserve">grad </w:t>
      </w:r>
      <w:r w:rsidRPr="007673EF">
        <w:rPr>
          <w:rFonts w:ascii="Arial" w:hAnsi="Arial" w:cs="Arial"/>
          <w:sz w:val="22"/>
          <w:szCs w:val="22"/>
        </w:rPr>
        <w:t>Umag dodatno doprinos</w:t>
      </w:r>
      <w:r w:rsidR="00B36B73" w:rsidRPr="007673EF">
        <w:rPr>
          <w:rFonts w:ascii="Arial" w:hAnsi="Arial" w:cs="Arial"/>
          <w:sz w:val="22"/>
          <w:szCs w:val="22"/>
        </w:rPr>
        <w:t>i</w:t>
      </w:r>
      <w:r w:rsidRPr="007673EF">
        <w:rPr>
          <w:rFonts w:ascii="Arial" w:hAnsi="Arial" w:cs="Arial"/>
          <w:sz w:val="22"/>
          <w:szCs w:val="22"/>
        </w:rPr>
        <w:t xml:space="preserve"> stavljanjem na raspolaganje</w:t>
      </w:r>
      <w:r w:rsidR="00B36B73" w:rsidRPr="007673EF">
        <w:rPr>
          <w:rFonts w:ascii="Arial" w:hAnsi="Arial" w:cs="Arial"/>
          <w:sz w:val="22"/>
          <w:szCs w:val="22"/>
        </w:rPr>
        <w:t xml:space="preserve"> stanova u vlasništvu grada zdravstvenim djelatnicima Istarskih domova zdravlja</w:t>
      </w:r>
      <w:r w:rsidRPr="007673EF">
        <w:rPr>
          <w:rFonts w:ascii="Arial" w:hAnsi="Arial" w:cs="Arial"/>
          <w:sz w:val="22"/>
          <w:szCs w:val="22"/>
        </w:rPr>
        <w:t>. Ova mjera prepoznata je od strane zaposlenika, što potvrđuje sve veći broj zahtjeva za sufinanciranjem stambenog zbrinjavanja.</w:t>
      </w:r>
    </w:p>
    <w:p w14:paraId="179D8956" w14:textId="18DCF7F2" w:rsidR="00365740" w:rsidRPr="004F3556" w:rsidRDefault="002555B9" w:rsidP="002555B9">
      <w:pPr>
        <w:jc w:val="both"/>
        <w:rPr>
          <w:rFonts w:ascii="Arial" w:hAnsi="Arial" w:cs="Arial"/>
          <w:sz w:val="22"/>
          <w:szCs w:val="22"/>
        </w:rPr>
      </w:pPr>
      <w:r w:rsidRPr="004F3556">
        <w:rPr>
          <w:rFonts w:ascii="Arial" w:hAnsi="Arial" w:cs="Arial"/>
          <w:sz w:val="22"/>
          <w:szCs w:val="22"/>
        </w:rPr>
        <w:t>CILJ USPJEŠNOSTI - 2.2.2. Jačanje ljudskih kapaciteta u zdravstvu</w:t>
      </w:r>
    </w:p>
    <w:p w14:paraId="23322433" w14:textId="77777777" w:rsidR="007673EF" w:rsidRPr="004F3556" w:rsidRDefault="007673EF" w:rsidP="002555B9">
      <w:pPr>
        <w:jc w:val="both"/>
        <w:rPr>
          <w:rFonts w:ascii="Arial" w:hAnsi="Arial" w:cs="Arial"/>
          <w:b/>
          <w:sz w:val="22"/>
          <w:szCs w:val="22"/>
        </w:rPr>
      </w:pPr>
    </w:p>
    <w:p w14:paraId="662138D3" w14:textId="77777777" w:rsidR="002555B9" w:rsidRPr="004F3556" w:rsidRDefault="002555B9" w:rsidP="002555B9">
      <w:pPr>
        <w:jc w:val="both"/>
        <w:rPr>
          <w:rFonts w:ascii="Arial" w:hAnsi="Arial" w:cs="Arial"/>
          <w:sz w:val="22"/>
          <w:szCs w:val="22"/>
        </w:rPr>
      </w:pPr>
      <w:r w:rsidRPr="004F3556">
        <w:rPr>
          <w:rFonts w:ascii="Arial" w:hAnsi="Arial" w:cs="Arial"/>
          <w:sz w:val="22"/>
          <w:szCs w:val="22"/>
        </w:rPr>
        <w:t>POKAZATELJI USPJEŠNOSTI</w:t>
      </w:r>
    </w:p>
    <w:tbl>
      <w:tblPr>
        <w:tblW w:w="9498" w:type="dxa"/>
        <w:tblInd w:w="-147" w:type="dxa"/>
        <w:tblLayout w:type="fixed"/>
        <w:tblLook w:val="04A0" w:firstRow="1" w:lastRow="0" w:firstColumn="1" w:lastColumn="0" w:noHBand="0" w:noVBand="1"/>
      </w:tblPr>
      <w:tblGrid>
        <w:gridCol w:w="3970"/>
        <w:gridCol w:w="1417"/>
        <w:gridCol w:w="1417"/>
        <w:gridCol w:w="2694"/>
      </w:tblGrid>
      <w:tr w:rsidR="007673EF" w:rsidRPr="007673EF" w14:paraId="0A59B2F2" w14:textId="77777777" w:rsidTr="007673EF">
        <w:trPr>
          <w:trHeight w:val="694"/>
        </w:trPr>
        <w:tc>
          <w:tcPr>
            <w:tcW w:w="397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238DEC97" w14:textId="05458AFC" w:rsidR="0052172F" w:rsidRPr="007673EF" w:rsidRDefault="0052172F" w:rsidP="0052172F">
            <w:pPr>
              <w:jc w:val="center"/>
              <w:rPr>
                <w:rFonts w:ascii="Arial" w:hAnsi="Arial" w:cs="Arial"/>
                <w:b/>
                <w:bCs/>
                <w:sz w:val="22"/>
                <w:szCs w:val="22"/>
              </w:rPr>
            </w:pPr>
            <w:bookmarkStart w:id="3" w:name="_Hlk146546286"/>
            <w:r w:rsidRPr="007673EF">
              <w:rPr>
                <w:rFonts w:ascii="Arial" w:hAnsi="Arial" w:cs="Arial"/>
                <w:b/>
                <w:bCs/>
                <w:sz w:val="22"/>
                <w:szCs w:val="22"/>
              </w:rPr>
              <w:t xml:space="preserve">Pokazatelj rezultata </w:t>
            </w:r>
          </w:p>
        </w:tc>
        <w:tc>
          <w:tcPr>
            <w:tcW w:w="1417"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16BA32F3" w14:textId="6B9C406F" w:rsidR="0052172F" w:rsidRPr="007673EF" w:rsidRDefault="0052172F" w:rsidP="0052172F">
            <w:pPr>
              <w:jc w:val="center"/>
              <w:rPr>
                <w:rFonts w:ascii="Arial" w:hAnsi="Arial" w:cs="Arial"/>
                <w:b/>
                <w:bCs/>
                <w:sz w:val="22"/>
                <w:szCs w:val="22"/>
              </w:rPr>
            </w:pPr>
            <w:r w:rsidRPr="007673EF">
              <w:rPr>
                <w:rFonts w:ascii="Arial" w:hAnsi="Arial" w:cs="Arial"/>
                <w:b/>
                <w:bCs/>
                <w:sz w:val="22"/>
                <w:szCs w:val="22"/>
              </w:rPr>
              <w:t>Početna vrijednost</w:t>
            </w:r>
            <w:r w:rsidRPr="007673EF">
              <w:rPr>
                <w:rFonts w:ascii="Arial" w:hAnsi="Arial" w:cs="Arial"/>
                <w:b/>
                <w:bCs/>
                <w:sz w:val="22"/>
                <w:szCs w:val="22"/>
              </w:rPr>
              <w:br/>
              <w:t>(2025.)</w:t>
            </w:r>
          </w:p>
        </w:tc>
        <w:tc>
          <w:tcPr>
            <w:tcW w:w="1417"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004162CE" w14:textId="7201FC41" w:rsidR="0052172F" w:rsidRPr="007673EF" w:rsidRDefault="0052172F" w:rsidP="0052172F">
            <w:pPr>
              <w:jc w:val="center"/>
              <w:rPr>
                <w:rFonts w:ascii="Arial" w:hAnsi="Arial" w:cs="Arial"/>
                <w:b/>
                <w:bCs/>
                <w:sz w:val="22"/>
                <w:szCs w:val="22"/>
              </w:rPr>
            </w:pPr>
            <w:r w:rsidRPr="007673EF">
              <w:rPr>
                <w:rFonts w:ascii="Arial" w:hAnsi="Arial" w:cs="Arial"/>
                <w:b/>
                <w:bCs/>
                <w:sz w:val="22"/>
                <w:szCs w:val="22"/>
              </w:rPr>
              <w:t>Ciljna</w:t>
            </w:r>
            <w:r w:rsidRPr="007673EF">
              <w:rPr>
                <w:rFonts w:ascii="Arial" w:hAnsi="Arial" w:cs="Arial"/>
                <w:b/>
                <w:bCs/>
                <w:sz w:val="22"/>
                <w:szCs w:val="22"/>
              </w:rPr>
              <w:br/>
              <w:t>vrijednost</w:t>
            </w:r>
            <w:r w:rsidRPr="007673EF">
              <w:rPr>
                <w:rFonts w:ascii="Arial" w:hAnsi="Arial" w:cs="Arial"/>
                <w:b/>
                <w:bCs/>
                <w:sz w:val="22"/>
                <w:szCs w:val="22"/>
              </w:rPr>
              <w:br/>
              <w:t>2025.</w:t>
            </w:r>
          </w:p>
        </w:tc>
        <w:tc>
          <w:tcPr>
            <w:tcW w:w="2694"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67783A19" w14:textId="511A8878" w:rsidR="0052172F" w:rsidRPr="007673EF" w:rsidRDefault="0052172F" w:rsidP="0052172F">
            <w:pPr>
              <w:jc w:val="center"/>
              <w:rPr>
                <w:rFonts w:ascii="Arial" w:hAnsi="Arial" w:cs="Arial"/>
                <w:b/>
                <w:bCs/>
                <w:sz w:val="22"/>
                <w:szCs w:val="22"/>
              </w:rPr>
            </w:pPr>
            <w:r w:rsidRPr="007673EF">
              <w:rPr>
                <w:rFonts w:ascii="Arial" w:hAnsi="Arial" w:cs="Arial"/>
                <w:b/>
                <w:bCs/>
                <w:sz w:val="22"/>
                <w:szCs w:val="22"/>
              </w:rPr>
              <w:t>Ostvarena vrijednost u periodu 01.-12/2025.</w:t>
            </w:r>
          </w:p>
        </w:tc>
      </w:tr>
      <w:tr w:rsidR="007673EF" w:rsidRPr="007673EF" w14:paraId="1FABFF54" w14:textId="77777777" w:rsidTr="007673EF">
        <w:trPr>
          <w:trHeight w:val="253"/>
        </w:trPr>
        <w:tc>
          <w:tcPr>
            <w:tcW w:w="3970" w:type="dxa"/>
            <w:tcBorders>
              <w:top w:val="nil"/>
              <w:left w:val="single" w:sz="4" w:space="0" w:color="000000"/>
              <w:bottom w:val="single" w:sz="4" w:space="0" w:color="000000"/>
              <w:right w:val="single" w:sz="4" w:space="0" w:color="000000"/>
            </w:tcBorders>
            <w:shd w:val="clear" w:color="FFFFFF" w:fill="FFFFFF"/>
            <w:vAlign w:val="center"/>
          </w:tcPr>
          <w:p w14:paraId="2E3291F5" w14:textId="77777777" w:rsidR="002555B9" w:rsidRPr="007673EF" w:rsidRDefault="002555B9" w:rsidP="002555B9">
            <w:pPr>
              <w:jc w:val="center"/>
              <w:rPr>
                <w:rFonts w:ascii="Arial" w:hAnsi="Arial" w:cs="Arial"/>
                <w:sz w:val="22"/>
                <w:szCs w:val="22"/>
              </w:rPr>
            </w:pPr>
            <w:r w:rsidRPr="007673EF">
              <w:rPr>
                <w:rFonts w:ascii="Arial" w:hAnsi="Arial" w:cs="Arial"/>
                <w:sz w:val="22"/>
                <w:szCs w:val="22"/>
              </w:rPr>
              <w:t>Broj zdravstvenih djelatnika koji koriste mjeru stambenog zbrinjavanja po beneficiranim uvjetima</w:t>
            </w:r>
          </w:p>
        </w:tc>
        <w:tc>
          <w:tcPr>
            <w:tcW w:w="1417" w:type="dxa"/>
            <w:tcBorders>
              <w:top w:val="nil"/>
              <w:left w:val="nil"/>
              <w:bottom w:val="single" w:sz="4" w:space="0" w:color="000000"/>
              <w:right w:val="single" w:sz="4" w:space="0" w:color="000000"/>
            </w:tcBorders>
            <w:shd w:val="clear" w:color="FFFFFF" w:fill="FFFFFF"/>
            <w:vAlign w:val="center"/>
          </w:tcPr>
          <w:p w14:paraId="651625A4" w14:textId="4F7AC172" w:rsidR="002555B9" w:rsidRPr="007673EF" w:rsidRDefault="00904623" w:rsidP="002555B9">
            <w:pPr>
              <w:jc w:val="center"/>
              <w:rPr>
                <w:rFonts w:ascii="Arial" w:hAnsi="Arial" w:cs="Arial"/>
                <w:sz w:val="22"/>
                <w:szCs w:val="22"/>
              </w:rPr>
            </w:pPr>
            <w:r w:rsidRPr="007673EF">
              <w:rPr>
                <w:rFonts w:ascii="Arial" w:hAnsi="Arial" w:cs="Arial"/>
                <w:sz w:val="22"/>
                <w:szCs w:val="22"/>
              </w:rPr>
              <w:t>13</w:t>
            </w:r>
          </w:p>
        </w:tc>
        <w:tc>
          <w:tcPr>
            <w:tcW w:w="1417" w:type="dxa"/>
            <w:tcBorders>
              <w:top w:val="nil"/>
              <w:left w:val="nil"/>
              <w:bottom w:val="single" w:sz="4" w:space="0" w:color="000000"/>
              <w:right w:val="single" w:sz="4" w:space="0" w:color="000000"/>
            </w:tcBorders>
            <w:shd w:val="clear" w:color="FFFFFF" w:fill="FFFFFF"/>
            <w:vAlign w:val="center"/>
          </w:tcPr>
          <w:p w14:paraId="1DAEE2EA" w14:textId="6412DF95" w:rsidR="002555B9" w:rsidRPr="007673EF" w:rsidRDefault="00904623" w:rsidP="002555B9">
            <w:pPr>
              <w:jc w:val="center"/>
              <w:rPr>
                <w:rFonts w:ascii="Arial" w:hAnsi="Arial" w:cs="Arial"/>
                <w:sz w:val="22"/>
                <w:szCs w:val="22"/>
              </w:rPr>
            </w:pPr>
            <w:r w:rsidRPr="007673EF">
              <w:rPr>
                <w:rFonts w:ascii="Arial" w:hAnsi="Arial" w:cs="Arial"/>
                <w:sz w:val="22"/>
                <w:szCs w:val="22"/>
              </w:rPr>
              <w:t>32</w:t>
            </w:r>
          </w:p>
        </w:tc>
        <w:tc>
          <w:tcPr>
            <w:tcW w:w="2694" w:type="dxa"/>
            <w:tcBorders>
              <w:top w:val="nil"/>
              <w:left w:val="nil"/>
              <w:bottom w:val="single" w:sz="4" w:space="0" w:color="000000"/>
              <w:right w:val="single" w:sz="4" w:space="0" w:color="000000"/>
            </w:tcBorders>
            <w:shd w:val="clear" w:color="FFFFFF" w:fill="FFFFFF"/>
            <w:vAlign w:val="center"/>
          </w:tcPr>
          <w:p w14:paraId="5943F8C8" w14:textId="167D7AFF" w:rsidR="00864580" w:rsidRPr="007673EF" w:rsidRDefault="00365740" w:rsidP="003E699A">
            <w:pPr>
              <w:jc w:val="both"/>
              <w:rPr>
                <w:rFonts w:ascii="Arial" w:hAnsi="Arial" w:cs="Arial"/>
                <w:sz w:val="22"/>
                <w:szCs w:val="22"/>
              </w:rPr>
            </w:pPr>
            <w:r w:rsidRPr="007673EF">
              <w:rPr>
                <w:rFonts w:ascii="Arial" w:hAnsi="Arial" w:cs="Arial"/>
                <w:sz w:val="22"/>
                <w:szCs w:val="22"/>
              </w:rPr>
              <w:t xml:space="preserve">Smještaj </w:t>
            </w:r>
            <w:r w:rsidR="007673EF" w:rsidRPr="007673EF">
              <w:rPr>
                <w:rFonts w:ascii="Arial" w:hAnsi="Arial" w:cs="Arial"/>
                <w:sz w:val="22"/>
                <w:szCs w:val="22"/>
              </w:rPr>
              <w:t>20</w:t>
            </w:r>
            <w:r w:rsidR="002555B9" w:rsidRPr="007673EF">
              <w:rPr>
                <w:rFonts w:ascii="Arial" w:hAnsi="Arial" w:cs="Arial"/>
                <w:sz w:val="22"/>
                <w:szCs w:val="22"/>
              </w:rPr>
              <w:t xml:space="preserve"> radnika sufinancira</w:t>
            </w:r>
            <w:r w:rsidRPr="007673EF">
              <w:rPr>
                <w:rFonts w:ascii="Arial" w:hAnsi="Arial" w:cs="Arial"/>
                <w:sz w:val="22"/>
                <w:szCs w:val="22"/>
              </w:rPr>
              <w:t>le</w:t>
            </w:r>
            <w:r w:rsidR="002555B9" w:rsidRPr="007673EF">
              <w:rPr>
                <w:rFonts w:ascii="Arial" w:hAnsi="Arial" w:cs="Arial"/>
                <w:sz w:val="22"/>
                <w:szCs w:val="22"/>
              </w:rPr>
              <w:t xml:space="preserve"> JLS</w:t>
            </w:r>
            <w:r w:rsidR="007673EF">
              <w:rPr>
                <w:rFonts w:ascii="Arial" w:hAnsi="Arial" w:cs="Arial"/>
                <w:sz w:val="22"/>
                <w:szCs w:val="22"/>
              </w:rPr>
              <w:t xml:space="preserve"> dok j</w:t>
            </w:r>
            <w:r w:rsidR="002555B9" w:rsidRPr="007673EF">
              <w:rPr>
                <w:rFonts w:ascii="Arial" w:hAnsi="Arial" w:cs="Arial"/>
                <w:sz w:val="22"/>
                <w:szCs w:val="22"/>
              </w:rPr>
              <w:t xml:space="preserve">e </w:t>
            </w:r>
            <w:r w:rsidRPr="007673EF">
              <w:rPr>
                <w:rFonts w:ascii="Arial" w:hAnsi="Arial" w:cs="Arial"/>
                <w:sz w:val="22"/>
                <w:szCs w:val="22"/>
              </w:rPr>
              <w:t>1</w:t>
            </w:r>
            <w:r w:rsidR="00B12EBF" w:rsidRPr="007673EF">
              <w:rPr>
                <w:rFonts w:ascii="Arial" w:hAnsi="Arial" w:cs="Arial"/>
                <w:sz w:val="22"/>
                <w:szCs w:val="22"/>
              </w:rPr>
              <w:t>8</w:t>
            </w:r>
            <w:r w:rsidR="002555B9" w:rsidRPr="007673EF">
              <w:rPr>
                <w:rFonts w:ascii="Arial" w:hAnsi="Arial" w:cs="Arial"/>
                <w:sz w:val="22"/>
                <w:szCs w:val="22"/>
              </w:rPr>
              <w:t xml:space="preserve"> radnika</w:t>
            </w:r>
            <w:r w:rsidRPr="007673EF">
              <w:rPr>
                <w:rFonts w:ascii="Arial" w:hAnsi="Arial" w:cs="Arial"/>
                <w:sz w:val="22"/>
                <w:szCs w:val="22"/>
              </w:rPr>
              <w:t xml:space="preserve"> sufinancirala Istarska županija</w:t>
            </w:r>
          </w:p>
        </w:tc>
      </w:tr>
      <w:bookmarkEnd w:id="3"/>
    </w:tbl>
    <w:p w14:paraId="246EF7DC" w14:textId="77777777" w:rsidR="002555B9" w:rsidRPr="004F3556" w:rsidRDefault="002555B9" w:rsidP="002555B9">
      <w:pPr>
        <w:jc w:val="both"/>
        <w:rPr>
          <w:rFonts w:ascii="Arial" w:hAnsi="Arial" w:cs="Arial"/>
          <w:b/>
          <w:sz w:val="22"/>
          <w:szCs w:val="22"/>
        </w:rPr>
      </w:pPr>
    </w:p>
    <w:p w14:paraId="50276B31" w14:textId="77777777" w:rsidR="002555B9" w:rsidRPr="004F3556" w:rsidRDefault="002555B9" w:rsidP="002555B9">
      <w:pPr>
        <w:jc w:val="both"/>
        <w:rPr>
          <w:rFonts w:ascii="Arial" w:hAnsi="Arial" w:cs="Arial"/>
          <w:b/>
          <w:sz w:val="22"/>
          <w:szCs w:val="22"/>
        </w:rPr>
      </w:pPr>
    </w:p>
    <w:p w14:paraId="13482074" w14:textId="77777777" w:rsidR="002555B9" w:rsidRPr="004F3556" w:rsidRDefault="002555B9" w:rsidP="00887B83">
      <w:pPr>
        <w:pStyle w:val="Odlomakpopisa"/>
        <w:numPr>
          <w:ilvl w:val="1"/>
          <w:numId w:val="42"/>
        </w:numPr>
        <w:jc w:val="both"/>
        <w:rPr>
          <w:rFonts w:ascii="Arial" w:hAnsi="Arial" w:cs="Arial"/>
          <w:b/>
        </w:rPr>
      </w:pPr>
      <w:r w:rsidRPr="004F3556">
        <w:rPr>
          <w:rFonts w:ascii="Arial" w:hAnsi="Arial" w:cs="Arial"/>
          <w:b/>
        </w:rPr>
        <w:t>Stipendije za učenike (A421504)</w:t>
      </w:r>
    </w:p>
    <w:p w14:paraId="48C3BD96" w14:textId="77777777" w:rsidR="003745DF" w:rsidRPr="007673EF" w:rsidRDefault="000A71BD" w:rsidP="007673EF">
      <w:pPr>
        <w:spacing w:before="100" w:beforeAutospacing="1" w:after="100" w:afterAutospacing="1" w:line="276" w:lineRule="auto"/>
        <w:jc w:val="both"/>
      </w:pPr>
      <w:r w:rsidRPr="007673EF">
        <w:rPr>
          <w:rFonts w:ascii="Arial" w:hAnsi="Arial" w:cs="Arial"/>
          <w:sz w:val="22"/>
          <w:szCs w:val="22"/>
        </w:rPr>
        <w:t xml:space="preserve">Manjak zdravstvenih djelatnika dugogodišnji je izazov zdravstvenog sustava u Republici Hrvatskoj. S ciljem očuvanja stabilnosti i dostupnosti zdravstvene skrbi, župan Istarske županije je u prosincu 2022. godine donio Program mjera usmjeren na osiguravanje potrebnih ljudskih resursa u zdravstvenim ustanovama. U sklopu navedenog Programa, aktivnost Stipendije za učenike predviđa dodjelu stipendija </w:t>
      </w:r>
      <w:r w:rsidR="003745DF" w:rsidRPr="007673EF">
        <w:rPr>
          <w:rFonts w:ascii="Arial" w:hAnsi="Arial" w:cs="Arial"/>
          <w:sz w:val="22"/>
          <w:szCs w:val="22"/>
        </w:rPr>
        <w:t xml:space="preserve">učenicima Medicinske škole Pula unutar školske godine </w:t>
      </w:r>
      <w:r w:rsidRPr="007673EF">
        <w:rPr>
          <w:rFonts w:ascii="Arial" w:hAnsi="Arial" w:cs="Arial"/>
          <w:sz w:val="22"/>
          <w:szCs w:val="22"/>
        </w:rPr>
        <w:t xml:space="preserve">pri čemu je jedan od nositelja provedbe ustanova Istarski domovi zdravlja. </w:t>
      </w:r>
      <w:r w:rsidR="003745DF" w:rsidRPr="007673EF">
        <w:rPr>
          <w:rFonts w:ascii="Arial" w:hAnsi="Arial" w:cs="Arial"/>
          <w:sz w:val="22"/>
          <w:szCs w:val="22"/>
        </w:rPr>
        <w:t>Cilj ove aktivnosti je potaknuti mlade da po završetku obrazovanja svoje prvo zaposlenje ostvare upravo u sustavu Istarskih domova zdravlja. Na taj način doprinosi se postupnom smanjenju opterećenja postojećeg kadra, osigurava se priljev novih, mladih zdravstvenih radnika te se dugoročno jača stabilnost sustava i osigurava kontinuitet pružanja zdravstvene zaštite</w:t>
      </w:r>
      <w:r w:rsidR="003745DF" w:rsidRPr="007673EF">
        <w:t>.</w:t>
      </w:r>
    </w:p>
    <w:p w14:paraId="22A7C997" w14:textId="19EFB552" w:rsidR="002555B9" w:rsidRPr="004F3556" w:rsidRDefault="002555B9" w:rsidP="003745DF">
      <w:pPr>
        <w:spacing w:before="100" w:beforeAutospacing="1" w:after="100" w:afterAutospacing="1"/>
        <w:rPr>
          <w:rFonts w:ascii="Arial" w:hAnsi="Arial" w:cs="Arial"/>
          <w:i/>
          <w:iCs/>
          <w:sz w:val="22"/>
          <w:szCs w:val="22"/>
        </w:rPr>
      </w:pPr>
      <w:r w:rsidRPr="004F3556">
        <w:rPr>
          <w:rFonts w:ascii="Arial" w:hAnsi="Arial" w:cs="Arial"/>
          <w:sz w:val="22"/>
          <w:szCs w:val="22"/>
        </w:rPr>
        <w:lastRenderedPageBreak/>
        <w:t>CILJ USPJEŠNOSTI - 2.2.2. Jačanje ljudskih kapaciteta u zdravstvu</w:t>
      </w:r>
    </w:p>
    <w:p w14:paraId="19ED6373" w14:textId="77777777" w:rsidR="002555B9" w:rsidRPr="004F3556" w:rsidRDefault="002555B9" w:rsidP="002555B9">
      <w:pPr>
        <w:pStyle w:val="Naslov5"/>
        <w:shd w:val="clear" w:color="auto" w:fill="FFFFFF"/>
        <w:spacing w:before="0" w:after="0"/>
        <w:jc w:val="both"/>
        <w:rPr>
          <w:rFonts w:ascii="Arial" w:hAnsi="Arial" w:cs="Arial"/>
          <w:b w:val="0"/>
          <w:bCs w:val="0"/>
          <w:i w:val="0"/>
          <w:iCs w:val="0"/>
          <w:sz w:val="22"/>
          <w:szCs w:val="22"/>
        </w:rPr>
      </w:pPr>
      <w:r w:rsidRPr="004F3556">
        <w:rPr>
          <w:rFonts w:ascii="Arial" w:hAnsi="Arial" w:cs="Arial"/>
          <w:b w:val="0"/>
          <w:bCs w:val="0"/>
          <w:i w:val="0"/>
          <w:iCs w:val="0"/>
          <w:sz w:val="22"/>
          <w:szCs w:val="22"/>
        </w:rPr>
        <w:t>POKAZATELJI USPJEŠNOSTI</w:t>
      </w:r>
    </w:p>
    <w:tbl>
      <w:tblPr>
        <w:tblW w:w="9539" w:type="dxa"/>
        <w:tblInd w:w="-147" w:type="dxa"/>
        <w:tblLayout w:type="fixed"/>
        <w:tblLook w:val="04A0" w:firstRow="1" w:lastRow="0" w:firstColumn="1" w:lastColumn="0" w:noHBand="0" w:noVBand="1"/>
      </w:tblPr>
      <w:tblGrid>
        <w:gridCol w:w="1560"/>
        <w:gridCol w:w="1276"/>
        <w:gridCol w:w="1274"/>
        <w:gridCol w:w="5429"/>
      </w:tblGrid>
      <w:tr w:rsidR="003E699A" w:rsidRPr="003E699A" w14:paraId="26655D11" w14:textId="77777777" w:rsidTr="003E699A">
        <w:trPr>
          <w:trHeight w:val="694"/>
        </w:trPr>
        <w:tc>
          <w:tcPr>
            <w:tcW w:w="156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430CF218" w14:textId="717AE1FF" w:rsidR="0052172F" w:rsidRPr="003E699A" w:rsidRDefault="0052172F" w:rsidP="0052172F">
            <w:pPr>
              <w:jc w:val="center"/>
              <w:rPr>
                <w:rFonts w:ascii="Arial" w:hAnsi="Arial" w:cs="Arial"/>
                <w:b/>
                <w:bCs/>
                <w:sz w:val="22"/>
                <w:szCs w:val="22"/>
              </w:rPr>
            </w:pPr>
            <w:r w:rsidRPr="003E699A">
              <w:rPr>
                <w:rFonts w:ascii="Arial" w:hAnsi="Arial" w:cs="Arial"/>
                <w:b/>
                <w:bCs/>
                <w:sz w:val="22"/>
                <w:szCs w:val="22"/>
              </w:rPr>
              <w:t xml:space="preserve">Pokazatelj rezultata </w:t>
            </w:r>
          </w:p>
        </w:tc>
        <w:tc>
          <w:tcPr>
            <w:tcW w:w="1276"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62B048DA" w14:textId="42C02657" w:rsidR="0052172F" w:rsidRPr="003E699A" w:rsidRDefault="0052172F" w:rsidP="0052172F">
            <w:pPr>
              <w:jc w:val="center"/>
              <w:rPr>
                <w:rFonts w:ascii="Arial" w:hAnsi="Arial" w:cs="Arial"/>
                <w:b/>
                <w:bCs/>
                <w:sz w:val="22"/>
                <w:szCs w:val="22"/>
              </w:rPr>
            </w:pPr>
            <w:r w:rsidRPr="003E699A">
              <w:rPr>
                <w:rFonts w:ascii="Arial" w:hAnsi="Arial" w:cs="Arial"/>
                <w:b/>
                <w:bCs/>
                <w:sz w:val="22"/>
                <w:szCs w:val="22"/>
              </w:rPr>
              <w:t>Početna vrijednost</w:t>
            </w:r>
            <w:r w:rsidRPr="003E699A">
              <w:rPr>
                <w:rFonts w:ascii="Arial" w:hAnsi="Arial" w:cs="Arial"/>
                <w:b/>
                <w:bCs/>
                <w:sz w:val="22"/>
                <w:szCs w:val="22"/>
              </w:rPr>
              <w:br/>
              <w:t>(2025.)</w:t>
            </w:r>
          </w:p>
        </w:tc>
        <w:tc>
          <w:tcPr>
            <w:tcW w:w="1274"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1FE7ADA3" w14:textId="688266D6" w:rsidR="0052172F" w:rsidRPr="003E699A" w:rsidRDefault="0052172F" w:rsidP="0052172F">
            <w:pPr>
              <w:jc w:val="center"/>
              <w:rPr>
                <w:rFonts w:ascii="Arial" w:hAnsi="Arial" w:cs="Arial"/>
                <w:b/>
                <w:bCs/>
                <w:sz w:val="22"/>
                <w:szCs w:val="22"/>
              </w:rPr>
            </w:pPr>
            <w:r w:rsidRPr="003E699A">
              <w:rPr>
                <w:rFonts w:ascii="Arial" w:hAnsi="Arial" w:cs="Arial"/>
                <w:b/>
                <w:bCs/>
                <w:sz w:val="22"/>
                <w:szCs w:val="22"/>
              </w:rPr>
              <w:t>Ciljna</w:t>
            </w:r>
            <w:r w:rsidRPr="003E699A">
              <w:rPr>
                <w:rFonts w:ascii="Arial" w:hAnsi="Arial" w:cs="Arial"/>
                <w:b/>
                <w:bCs/>
                <w:sz w:val="22"/>
                <w:szCs w:val="22"/>
              </w:rPr>
              <w:br/>
              <w:t>vrijednost</w:t>
            </w:r>
            <w:r w:rsidRPr="003E699A">
              <w:rPr>
                <w:rFonts w:ascii="Arial" w:hAnsi="Arial" w:cs="Arial"/>
                <w:b/>
                <w:bCs/>
                <w:sz w:val="22"/>
                <w:szCs w:val="22"/>
              </w:rPr>
              <w:br/>
              <w:t>2025.</w:t>
            </w:r>
          </w:p>
        </w:tc>
        <w:tc>
          <w:tcPr>
            <w:tcW w:w="5429"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15FD02E9" w14:textId="1645556E" w:rsidR="0052172F" w:rsidRPr="003E699A" w:rsidRDefault="0052172F" w:rsidP="0052172F">
            <w:pPr>
              <w:jc w:val="center"/>
              <w:rPr>
                <w:rFonts w:ascii="Arial" w:hAnsi="Arial" w:cs="Arial"/>
                <w:b/>
                <w:bCs/>
                <w:sz w:val="22"/>
                <w:szCs w:val="22"/>
              </w:rPr>
            </w:pPr>
            <w:r w:rsidRPr="003E699A">
              <w:rPr>
                <w:rFonts w:ascii="Arial" w:hAnsi="Arial" w:cs="Arial"/>
                <w:b/>
                <w:bCs/>
                <w:sz w:val="22"/>
                <w:szCs w:val="22"/>
              </w:rPr>
              <w:t>Ostvarena vrijednost u periodu 01.-12/2025.</w:t>
            </w:r>
          </w:p>
        </w:tc>
      </w:tr>
      <w:tr w:rsidR="003E699A" w:rsidRPr="003E699A" w14:paraId="44548D87" w14:textId="77777777" w:rsidTr="003E699A">
        <w:trPr>
          <w:trHeight w:val="415"/>
        </w:trPr>
        <w:tc>
          <w:tcPr>
            <w:tcW w:w="1560" w:type="dxa"/>
            <w:tcBorders>
              <w:top w:val="nil"/>
              <w:left w:val="single" w:sz="4" w:space="0" w:color="000000"/>
              <w:bottom w:val="single" w:sz="4" w:space="0" w:color="000000"/>
              <w:right w:val="single" w:sz="4" w:space="0" w:color="000000"/>
            </w:tcBorders>
            <w:shd w:val="clear" w:color="FFFFFF" w:fill="FFFFFF"/>
            <w:vAlign w:val="center"/>
          </w:tcPr>
          <w:p w14:paraId="19B02667" w14:textId="77777777" w:rsidR="002555B9" w:rsidRPr="003E699A" w:rsidRDefault="002555B9" w:rsidP="002555B9">
            <w:pPr>
              <w:jc w:val="center"/>
              <w:rPr>
                <w:rFonts w:ascii="Arial" w:hAnsi="Arial" w:cs="Arial"/>
                <w:sz w:val="22"/>
                <w:szCs w:val="22"/>
              </w:rPr>
            </w:pPr>
            <w:r w:rsidRPr="003E699A">
              <w:rPr>
                <w:rFonts w:ascii="Arial" w:hAnsi="Arial" w:cs="Arial"/>
                <w:sz w:val="22"/>
                <w:szCs w:val="22"/>
              </w:rPr>
              <w:t>Broj stipendiranih učenika</w:t>
            </w:r>
          </w:p>
        </w:tc>
        <w:tc>
          <w:tcPr>
            <w:tcW w:w="1276" w:type="dxa"/>
            <w:tcBorders>
              <w:top w:val="nil"/>
              <w:left w:val="nil"/>
              <w:bottom w:val="single" w:sz="4" w:space="0" w:color="000000"/>
              <w:right w:val="single" w:sz="4" w:space="0" w:color="000000"/>
            </w:tcBorders>
            <w:shd w:val="clear" w:color="FFFFFF" w:fill="FFFFFF"/>
            <w:vAlign w:val="center"/>
          </w:tcPr>
          <w:p w14:paraId="15BDED00" w14:textId="1035331F" w:rsidR="002555B9" w:rsidRPr="003E699A" w:rsidRDefault="003E699A" w:rsidP="002555B9">
            <w:pPr>
              <w:jc w:val="center"/>
              <w:rPr>
                <w:rFonts w:ascii="Arial" w:hAnsi="Arial" w:cs="Arial"/>
                <w:sz w:val="22"/>
                <w:szCs w:val="22"/>
              </w:rPr>
            </w:pPr>
            <w:r>
              <w:rPr>
                <w:rFonts w:ascii="Arial" w:hAnsi="Arial" w:cs="Arial"/>
                <w:sz w:val="22"/>
                <w:szCs w:val="22"/>
              </w:rPr>
              <w:t>5</w:t>
            </w:r>
          </w:p>
        </w:tc>
        <w:tc>
          <w:tcPr>
            <w:tcW w:w="1274" w:type="dxa"/>
            <w:tcBorders>
              <w:top w:val="nil"/>
              <w:left w:val="nil"/>
              <w:bottom w:val="single" w:sz="4" w:space="0" w:color="000000"/>
              <w:right w:val="single" w:sz="4" w:space="0" w:color="000000"/>
            </w:tcBorders>
            <w:shd w:val="clear" w:color="FFFFFF" w:fill="FFFFFF"/>
            <w:vAlign w:val="center"/>
          </w:tcPr>
          <w:p w14:paraId="3239D997" w14:textId="77777777" w:rsidR="002555B9" w:rsidRPr="003E699A" w:rsidRDefault="002555B9" w:rsidP="002555B9">
            <w:pPr>
              <w:jc w:val="center"/>
              <w:rPr>
                <w:rFonts w:ascii="Arial" w:hAnsi="Arial" w:cs="Arial"/>
                <w:sz w:val="22"/>
                <w:szCs w:val="22"/>
              </w:rPr>
            </w:pPr>
            <w:r w:rsidRPr="003E699A">
              <w:rPr>
                <w:rFonts w:ascii="Arial" w:hAnsi="Arial" w:cs="Arial"/>
                <w:sz w:val="22"/>
                <w:szCs w:val="22"/>
              </w:rPr>
              <w:t>5</w:t>
            </w:r>
          </w:p>
        </w:tc>
        <w:tc>
          <w:tcPr>
            <w:tcW w:w="5429" w:type="dxa"/>
            <w:tcBorders>
              <w:top w:val="nil"/>
              <w:left w:val="nil"/>
              <w:bottom w:val="single" w:sz="4" w:space="0" w:color="000000"/>
              <w:right w:val="single" w:sz="4" w:space="0" w:color="000000"/>
            </w:tcBorders>
            <w:shd w:val="clear" w:color="FFFFFF" w:fill="FFFFFF"/>
            <w:vAlign w:val="center"/>
          </w:tcPr>
          <w:p w14:paraId="705D3F5C" w14:textId="22EAB9F2" w:rsidR="002555B9" w:rsidRPr="003E699A" w:rsidRDefault="000C1CD6" w:rsidP="003E699A">
            <w:pPr>
              <w:jc w:val="both"/>
              <w:rPr>
                <w:rFonts w:ascii="Arial" w:hAnsi="Arial" w:cs="Arial"/>
                <w:sz w:val="22"/>
                <w:szCs w:val="22"/>
              </w:rPr>
            </w:pPr>
            <w:r w:rsidRPr="003E699A">
              <w:rPr>
                <w:rFonts w:ascii="Arial" w:hAnsi="Arial" w:cs="Arial"/>
                <w:sz w:val="22"/>
                <w:szCs w:val="22"/>
              </w:rPr>
              <w:t>U 2025. g</w:t>
            </w:r>
            <w:r w:rsidR="003E699A">
              <w:rPr>
                <w:rFonts w:ascii="Arial" w:hAnsi="Arial" w:cs="Arial"/>
                <w:sz w:val="22"/>
                <w:szCs w:val="22"/>
              </w:rPr>
              <w:t>.</w:t>
            </w:r>
            <w:r w:rsidRPr="003E699A">
              <w:rPr>
                <w:rFonts w:ascii="Arial" w:hAnsi="Arial" w:cs="Arial"/>
                <w:sz w:val="22"/>
                <w:szCs w:val="22"/>
              </w:rPr>
              <w:t xml:space="preserve"> nastavljeno je stipendiranje 5 učenika iz 2024. g</w:t>
            </w:r>
            <w:r w:rsidR="003E699A">
              <w:rPr>
                <w:rFonts w:ascii="Arial" w:hAnsi="Arial" w:cs="Arial"/>
                <w:sz w:val="22"/>
                <w:szCs w:val="22"/>
              </w:rPr>
              <w:t>.</w:t>
            </w:r>
            <w:r w:rsidRPr="003E699A">
              <w:rPr>
                <w:rFonts w:ascii="Arial" w:hAnsi="Arial" w:cs="Arial"/>
                <w:sz w:val="22"/>
                <w:szCs w:val="22"/>
              </w:rPr>
              <w:t xml:space="preserve"> za razdoblje 01.-06.2025. godine sa iznosom od 250,00 eura mjesečno. Također u 2025. g</w:t>
            </w:r>
            <w:r w:rsidR="003E699A">
              <w:rPr>
                <w:rFonts w:ascii="Arial" w:hAnsi="Arial" w:cs="Arial"/>
                <w:sz w:val="22"/>
                <w:szCs w:val="22"/>
              </w:rPr>
              <w:t>.</w:t>
            </w:r>
            <w:r w:rsidRPr="003E699A">
              <w:rPr>
                <w:rFonts w:ascii="Arial" w:hAnsi="Arial" w:cs="Arial"/>
                <w:sz w:val="22"/>
                <w:szCs w:val="22"/>
              </w:rPr>
              <w:t xml:space="preserve"> u stipendiranje su uključena još 2 učenika 4. i 5. godine Medicinske škole u Puli za stipendirano razdoblje 09.2024</w:t>
            </w:r>
            <w:r w:rsidR="003E699A">
              <w:rPr>
                <w:rFonts w:ascii="Arial" w:hAnsi="Arial" w:cs="Arial"/>
                <w:sz w:val="22"/>
                <w:szCs w:val="22"/>
              </w:rPr>
              <w:t>.</w:t>
            </w:r>
            <w:r w:rsidRPr="003E699A">
              <w:rPr>
                <w:rFonts w:ascii="Arial" w:hAnsi="Arial" w:cs="Arial"/>
                <w:sz w:val="22"/>
                <w:szCs w:val="22"/>
              </w:rPr>
              <w:t>-06.2025. g. Sveukupno je stipendirano 7 učenika te je utrošen cjelokupan iznos ugovorenih sredstava od 12.500,00 eura</w:t>
            </w:r>
          </w:p>
        </w:tc>
      </w:tr>
    </w:tbl>
    <w:p w14:paraId="5110475B" w14:textId="77777777" w:rsidR="00E86DED" w:rsidRDefault="00E86DED" w:rsidP="002555B9">
      <w:pPr>
        <w:jc w:val="both"/>
        <w:rPr>
          <w:rFonts w:ascii="Arial" w:hAnsi="Arial" w:cs="Arial"/>
          <w:b/>
          <w:color w:val="EE0000"/>
          <w:sz w:val="28"/>
          <w:szCs w:val="28"/>
        </w:rPr>
      </w:pPr>
    </w:p>
    <w:p w14:paraId="56604017" w14:textId="1619EE5B" w:rsidR="00326B85" w:rsidRDefault="00326B85" w:rsidP="00887B83">
      <w:pPr>
        <w:pStyle w:val="Odlomakpopisa"/>
        <w:numPr>
          <w:ilvl w:val="1"/>
          <w:numId w:val="42"/>
        </w:numPr>
        <w:jc w:val="both"/>
        <w:rPr>
          <w:rFonts w:ascii="Arial" w:hAnsi="Arial" w:cs="Arial"/>
          <w:b/>
        </w:rPr>
      </w:pPr>
      <w:r w:rsidRPr="00326B85">
        <w:rPr>
          <w:rFonts w:ascii="Arial" w:hAnsi="Arial" w:cs="Arial"/>
          <w:b/>
        </w:rPr>
        <w:t>Stipendije za studente (A421508)</w:t>
      </w:r>
    </w:p>
    <w:p w14:paraId="13AEEA88" w14:textId="16325D3F" w:rsidR="00326B85" w:rsidRPr="003E699A" w:rsidRDefault="00326B85" w:rsidP="003E699A">
      <w:pPr>
        <w:spacing w:before="100" w:beforeAutospacing="1" w:after="100" w:afterAutospacing="1" w:line="276" w:lineRule="auto"/>
        <w:jc w:val="both"/>
        <w:rPr>
          <w:rFonts w:ascii="Arial" w:hAnsi="Arial" w:cs="Arial"/>
          <w:b/>
          <w:sz w:val="22"/>
          <w:szCs w:val="22"/>
        </w:rPr>
      </w:pPr>
      <w:r w:rsidRPr="003E699A">
        <w:rPr>
          <w:rFonts w:ascii="Arial" w:hAnsi="Arial" w:cs="Arial"/>
          <w:sz w:val="22"/>
          <w:szCs w:val="22"/>
        </w:rPr>
        <w:t xml:space="preserve">Zdravstveni sustav u Hrvatskoj već dulje vrijeme bilježi manjak obrazovanih i kvalificiranih zdravstvenih djelatnika. Kako bi se osigurao kontinuitet zdravstvene zaštite i privukao novi kadar, Istarska županija u sklopu Programa mjera za osiguranje potrebnih ljudskih resursa dodjeljuje stipendije redovnim studentima 4., 5. i 6. godine medicine. Stipendirani studenti, po završetku studija, započet će svoj profesionalni rad u Istarskim domovima zdravlja. </w:t>
      </w:r>
      <w:r w:rsidR="00B35391" w:rsidRPr="003E699A">
        <w:rPr>
          <w:rFonts w:ascii="Arial" w:hAnsi="Arial" w:cs="Arial"/>
          <w:sz w:val="22"/>
          <w:szCs w:val="22"/>
        </w:rPr>
        <w:t>Na ovaj način u zdravstvene ustanove dolazi svježi i obrazovani medicinski kadar, smanjuje se pritisak na aktualno osoblje te se osigurava dugoročna održivost i pouzdanost zdravstvenog sustava.</w:t>
      </w:r>
    </w:p>
    <w:p w14:paraId="1D5D1305" w14:textId="5E16625D" w:rsidR="003E699A" w:rsidRPr="00AD78FF" w:rsidRDefault="002136FB" w:rsidP="00AD78FF">
      <w:pPr>
        <w:spacing w:before="100" w:beforeAutospacing="1" w:after="100" w:afterAutospacing="1"/>
        <w:rPr>
          <w:rFonts w:ascii="Arial" w:hAnsi="Arial" w:cs="Arial"/>
          <w:i/>
          <w:iCs/>
          <w:sz w:val="22"/>
          <w:szCs w:val="22"/>
        </w:rPr>
      </w:pPr>
      <w:r w:rsidRPr="004F3556">
        <w:rPr>
          <w:rFonts w:ascii="Arial" w:hAnsi="Arial" w:cs="Arial"/>
          <w:sz w:val="22"/>
          <w:szCs w:val="22"/>
        </w:rPr>
        <w:t>CILJ USPJEŠNOSTI - 2.2.2. Jačanje ljudskih kapaciteta u zdravstvu</w:t>
      </w:r>
    </w:p>
    <w:p w14:paraId="55543D1F" w14:textId="3A59AD60" w:rsidR="002136FB" w:rsidRPr="004F3556" w:rsidRDefault="002136FB" w:rsidP="002136FB">
      <w:pPr>
        <w:pStyle w:val="Naslov5"/>
        <w:shd w:val="clear" w:color="auto" w:fill="FFFFFF"/>
        <w:spacing w:before="0" w:after="0"/>
        <w:jc w:val="both"/>
        <w:rPr>
          <w:rFonts w:ascii="Arial" w:hAnsi="Arial" w:cs="Arial"/>
          <w:b w:val="0"/>
          <w:bCs w:val="0"/>
          <w:i w:val="0"/>
          <w:iCs w:val="0"/>
          <w:sz w:val="22"/>
          <w:szCs w:val="22"/>
        </w:rPr>
      </w:pPr>
      <w:r w:rsidRPr="004F3556">
        <w:rPr>
          <w:rFonts w:ascii="Arial" w:hAnsi="Arial" w:cs="Arial"/>
          <w:b w:val="0"/>
          <w:bCs w:val="0"/>
          <w:i w:val="0"/>
          <w:iCs w:val="0"/>
          <w:sz w:val="22"/>
          <w:szCs w:val="22"/>
        </w:rPr>
        <w:t>POKAZATELJI USPJEŠNOSTI</w:t>
      </w:r>
    </w:p>
    <w:tbl>
      <w:tblPr>
        <w:tblW w:w="9498" w:type="dxa"/>
        <w:tblInd w:w="-147" w:type="dxa"/>
        <w:tblLayout w:type="fixed"/>
        <w:tblLook w:val="04A0" w:firstRow="1" w:lastRow="0" w:firstColumn="1" w:lastColumn="0" w:noHBand="0" w:noVBand="1"/>
      </w:tblPr>
      <w:tblGrid>
        <w:gridCol w:w="2127"/>
        <w:gridCol w:w="1376"/>
        <w:gridCol w:w="1274"/>
        <w:gridCol w:w="4721"/>
      </w:tblGrid>
      <w:tr w:rsidR="00AD78FF" w:rsidRPr="00AD78FF" w14:paraId="5A640DA5" w14:textId="77777777" w:rsidTr="003E699A">
        <w:trPr>
          <w:trHeight w:val="694"/>
        </w:trPr>
        <w:tc>
          <w:tcPr>
            <w:tcW w:w="212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1BB99F1D" w14:textId="77777777" w:rsidR="002136FB" w:rsidRPr="00AD78FF" w:rsidRDefault="002136FB" w:rsidP="005D252F">
            <w:pPr>
              <w:jc w:val="center"/>
              <w:rPr>
                <w:rFonts w:ascii="Arial" w:hAnsi="Arial" w:cs="Arial"/>
                <w:b/>
                <w:bCs/>
                <w:sz w:val="22"/>
                <w:szCs w:val="22"/>
              </w:rPr>
            </w:pPr>
            <w:r w:rsidRPr="00AD78FF">
              <w:rPr>
                <w:rFonts w:ascii="Arial" w:hAnsi="Arial" w:cs="Arial"/>
                <w:b/>
                <w:bCs/>
                <w:sz w:val="22"/>
                <w:szCs w:val="22"/>
              </w:rPr>
              <w:t xml:space="preserve">Pokazatelj rezultata </w:t>
            </w:r>
          </w:p>
        </w:tc>
        <w:tc>
          <w:tcPr>
            <w:tcW w:w="1376"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3B19CEA3" w14:textId="77777777" w:rsidR="002136FB" w:rsidRPr="00AD78FF" w:rsidRDefault="002136FB" w:rsidP="005D252F">
            <w:pPr>
              <w:jc w:val="center"/>
              <w:rPr>
                <w:rFonts w:ascii="Arial" w:hAnsi="Arial" w:cs="Arial"/>
                <w:b/>
                <w:bCs/>
                <w:sz w:val="22"/>
                <w:szCs w:val="22"/>
              </w:rPr>
            </w:pPr>
            <w:r w:rsidRPr="00AD78FF">
              <w:rPr>
                <w:rFonts w:ascii="Arial" w:hAnsi="Arial" w:cs="Arial"/>
                <w:b/>
                <w:bCs/>
                <w:sz w:val="22"/>
                <w:szCs w:val="22"/>
              </w:rPr>
              <w:t>Početna vrijednost</w:t>
            </w:r>
            <w:r w:rsidRPr="00AD78FF">
              <w:rPr>
                <w:rFonts w:ascii="Arial" w:hAnsi="Arial" w:cs="Arial"/>
                <w:b/>
                <w:bCs/>
                <w:sz w:val="22"/>
                <w:szCs w:val="22"/>
              </w:rPr>
              <w:br/>
              <w:t>(2025.)</w:t>
            </w:r>
          </w:p>
        </w:tc>
        <w:tc>
          <w:tcPr>
            <w:tcW w:w="1274"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68191868" w14:textId="77777777" w:rsidR="002136FB" w:rsidRPr="00AD78FF" w:rsidRDefault="002136FB" w:rsidP="005D252F">
            <w:pPr>
              <w:jc w:val="center"/>
              <w:rPr>
                <w:rFonts w:ascii="Arial" w:hAnsi="Arial" w:cs="Arial"/>
                <w:b/>
                <w:bCs/>
                <w:sz w:val="22"/>
                <w:szCs w:val="22"/>
              </w:rPr>
            </w:pPr>
            <w:r w:rsidRPr="00AD78FF">
              <w:rPr>
                <w:rFonts w:ascii="Arial" w:hAnsi="Arial" w:cs="Arial"/>
                <w:b/>
                <w:bCs/>
                <w:sz w:val="22"/>
                <w:szCs w:val="22"/>
              </w:rPr>
              <w:t>Ciljna</w:t>
            </w:r>
            <w:r w:rsidRPr="00AD78FF">
              <w:rPr>
                <w:rFonts w:ascii="Arial" w:hAnsi="Arial" w:cs="Arial"/>
                <w:b/>
                <w:bCs/>
                <w:sz w:val="22"/>
                <w:szCs w:val="22"/>
              </w:rPr>
              <w:br/>
              <w:t>vrijednost</w:t>
            </w:r>
            <w:r w:rsidRPr="00AD78FF">
              <w:rPr>
                <w:rFonts w:ascii="Arial" w:hAnsi="Arial" w:cs="Arial"/>
                <w:b/>
                <w:bCs/>
                <w:sz w:val="22"/>
                <w:szCs w:val="22"/>
              </w:rPr>
              <w:br/>
              <w:t>2025.</w:t>
            </w:r>
          </w:p>
        </w:tc>
        <w:tc>
          <w:tcPr>
            <w:tcW w:w="4721"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25CA3BC7" w14:textId="77777777" w:rsidR="002136FB" w:rsidRPr="00AD78FF" w:rsidRDefault="002136FB" w:rsidP="005D252F">
            <w:pPr>
              <w:jc w:val="center"/>
              <w:rPr>
                <w:rFonts w:ascii="Arial" w:hAnsi="Arial" w:cs="Arial"/>
                <w:b/>
                <w:bCs/>
                <w:sz w:val="22"/>
                <w:szCs w:val="22"/>
              </w:rPr>
            </w:pPr>
            <w:r w:rsidRPr="00AD78FF">
              <w:rPr>
                <w:rFonts w:ascii="Arial" w:hAnsi="Arial" w:cs="Arial"/>
                <w:b/>
                <w:bCs/>
                <w:sz w:val="22"/>
                <w:szCs w:val="22"/>
              </w:rPr>
              <w:t>Ostvarena vrijednost u periodu 01.-12/2025.</w:t>
            </w:r>
          </w:p>
        </w:tc>
      </w:tr>
      <w:tr w:rsidR="00AD78FF" w:rsidRPr="00AD78FF" w14:paraId="3B2B0066" w14:textId="77777777" w:rsidTr="003E699A">
        <w:trPr>
          <w:trHeight w:val="415"/>
        </w:trPr>
        <w:tc>
          <w:tcPr>
            <w:tcW w:w="2127" w:type="dxa"/>
            <w:tcBorders>
              <w:top w:val="nil"/>
              <w:left w:val="single" w:sz="4" w:space="0" w:color="000000"/>
              <w:bottom w:val="single" w:sz="4" w:space="0" w:color="000000"/>
              <w:right w:val="single" w:sz="4" w:space="0" w:color="000000"/>
            </w:tcBorders>
            <w:shd w:val="clear" w:color="FFFFFF" w:fill="FFFFFF"/>
            <w:vAlign w:val="center"/>
          </w:tcPr>
          <w:p w14:paraId="4B6C504D" w14:textId="4B6C4158" w:rsidR="002136FB" w:rsidRPr="00AD78FF" w:rsidRDefault="002136FB" w:rsidP="005D252F">
            <w:pPr>
              <w:jc w:val="center"/>
              <w:rPr>
                <w:rFonts w:ascii="Arial" w:hAnsi="Arial" w:cs="Arial"/>
                <w:sz w:val="22"/>
                <w:szCs w:val="22"/>
              </w:rPr>
            </w:pPr>
            <w:r w:rsidRPr="00AD78FF">
              <w:rPr>
                <w:rFonts w:ascii="Arial" w:hAnsi="Arial" w:cs="Arial"/>
                <w:sz w:val="22"/>
                <w:szCs w:val="22"/>
              </w:rPr>
              <w:t>Broj stipendiranih studenata</w:t>
            </w:r>
          </w:p>
        </w:tc>
        <w:tc>
          <w:tcPr>
            <w:tcW w:w="1376" w:type="dxa"/>
            <w:tcBorders>
              <w:top w:val="nil"/>
              <w:left w:val="nil"/>
              <w:bottom w:val="single" w:sz="4" w:space="0" w:color="000000"/>
              <w:right w:val="single" w:sz="4" w:space="0" w:color="000000"/>
            </w:tcBorders>
            <w:shd w:val="clear" w:color="FFFFFF" w:fill="FFFFFF"/>
            <w:vAlign w:val="center"/>
          </w:tcPr>
          <w:p w14:paraId="15518041" w14:textId="727D75AE" w:rsidR="002136FB" w:rsidRPr="00AD78FF" w:rsidRDefault="002136FB" w:rsidP="005D252F">
            <w:pPr>
              <w:jc w:val="center"/>
              <w:rPr>
                <w:rFonts w:ascii="Arial" w:hAnsi="Arial" w:cs="Arial"/>
                <w:sz w:val="22"/>
                <w:szCs w:val="22"/>
                <w:highlight w:val="yellow"/>
              </w:rPr>
            </w:pPr>
            <w:r w:rsidRPr="00AD78FF">
              <w:rPr>
                <w:rFonts w:ascii="Arial" w:hAnsi="Arial" w:cs="Arial"/>
                <w:sz w:val="22"/>
                <w:szCs w:val="22"/>
              </w:rPr>
              <w:t>0</w:t>
            </w:r>
          </w:p>
        </w:tc>
        <w:tc>
          <w:tcPr>
            <w:tcW w:w="1274" w:type="dxa"/>
            <w:tcBorders>
              <w:top w:val="nil"/>
              <w:left w:val="nil"/>
              <w:bottom w:val="single" w:sz="4" w:space="0" w:color="000000"/>
              <w:right w:val="single" w:sz="4" w:space="0" w:color="000000"/>
            </w:tcBorders>
            <w:shd w:val="clear" w:color="FFFFFF" w:fill="FFFFFF"/>
            <w:vAlign w:val="center"/>
          </w:tcPr>
          <w:p w14:paraId="72B1EEC3" w14:textId="67324898" w:rsidR="002136FB" w:rsidRPr="00AD78FF" w:rsidRDefault="002136FB" w:rsidP="005D252F">
            <w:pPr>
              <w:jc w:val="center"/>
              <w:rPr>
                <w:rFonts w:ascii="Arial" w:hAnsi="Arial" w:cs="Arial"/>
                <w:sz w:val="22"/>
                <w:szCs w:val="22"/>
                <w:highlight w:val="yellow"/>
              </w:rPr>
            </w:pPr>
            <w:r w:rsidRPr="00AD78FF">
              <w:rPr>
                <w:rFonts w:ascii="Arial" w:hAnsi="Arial" w:cs="Arial"/>
                <w:sz w:val="22"/>
                <w:szCs w:val="22"/>
              </w:rPr>
              <w:t>10</w:t>
            </w:r>
          </w:p>
        </w:tc>
        <w:tc>
          <w:tcPr>
            <w:tcW w:w="4721" w:type="dxa"/>
            <w:tcBorders>
              <w:top w:val="nil"/>
              <w:left w:val="nil"/>
              <w:bottom w:val="single" w:sz="4" w:space="0" w:color="000000"/>
              <w:right w:val="single" w:sz="4" w:space="0" w:color="000000"/>
            </w:tcBorders>
            <w:shd w:val="clear" w:color="FFFFFF" w:fill="FFFFFF"/>
            <w:vAlign w:val="center"/>
          </w:tcPr>
          <w:p w14:paraId="2F21B50A" w14:textId="7B052382" w:rsidR="002136FB" w:rsidRPr="00AD78FF" w:rsidRDefault="002136FB" w:rsidP="005D252F">
            <w:pPr>
              <w:jc w:val="center"/>
              <w:rPr>
                <w:rFonts w:ascii="Arial" w:hAnsi="Arial" w:cs="Arial"/>
                <w:sz w:val="22"/>
                <w:szCs w:val="22"/>
              </w:rPr>
            </w:pPr>
            <w:r w:rsidRPr="00AD78FF">
              <w:rPr>
                <w:rFonts w:ascii="Arial" w:hAnsi="Arial" w:cs="Arial"/>
                <w:sz w:val="22"/>
                <w:szCs w:val="22"/>
              </w:rPr>
              <w:t>U akademskoj godini 2024/2025. stipendirano je ukupno 8 studenata s mjesečnim iznosom stipendije od 1.000 eura</w:t>
            </w:r>
            <w:r w:rsidR="003E699A" w:rsidRPr="00AD78FF">
              <w:rPr>
                <w:rFonts w:ascii="Arial" w:hAnsi="Arial" w:cs="Arial"/>
                <w:sz w:val="22"/>
                <w:szCs w:val="22"/>
              </w:rPr>
              <w:t>/</w:t>
            </w:r>
            <w:proofErr w:type="spellStart"/>
            <w:r w:rsidR="003E699A" w:rsidRPr="00AD78FF">
              <w:rPr>
                <w:rFonts w:ascii="Arial" w:hAnsi="Arial" w:cs="Arial"/>
                <w:sz w:val="22"/>
                <w:szCs w:val="22"/>
              </w:rPr>
              <w:t>mj</w:t>
            </w:r>
            <w:proofErr w:type="spellEnd"/>
            <w:r w:rsidRPr="00AD78FF">
              <w:rPr>
                <w:rFonts w:ascii="Arial" w:hAnsi="Arial" w:cs="Arial"/>
                <w:sz w:val="22"/>
                <w:szCs w:val="22"/>
              </w:rPr>
              <w:t xml:space="preserve"> po studentu</w:t>
            </w:r>
          </w:p>
        </w:tc>
      </w:tr>
    </w:tbl>
    <w:p w14:paraId="6D8579EB" w14:textId="77777777" w:rsidR="00326B85" w:rsidRDefault="00326B85" w:rsidP="00326B85">
      <w:pPr>
        <w:jc w:val="both"/>
        <w:rPr>
          <w:rFonts w:ascii="Arial" w:hAnsi="Arial" w:cs="Arial"/>
          <w:b/>
        </w:rPr>
      </w:pPr>
    </w:p>
    <w:p w14:paraId="47C08FA3" w14:textId="77777777" w:rsidR="003E699A" w:rsidRDefault="003E699A" w:rsidP="00326B85">
      <w:pPr>
        <w:jc w:val="both"/>
        <w:rPr>
          <w:rFonts w:ascii="Arial" w:hAnsi="Arial" w:cs="Arial"/>
          <w:b/>
        </w:rPr>
      </w:pPr>
    </w:p>
    <w:p w14:paraId="41DB96BA" w14:textId="64794BFB" w:rsidR="002555B9" w:rsidRPr="004F3556" w:rsidRDefault="004424AB" w:rsidP="00887B83">
      <w:pPr>
        <w:pStyle w:val="Odlomakpopisa"/>
        <w:numPr>
          <w:ilvl w:val="1"/>
          <w:numId w:val="42"/>
        </w:numPr>
        <w:jc w:val="both"/>
        <w:rPr>
          <w:rFonts w:ascii="Arial" w:hAnsi="Arial" w:cs="Arial"/>
          <w:b/>
        </w:rPr>
      </w:pPr>
      <w:r>
        <w:rPr>
          <w:rFonts w:ascii="Arial" w:hAnsi="Arial" w:cs="Arial"/>
          <w:b/>
        </w:rPr>
        <w:t>Financijski b</w:t>
      </w:r>
      <w:r w:rsidR="002555B9" w:rsidRPr="004F3556">
        <w:rPr>
          <w:rFonts w:ascii="Arial" w:hAnsi="Arial" w:cs="Arial"/>
          <w:b/>
        </w:rPr>
        <w:t>onus dobrodošlice (A421507)</w:t>
      </w:r>
    </w:p>
    <w:p w14:paraId="6500122E" w14:textId="7C6BC25A" w:rsidR="002555B9" w:rsidRPr="003E699A" w:rsidRDefault="004424AB" w:rsidP="003E699A">
      <w:pPr>
        <w:spacing w:before="100" w:beforeAutospacing="1" w:after="100" w:afterAutospacing="1" w:line="276" w:lineRule="auto"/>
        <w:jc w:val="both"/>
        <w:rPr>
          <w:rFonts w:ascii="Arial" w:hAnsi="Arial" w:cs="Arial"/>
          <w:sz w:val="22"/>
          <w:szCs w:val="22"/>
        </w:rPr>
      </w:pPr>
      <w:r w:rsidRPr="003E699A">
        <w:rPr>
          <w:rFonts w:ascii="Arial" w:hAnsi="Arial" w:cs="Arial"/>
          <w:sz w:val="22"/>
          <w:szCs w:val="22"/>
        </w:rPr>
        <w:t>Kao jedna od aktivnosti usmjerenih na privlačenje deficitarnih kadrova i povećanje atraktivnosti rada u Istarskim domovima zdravlja, djeluje aktivnost Financijski bonus dobrodošlice koji se sufinancira iz sredstava Istarske županije. Osnovni cilj ovog programa jest osigurati potreban broj kvalificiranih djelatnika kako bi se održao kontinuitet pružanja zdravstvene zaštite. Novozaposlene osobe koje rade na deficitarnim radnim mjestima i ispunjavaju uvjete definirane mjerom 1.2.3., ostvaruju pravo na financijski bonus dobrodošlice. Doktori specijalisti, pri zapošljavanju na neodređeno, primaju neto iznos od 5.000 eura,</w:t>
      </w:r>
      <w:r w:rsidR="00F43FAC" w:rsidRPr="003E699A">
        <w:rPr>
          <w:rFonts w:ascii="Arial" w:hAnsi="Arial" w:cs="Arial"/>
          <w:sz w:val="22"/>
          <w:szCs w:val="22"/>
        </w:rPr>
        <w:t xml:space="preserve"> osim doktora specijalista obiteljske medicine i doktora specijalista pedijatrije</w:t>
      </w:r>
      <w:r w:rsidRPr="003E699A">
        <w:rPr>
          <w:rFonts w:ascii="Arial" w:hAnsi="Arial" w:cs="Arial"/>
          <w:sz w:val="22"/>
          <w:szCs w:val="22"/>
        </w:rPr>
        <w:t xml:space="preserve"> </w:t>
      </w:r>
      <w:r w:rsidR="00F43FAC" w:rsidRPr="003E699A">
        <w:rPr>
          <w:rFonts w:ascii="Arial" w:hAnsi="Arial" w:cs="Arial"/>
          <w:sz w:val="22"/>
          <w:szCs w:val="22"/>
        </w:rPr>
        <w:t>pri IDZ koji primaju neto iznos od 6.000,00 eura</w:t>
      </w:r>
      <w:r w:rsidR="00F90764" w:rsidRPr="003E699A">
        <w:rPr>
          <w:rFonts w:ascii="Arial" w:hAnsi="Arial" w:cs="Arial"/>
          <w:sz w:val="22"/>
          <w:szCs w:val="22"/>
        </w:rPr>
        <w:t xml:space="preserve">. </w:t>
      </w:r>
      <w:r w:rsidRPr="003E699A">
        <w:rPr>
          <w:rFonts w:ascii="Arial" w:hAnsi="Arial" w:cs="Arial"/>
          <w:sz w:val="22"/>
          <w:szCs w:val="22"/>
        </w:rPr>
        <w:t>Doktori medicine,</w:t>
      </w:r>
      <w:r w:rsidR="00F43FAC" w:rsidRPr="003E699A">
        <w:rPr>
          <w:rFonts w:ascii="Arial" w:hAnsi="Arial" w:cs="Arial"/>
          <w:sz w:val="22"/>
          <w:szCs w:val="22"/>
        </w:rPr>
        <w:t xml:space="preserve"> magistri farmacije, magistri medicinsko-biokemijskog laboratorija, </w:t>
      </w:r>
      <w:r w:rsidRPr="003E699A">
        <w:rPr>
          <w:rFonts w:ascii="Arial" w:hAnsi="Arial" w:cs="Arial"/>
          <w:sz w:val="22"/>
          <w:szCs w:val="22"/>
        </w:rPr>
        <w:t xml:space="preserve"> medicinske sestre i medicinski tehničari svih stupnjeva obrazovanja, pri zapošljavanju na neodređeno, ostvaruju </w:t>
      </w:r>
      <w:r w:rsidR="003E699A">
        <w:rPr>
          <w:rFonts w:ascii="Arial" w:hAnsi="Arial" w:cs="Arial"/>
          <w:sz w:val="22"/>
          <w:szCs w:val="22"/>
        </w:rPr>
        <w:t xml:space="preserve">pravo na </w:t>
      </w:r>
      <w:r w:rsidRPr="003E699A">
        <w:rPr>
          <w:rFonts w:ascii="Arial" w:hAnsi="Arial" w:cs="Arial"/>
          <w:sz w:val="22"/>
          <w:szCs w:val="22"/>
        </w:rPr>
        <w:t>neto iznos od 4.000 eura</w:t>
      </w:r>
      <w:r w:rsidR="00F90764" w:rsidRPr="003E699A">
        <w:rPr>
          <w:rFonts w:ascii="Arial" w:hAnsi="Arial" w:cs="Arial"/>
          <w:sz w:val="22"/>
          <w:szCs w:val="22"/>
        </w:rPr>
        <w:t xml:space="preserve">. </w:t>
      </w:r>
      <w:r w:rsidR="00F43FAC" w:rsidRPr="003E699A">
        <w:rPr>
          <w:rFonts w:ascii="Arial" w:hAnsi="Arial" w:cs="Arial"/>
          <w:sz w:val="22"/>
          <w:szCs w:val="22"/>
        </w:rPr>
        <w:t>Njegovatelji u stacionarima i palijativnim timovima</w:t>
      </w:r>
      <w:r w:rsidRPr="003E699A">
        <w:rPr>
          <w:rFonts w:ascii="Arial" w:hAnsi="Arial" w:cs="Arial"/>
          <w:sz w:val="22"/>
          <w:szCs w:val="22"/>
        </w:rPr>
        <w:t>, pri zapošljavanju na neodređeno, ostvaruju neto iznos od 2.000 eura</w:t>
      </w:r>
      <w:r w:rsidR="00F90764" w:rsidRPr="003E699A">
        <w:rPr>
          <w:rFonts w:ascii="Arial" w:hAnsi="Arial" w:cs="Arial"/>
          <w:sz w:val="22"/>
          <w:szCs w:val="22"/>
        </w:rPr>
        <w:t xml:space="preserve">. </w:t>
      </w:r>
      <w:r w:rsidRPr="003E699A">
        <w:rPr>
          <w:rFonts w:ascii="Arial" w:hAnsi="Arial" w:cs="Arial"/>
          <w:sz w:val="22"/>
          <w:szCs w:val="22"/>
        </w:rPr>
        <w:t xml:space="preserve">Ovaj program predstavlja značajnu poticajnu mjeru koja omogućuje privlačenje i zadržavanje stručnog </w:t>
      </w:r>
      <w:r w:rsidRPr="003E699A">
        <w:rPr>
          <w:rFonts w:ascii="Arial" w:hAnsi="Arial" w:cs="Arial"/>
          <w:sz w:val="22"/>
          <w:szCs w:val="22"/>
        </w:rPr>
        <w:lastRenderedPageBreak/>
        <w:t>kadra u Istarskim domovima zdravlja, čime se osigurava kontinuitet i kvalitetna dostupnost zdravstvene zaštite za sve korisnike.</w:t>
      </w:r>
    </w:p>
    <w:p w14:paraId="4EC654C3" w14:textId="77777777" w:rsidR="002555B9" w:rsidRPr="004F3556" w:rsidRDefault="002555B9" w:rsidP="002555B9">
      <w:pPr>
        <w:pStyle w:val="Naslov5"/>
        <w:shd w:val="clear" w:color="auto" w:fill="FFFFFF"/>
        <w:spacing w:before="0" w:after="330"/>
        <w:jc w:val="both"/>
        <w:rPr>
          <w:rFonts w:ascii="Arial" w:hAnsi="Arial" w:cs="Arial"/>
          <w:i w:val="0"/>
          <w:iCs w:val="0"/>
          <w:sz w:val="22"/>
          <w:szCs w:val="22"/>
        </w:rPr>
      </w:pPr>
      <w:r w:rsidRPr="004F3556">
        <w:rPr>
          <w:rFonts w:ascii="Arial" w:hAnsi="Arial" w:cs="Arial"/>
          <w:b w:val="0"/>
          <w:bCs w:val="0"/>
          <w:i w:val="0"/>
          <w:iCs w:val="0"/>
          <w:sz w:val="22"/>
          <w:szCs w:val="22"/>
        </w:rPr>
        <w:t>CILJ USPJEŠNOSTI -</w:t>
      </w:r>
      <w:r w:rsidRPr="004F3556">
        <w:rPr>
          <w:rFonts w:ascii="Arial" w:hAnsi="Arial" w:cs="Arial"/>
          <w:i w:val="0"/>
          <w:iCs w:val="0"/>
          <w:sz w:val="22"/>
          <w:szCs w:val="22"/>
        </w:rPr>
        <w:t xml:space="preserve"> </w:t>
      </w:r>
      <w:r w:rsidRPr="004F3556">
        <w:rPr>
          <w:rFonts w:ascii="Arial" w:hAnsi="Arial" w:cs="Arial"/>
          <w:b w:val="0"/>
          <w:bCs w:val="0"/>
          <w:i w:val="0"/>
          <w:iCs w:val="0"/>
          <w:sz w:val="22"/>
          <w:szCs w:val="22"/>
        </w:rPr>
        <w:t>2.2.2. Jačanje ljudskih kapaciteta u zdravstvu</w:t>
      </w:r>
    </w:p>
    <w:p w14:paraId="29AEA5D1" w14:textId="77777777" w:rsidR="002555B9" w:rsidRPr="004F3556" w:rsidRDefault="002555B9" w:rsidP="002555B9">
      <w:pPr>
        <w:pStyle w:val="Naslov5"/>
        <w:shd w:val="clear" w:color="auto" w:fill="FFFFFF"/>
        <w:spacing w:before="0" w:after="0"/>
        <w:jc w:val="both"/>
        <w:rPr>
          <w:rFonts w:ascii="Arial" w:hAnsi="Arial" w:cs="Arial"/>
          <w:b w:val="0"/>
          <w:bCs w:val="0"/>
          <w:i w:val="0"/>
          <w:iCs w:val="0"/>
          <w:sz w:val="22"/>
          <w:szCs w:val="22"/>
        </w:rPr>
      </w:pPr>
      <w:r w:rsidRPr="004F3556">
        <w:rPr>
          <w:rFonts w:ascii="Arial" w:hAnsi="Arial" w:cs="Arial"/>
          <w:b w:val="0"/>
          <w:bCs w:val="0"/>
          <w:i w:val="0"/>
          <w:iCs w:val="0"/>
          <w:sz w:val="22"/>
          <w:szCs w:val="22"/>
        </w:rPr>
        <w:t>POKAZATELJI USPJEŠNOSTI</w:t>
      </w:r>
    </w:p>
    <w:tbl>
      <w:tblPr>
        <w:tblW w:w="9640" w:type="dxa"/>
        <w:tblInd w:w="-147" w:type="dxa"/>
        <w:tblLayout w:type="fixed"/>
        <w:tblLook w:val="04A0" w:firstRow="1" w:lastRow="0" w:firstColumn="1" w:lastColumn="0" w:noHBand="0" w:noVBand="1"/>
      </w:tblPr>
      <w:tblGrid>
        <w:gridCol w:w="2127"/>
        <w:gridCol w:w="1376"/>
        <w:gridCol w:w="1274"/>
        <w:gridCol w:w="4863"/>
      </w:tblGrid>
      <w:tr w:rsidR="0052172F" w:rsidRPr="004F3556" w14:paraId="639A0744" w14:textId="77777777" w:rsidTr="003E699A">
        <w:trPr>
          <w:trHeight w:val="694"/>
        </w:trPr>
        <w:tc>
          <w:tcPr>
            <w:tcW w:w="212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2C1C08C3" w14:textId="618CD7E5" w:rsidR="0052172F" w:rsidRPr="003E699A" w:rsidRDefault="0052172F" w:rsidP="0052172F">
            <w:pPr>
              <w:jc w:val="center"/>
              <w:rPr>
                <w:rFonts w:ascii="Arial" w:hAnsi="Arial" w:cs="Arial"/>
                <w:b/>
                <w:bCs/>
                <w:sz w:val="22"/>
                <w:szCs w:val="22"/>
              </w:rPr>
            </w:pPr>
            <w:r w:rsidRPr="003E699A">
              <w:rPr>
                <w:rFonts w:ascii="Arial" w:hAnsi="Arial" w:cs="Arial"/>
                <w:b/>
                <w:bCs/>
                <w:sz w:val="22"/>
                <w:szCs w:val="22"/>
              </w:rPr>
              <w:t xml:space="preserve">Pokazatelj rezultata </w:t>
            </w:r>
          </w:p>
        </w:tc>
        <w:tc>
          <w:tcPr>
            <w:tcW w:w="1376"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4A88DF68" w14:textId="7C01379A" w:rsidR="0052172F" w:rsidRPr="003E699A" w:rsidRDefault="0052172F" w:rsidP="0052172F">
            <w:pPr>
              <w:jc w:val="center"/>
              <w:rPr>
                <w:rFonts w:ascii="Arial" w:hAnsi="Arial" w:cs="Arial"/>
                <w:b/>
                <w:bCs/>
                <w:sz w:val="22"/>
                <w:szCs w:val="22"/>
              </w:rPr>
            </w:pPr>
            <w:r w:rsidRPr="003E699A">
              <w:rPr>
                <w:rFonts w:ascii="Arial" w:hAnsi="Arial" w:cs="Arial"/>
                <w:b/>
                <w:bCs/>
                <w:sz w:val="22"/>
                <w:szCs w:val="22"/>
              </w:rPr>
              <w:t>Početna vrijednost</w:t>
            </w:r>
            <w:r w:rsidRPr="003E699A">
              <w:rPr>
                <w:rFonts w:ascii="Arial" w:hAnsi="Arial" w:cs="Arial"/>
                <w:b/>
                <w:bCs/>
                <w:sz w:val="22"/>
                <w:szCs w:val="22"/>
              </w:rPr>
              <w:br/>
              <w:t>(2025.)</w:t>
            </w:r>
          </w:p>
        </w:tc>
        <w:tc>
          <w:tcPr>
            <w:tcW w:w="1274"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7FEF65F4" w14:textId="1DC07609" w:rsidR="0052172F" w:rsidRPr="003E699A" w:rsidRDefault="0052172F" w:rsidP="0052172F">
            <w:pPr>
              <w:jc w:val="center"/>
              <w:rPr>
                <w:rFonts w:ascii="Arial" w:hAnsi="Arial" w:cs="Arial"/>
                <w:b/>
                <w:bCs/>
                <w:sz w:val="22"/>
                <w:szCs w:val="22"/>
              </w:rPr>
            </w:pPr>
            <w:r w:rsidRPr="003E699A">
              <w:rPr>
                <w:rFonts w:ascii="Arial" w:hAnsi="Arial" w:cs="Arial"/>
                <w:b/>
                <w:bCs/>
                <w:sz w:val="22"/>
                <w:szCs w:val="22"/>
              </w:rPr>
              <w:t>Ciljna</w:t>
            </w:r>
            <w:r w:rsidRPr="003E699A">
              <w:rPr>
                <w:rFonts w:ascii="Arial" w:hAnsi="Arial" w:cs="Arial"/>
                <w:b/>
                <w:bCs/>
                <w:sz w:val="22"/>
                <w:szCs w:val="22"/>
              </w:rPr>
              <w:br/>
              <w:t>vrijednost</w:t>
            </w:r>
            <w:r w:rsidRPr="003E699A">
              <w:rPr>
                <w:rFonts w:ascii="Arial" w:hAnsi="Arial" w:cs="Arial"/>
                <w:b/>
                <w:bCs/>
                <w:sz w:val="22"/>
                <w:szCs w:val="22"/>
              </w:rPr>
              <w:br/>
              <w:t>2025.</w:t>
            </w:r>
          </w:p>
        </w:tc>
        <w:tc>
          <w:tcPr>
            <w:tcW w:w="4863"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1E27454B" w14:textId="0687E20C" w:rsidR="0052172F" w:rsidRPr="003E699A" w:rsidRDefault="0052172F" w:rsidP="0052172F">
            <w:pPr>
              <w:jc w:val="center"/>
              <w:rPr>
                <w:rFonts w:ascii="Arial" w:hAnsi="Arial" w:cs="Arial"/>
                <w:b/>
                <w:bCs/>
                <w:sz w:val="22"/>
                <w:szCs w:val="22"/>
              </w:rPr>
            </w:pPr>
            <w:r w:rsidRPr="003E699A">
              <w:rPr>
                <w:rFonts w:ascii="Arial" w:hAnsi="Arial" w:cs="Arial"/>
                <w:b/>
                <w:bCs/>
                <w:sz w:val="22"/>
                <w:szCs w:val="22"/>
              </w:rPr>
              <w:t>Ostvarena vrijednost u periodu 01.-12/2025.</w:t>
            </w:r>
          </w:p>
        </w:tc>
      </w:tr>
      <w:tr w:rsidR="002555B9" w:rsidRPr="004F3556" w14:paraId="3E80C05A" w14:textId="77777777" w:rsidTr="003E699A">
        <w:trPr>
          <w:trHeight w:val="415"/>
        </w:trPr>
        <w:tc>
          <w:tcPr>
            <w:tcW w:w="2127" w:type="dxa"/>
            <w:tcBorders>
              <w:top w:val="nil"/>
              <w:left w:val="single" w:sz="4" w:space="0" w:color="000000"/>
              <w:bottom w:val="single" w:sz="4" w:space="0" w:color="000000"/>
              <w:right w:val="single" w:sz="4" w:space="0" w:color="000000"/>
            </w:tcBorders>
            <w:shd w:val="clear" w:color="FFFFFF" w:fill="FFFFFF"/>
            <w:vAlign w:val="center"/>
          </w:tcPr>
          <w:p w14:paraId="27159E50" w14:textId="77777777" w:rsidR="002555B9" w:rsidRPr="003E699A" w:rsidRDefault="002555B9" w:rsidP="002555B9">
            <w:pPr>
              <w:jc w:val="center"/>
              <w:rPr>
                <w:rFonts w:ascii="Arial" w:hAnsi="Arial" w:cs="Arial"/>
                <w:sz w:val="22"/>
                <w:szCs w:val="22"/>
              </w:rPr>
            </w:pPr>
            <w:r w:rsidRPr="003E699A">
              <w:rPr>
                <w:rFonts w:ascii="Arial" w:hAnsi="Arial" w:cs="Arial"/>
                <w:sz w:val="22"/>
                <w:szCs w:val="22"/>
              </w:rPr>
              <w:t>Broj radnika koji su ostvarili pravo na bonus dobrodošlice</w:t>
            </w:r>
          </w:p>
        </w:tc>
        <w:tc>
          <w:tcPr>
            <w:tcW w:w="1376" w:type="dxa"/>
            <w:tcBorders>
              <w:top w:val="nil"/>
              <w:left w:val="nil"/>
              <w:bottom w:val="single" w:sz="4" w:space="0" w:color="000000"/>
              <w:right w:val="single" w:sz="4" w:space="0" w:color="000000"/>
            </w:tcBorders>
            <w:shd w:val="clear" w:color="FFFFFF" w:fill="FFFFFF"/>
            <w:vAlign w:val="center"/>
          </w:tcPr>
          <w:p w14:paraId="0367180A" w14:textId="61FB075A" w:rsidR="002555B9" w:rsidRPr="003E699A" w:rsidRDefault="006857F1" w:rsidP="002555B9">
            <w:pPr>
              <w:jc w:val="center"/>
              <w:rPr>
                <w:rFonts w:ascii="Arial" w:hAnsi="Arial" w:cs="Arial"/>
                <w:sz w:val="22"/>
                <w:szCs w:val="22"/>
              </w:rPr>
            </w:pPr>
            <w:r w:rsidRPr="003E699A">
              <w:rPr>
                <w:rFonts w:ascii="Arial" w:hAnsi="Arial" w:cs="Arial"/>
                <w:sz w:val="22"/>
                <w:szCs w:val="22"/>
              </w:rPr>
              <w:t>35</w:t>
            </w:r>
          </w:p>
        </w:tc>
        <w:tc>
          <w:tcPr>
            <w:tcW w:w="1274" w:type="dxa"/>
            <w:tcBorders>
              <w:top w:val="nil"/>
              <w:left w:val="nil"/>
              <w:bottom w:val="single" w:sz="4" w:space="0" w:color="000000"/>
              <w:right w:val="single" w:sz="4" w:space="0" w:color="000000"/>
            </w:tcBorders>
            <w:shd w:val="clear" w:color="FFFFFF" w:fill="FFFFFF"/>
            <w:vAlign w:val="center"/>
          </w:tcPr>
          <w:p w14:paraId="2511FB38" w14:textId="35E07ACB" w:rsidR="002555B9" w:rsidRPr="003E699A" w:rsidRDefault="006857F1" w:rsidP="002555B9">
            <w:pPr>
              <w:jc w:val="center"/>
              <w:rPr>
                <w:rFonts w:ascii="Arial" w:hAnsi="Arial" w:cs="Arial"/>
                <w:sz w:val="22"/>
                <w:szCs w:val="22"/>
              </w:rPr>
            </w:pPr>
            <w:r w:rsidRPr="003E699A">
              <w:rPr>
                <w:rFonts w:ascii="Arial" w:hAnsi="Arial" w:cs="Arial"/>
                <w:sz w:val="22"/>
                <w:szCs w:val="22"/>
              </w:rPr>
              <w:t>37</w:t>
            </w:r>
          </w:p>
        </w:tc>
        <w:tc>
          <w:tcPr>
            <w:tcW w:w="4863" w:type="dxa"/>
            <w:tcBorders>
              <w:top w:val="nil"/>
              <w:left w:val="nil"/>
              <w:bottom w:val="single" w:sz="4" w:space="0" w:color="000000"/>
              <w:right w:val="single" w:sz="4" w:space="0" w:color="000000"/>
            </w:tcBorders>
            <w:shd w:val="clear" w:color="FFFFFF" w:fill="FFFFFF"/>
            <w:vAlign w:val="center"/>
          </w:tcPr>
          <w:p w14:paraId="3DDF670A" w14:textId="26A8D0BB" w:rsidR="002555B9" w:rsidRPr="003E699A" w:rsidRDefault="000248B5" w:rsidP="002555B9">
            <w:pPr>
              <w:jc w:val="center"/>
              <w:rPr>
                <w:rFonts w:ascii="Arial" w:hAnsi="Arial" w:cs="Arial"/>
                <w:sz w:val="22"/>
                <w:szCs w:val="22"/>
              </w:rPr>
            </w:pPr>
            <w:r w:rsidRPr="003E699A">
              <w:rPr>
                <w:rFonts w:ascii="Arial" w:hAnsi="Arial" w:cs="Arial"/>
                <w:sz w:val="22"/>
                <w:szCs w:val="22"/>
              </w:rPr>
              <w:t>U 2025. godini bonus dobrodošlice isplaćen je za ukupno 17 radnika, u međuvremenu je dvoje radnika</w:t>
            </w:r>
            <w:r w:rsidR="002555B9" w:rsidRPr="003E699A">
              <w:rPr>
                <w:rFonts w:ascii="Arial" w:hAnsi="Arial" w:cs="Arial"/>
                <w:sz w:val="22"/>
                <w:szCs w:val="22"/>
              </w:rPr>
              <w:t xml:space="preserve"> </w:t>
            </w:r>
            <w:r w:rsidRPr="003E699A">
              <w:rPr>
                <w:rFonts w:ascii="Arial" w:hAnsi="Arial" w:cs="Arial"/>
                <w:sz w:val="22"/>
                <w:szCs w:val="22"/>
              </w:rPr>
              <w:t>raskinulo ugovor o radu te su sredstva vraćena Istarskoj županiji. Ukupno utrošeno sredstava 55.343,70 eura.</w:t>
            </w:r>
          </w:p>
        </w:tc>
      </w:tr>
    </w:tbl>
    <w:p w14:paraId="6C600EBD" w14:textId="77777777" w:rsidR="002555B9" w:rsidRDefault="002555B9" w:rsidP="002555B9">
      <w:pPr>
        <w:jc w:val="both"/>
        <w:rPr>
          <w:rFonts w:ascii="Arial" w:hAnsi="Arial" w:cs="Arial"/>
          <w:b/>
          <w:sz w:val="22"/>
          <w:szCs w:val="22"/>
        </w:rPr>
      </w:pPr>
    </w:p>
    <w:p w14:paraId="51C61964" w14:textId="77777777" w:rsidR="00313871" w:rsidRDefault="00313871" w:rsidP="002555B9">
      <w:pPr>
        <w:jc w:val="both"/>
        <w:rPr>
          <w:rFonts w:ascii="Arial" w:hAnsi="Arial" w:cs="Arial"/>
          <w:b/>
          <w:sz w:val="22"/>
          <w:szCs w:val="22"/>
        </w:rPr>
      </w:pPr>
    </w:p>
    <w:p w14:paraId="0E855EF7" w14:textId="661A0892" w:rsidR="002555B9" w:rsidRPr="004F3556" w:rsidRDefault="00B7338E" w:rsidP="00887B83">
      <w:pPr>
        <w:pStyle w:val="Odlomakpopisa"/>
        <w:numPr>
          <w:ilvl w:val="1"/>
          <w:numId w:val="42"/>
        </w:numPr>
        <w:jc w:val="both"/>
        <w:rPr>
          <w:rFonts w:ascii="Arial" w:hAnsi="Arial" w:cs="Arial"/>
          <w:b/>
        </w:rPr>
      </w:pPr>
      <w:r>
        <w:rPr>
          <w:rFonts w:ascii="Arial" w:hAnsi="Arial" w:cs="Arial"/>
          <w:b/>
        </w:rPr>
        <w:t>Financijski b</w:t>
      </w:r>
      <w:r w:rsidR="002555B9" w:rsidRPr="004F3556">
        <w:rPr>
          <w:rFonts w:ascii="Arial" w:hAnsi="Arial" w:cs="Arial"/>
          <w:b/>
        </w:rPr>
        <w:t>onus vjernosti poslodavcu (A421505)</w:t>
      </w:r>
    </w:p>
    <w:p w14:paraId="1587EE3B" w14:textId="77777777" w:rsidR="00692B3F" w:rsidRDefault="00692B3F" w:rsidP="00692B3F">
      <w:pPr>
        <w:rPr>
          <w:rFonts w:ascii="Arial" w:hAnsi="Arial" w:cs="Arial"/>
          <w:color w:val="4F81BD" w:themeColor="accent1"/>
          <w:sz w:val="22"/>
          <w:szCs w:val="22"/>
        </w:rPr>
      </w:pPr>
    </w:p>
    <w:p w14:paraId="3B4AE446" w14:textId="7F3026BE" w:rsidR="00692B3F" w:rsidRPr="003E699A" w:rsidRDefault="00692B3F" w:rsidP="003E699A">
      <w:pPr>
        <w:spacing w:line="276" w:lineRule="auto"/>
        <w:jc w:val="both"/>
        <w:rPr>
          <w:rFonts w:ascii="Arial Narrow" w:hAnsi="Arial Narrow"/>
          <w:sz w:val="22"/>
        </w:rPr>
      </w:pPr>
      <w:r w:rsidRPr="003E699A">
        <w:rPr>
          <w:rFonts w:ascii="Arial" w:hAnsi="Arial" w:cs="Arial"/>
          <w:sz w:val="22"/>
          <w:szCs w:val="22"/>
        </w:rPr>
        <w:t xml:space="preserve">U sklopu Programa </w:t>
      </w:r>
      <w:r w:rsidRPr="003E699A">
        <w:rPr>
          <w:rFonts w:ascii="Arial" w:hAnsi="Arial" w:cs="Arial"/>
          <w:sz w:val="22"/>
        </w:rPr>
        <w:t xml:space="preserve">mjera za osiguravanje potrebnih ljudskih resursa </w:t>
      </w:r>
      <w:r w:rsidRPr="003E699A">
        <w:rPr>
          <w:rFonts w:ascii="Arial" w:hAnsi="Arial" w:cs="Arial"/>
          <w:sz w:val="22"/>
          <w:szCs w:val="22"/>
        </w:rPr>
        <w:t>Istarska županija provodi aktivnost Financijski bonus vjernosti, a sve u cilju zadržavanja postojećeg kadra i nagrađivanja vjernosti poslodavcu. Zaposlenici koji ispunjavaju kriterije definirane mjerom 1.2.1. ostvaruju pravo na navedeni financijski bonus. U 2025. godini isplaćena je nagrada radnicima koji ispunjavaju uvjete navedene mjere i imaju više od deset godina radnog iskustva u ustanovi u iznosu od 1.200 eura neto, dok su radnici s više od pet godina radnog staža u ustanovi koji također ispunjavaju kriterije navedene mjere primili 600 eura neto.</w:t>
      </w:r>
      <w:r w:rsidRPr="003E699A">
        <w:rPr>
          <w:rFonts w:ascii="Arial Narrow" w:hAnsi="Arial Narrow"/>
          <w:sz w:val="22"/>
        </w:rPr>
        <w:t xml:space="preserve"> </w:t>
      </w:r>
      <w:r w:rsidRPr="003E699A">
        <w:rPr>
          <w:rFonts w:ascii="Arial" w:hAnsi="Arial" w:cs="Arial"/>
          <w:sz w:val="22"/>
          <w:szCs w:val="22"/>
        </w:rPr>
        <w:t>Ovaj program predstavlja poticajnu mjeru za prepoznavanje dugogodišnjeg doprinosa zaposlenika te potiče njihovu trajnu vezanost i angažman u ustanovi.</w:t>
      </w:r>
    </w:p>
    <w:p w14:paraId="5CAD28F3" w14:textId="77777777" w:rsidR="002555B9" w:rsidRPr="004F3556" w:rsidRDefault="002555B9" w:rsidP="002555B9">
      <w:pPr>
        <w:jc w:val="both"/>
        <w:rPr>
          <w:rFonts w:ascii="Arial" w:hAnsi="Arial" w:cs="Arial"/>
          <w:b/>
          <w:sz w:val="22"/>
          <w:szCs w:val="22"/>
        </w:rPr>
      </w:pPr>
    </w:p>
    <w:p w14:paraId="7A08DFF8" w14:textId="77777777" w:rsidR="002555B9" w:rsidRPr="004F3556" w:rsidRDefault="002555B9" w:rsidP="002555B9">
      <w:pPr>
        <w:pStyle w:val="Naslov5"/>
        <w:shd w:val="clear" w:color="auto" w:fill="FFFFFF"/>
        <w:spacing w:before="0" w:after="330"/>
        <w:jc w:val="both"/>
        <w:rPr>
          <w:rFonts w:ascii="Arial" w:hAnsi="Arial" w:cs="Arial"/>
          <w:i w:val="0"/>
          <w:iCs w:val="0"/>
          <w:sz w:val="22"/>
          <w:szCs w:val="22"/>
        </w:rPr>
      </w:pPr>
      <w:r w:rsidRPr="004F3556">
        <w:rPr>
          <w:rFonts w:ascii="Arial" w:hAnsi="Arial" w:cs="Arial"/>
          <w:b w:val="0"/>
          <w:bCs w:val="0"/>
          <w:i w:val="0"/>
          <w:iCs w:val="0"/>
          <w:sz w:val="22"/>
          <w:szCs w:val="22"/>
        </w:rPr>
        <w:t>CILJ USPJEŠNOSTI -</w:t>
      </w:r>
      <w:r w:rsidRPr="004F3556">
        <w:rPr>
          <w:rFonts w:ascii="Arial" w:hAnsi="Arial" w:cs="Arial"/>
          <w:i w:val="0"/>
          <w:iCs w:val="0"/>
          <w:sz w:val="22"/>
          <w:szCs w:val="22"/>
        </w:rPr>
        <w:t xml:space="preserve"> </w:t>
      </w:r>
      <w:r w:rsidRPr="004F3556">
        <w:rPr>
          <w:rFonts w:ascii="Arial" w:hAnsi="Arial" w:cs="Arial"/>
          <w:b w:val="0"/>
          <w:bCs w:val="0"/>
          <w:i w:val="0"/>
          <w:iCs w:val="0"/>
          <w:sz w:val="22"/>
          <w:szCs w:val="22"/>
        </w:rPr>
        <w:t>2.2.2. Jačanje ljudskih kapaciteta u zdravstvu</w:t>
      </w:r>
    </w:p>
    <w:p w14:paraId="41852A4D" w14:textId="77777777" w:rsidR="002555B9" w:rsidRPr="004F3556" w:rsidRDefault="002555B9" w:rsidP="002555B9">
      <w:pPr>
        <w:pStyle w:val="Naslov5"/>
        <w:shd w:val="clear" w:color="auto" w:fill="FFFFFF"/>
        <w:spacing w:before="0" w:after="0"/>
        <w:jc w:val="both"/>
        <w:rPr>
          <w:rFonts w:ascii="Arial" w:hAnsi="Arial" w:cs="Arial"/>
          <w:b w:val="0"/>
          <w:bCs w:val="0"/>
          <w:i w:val="0"/>
          <w:iCs w:val="0"/>
          <w:sz w:val="22"/>
          <w:szCs w:val="22"/>
        </w:rPr>
      </w:pPr>
      <w:r w:rsidRPr="004F3556">
        <w:rPr>
          <w:rFonts w:ascii="Arial" w:hAnsi="Arial" w:cs="Arial"/>
          <w:b w:val="0"/>
          <w:bCs w:val="0"/>
          <w:i w:val="0"/>
          <w:iCs w:val="0"/>
          <w:sz w:val="22"/>
          <w:szCs w:val="22"/>
        </w:rPr>
        <w:t>POKAZATELJI USPJEŠNOSTI</w:t>
      </w:r>
    </w:p>
    <w:tbl>
      <w:tblPr>
        <w:tblW w:w="9640" w:type="dxa"/>
        <w:tblInd w:w="-147" w:type="dxa"/>
        <w:tblLayout w:type="fixed"/>
        <w:tblLook w:val="04A0" w:firstRow="1" w:lastRow="0" w:firstColumn="1" w:lastColumn="0" w:noHBand="0" w:noVBand="1"/>
      </w:tblPr>
      <w:tblGrid>
        <w:gridCol w:w="2127"/>
        <w:gridCol w:w="1376"/>
        <w:gridCol w:w="1274"/>
        <w:gridCol w:w="4863"/>
      </w:tblGrid>
      <w:tr w:rsidR="003E699A" w:rsidRPr="003E699A" w14:paraId="1F39177A" w14:textId="77777777" w:rsidTr="00DB3CA9">
        <w:trPr>
          <w:trHeight w:val="694"/>
        </w:trPr>
        <w:tc>
          <w:tcPr>
            <w:tcW w:w="212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2CB49388" w14:textId="41F8EDAD" w:rsidR="0052172F" w:rsidRPr="003E699A" w:rsidRDefault="0052172F" w:rsidP="0052172F">
            <w:pPr>
              <w:jc w:val="center"/>
              <w:rPr>
                <w:rFonts w:ascii="Arial" w:hAnsi="Arial" w:cs="Arial"/>
                <w:b/>
                <w:bCs/>
                <w:sz w:val="22"/>
                <w:szCs w:val="22"/>
              </w:rPr>
            </w:pPr>
            <w:r w:rsidRPr="003E699A">
              <w:rPr>
                <w:rFonts w:ascii="Arial" w:hAnsi="Arial" w:cs="Arial"/>
                <w:b/>
                <w:bCs/>
                <w:sz w:val="22"/>
                <w:szCs w:val="22"/>
              </w:rPr>
              <w:t xml:space="preserve">Pokazatelj rezultata </w:t>
            </w:r>
          </w:p>
        </w:tc>
        <w:tc>
          <w:tcPr>
            <w:tcW w:w="1376"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268C8DCB" w14:textId="20C42C56" w:rsidR="0052172F" w:rsidRPr="003E699A" w:rsidRDefault="0052172F" w:rsidP="0052172F">
            <w:pPr>
              <w:jc w:val="center"/>
              <w:rPr>
                <w:rFonts w:ascii="Arial" w:hAnsi="Arial" w:cs="Arial"/>
                <w:b/>
                <w:bCs/>
                <w:sz w:val="22"/>
                <w:szCs w:val="22"/>
              </w:rPr>
            </w:pPr>
            <w:r w:rsidRPr="003E699A">
              <w:rPr>
                <w:rFonts w:ascii="Arial" w:hAnsi="Arial" w:cs="Arial"/>
                <w:b/>
                <w:bCs/>
                <w:sz w:val="22"/>
                <w:szCs w:val="22"/>
              </w:rPr>
              <w:t>Početna vrijednost</w:t>
            </w:r>
            <w:r w:rsidRPr="003E699A">
              <w:rPr>
                <w:rFonts w:ascii="Arial" w:hAnsi="Arial" w:cs="Arial"/>
                <w:b/>
                <w:bCs/>
                <w:sz w:val="22"/>
                <w:szCs w:val="22"/>
              </w:rPr>
              <w:br/>
              <w:t>(2025.)</w:t>
            </w:r>
          </w:p>
        </w:tc>
        <w:tc>
          <w:tcPr>
            <w:tcW w:w="1274"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79285FDD" w14:textId="22E12704" w:rsidR="0052172F" w:rsidRPr="003E699A" w:rsidRDefault="0052172F" w:rsidP="0052172F">
            <w:pPr>
              <w:jc w:val="center"/>
              <w:rPr>
                <w:rFonts w:ascii="Arial" w:hAnsi="Arial" w:cs="Arial"/>
                <w:b/>
                <w:bCs/>
                <w:sz w:val="22"/>
                <w:szCs w:val="22"/>
              </w:rPr>
            </w:pPr>
            <w:r w:rsidRPr="003E699A">
              <w:rPr>
                <w:rFonts w:ascii="Arial" w:hAnsi="Arial" w:cs="Arial"/>
                <w:b/>
                <w:bCs/>
                <w:sz w:val="22"/>
                <w:szCs w:val="22"/>
              </w:rPr>
              <w:t>Ciljna</w:t>
            </w:r>
            <w:r w:rsidRPr="003E699A">
              <w:rPr>
                <w:rFonts w:ascii="Arial" w:hAnsi="Arial" w:cs="Arial"/>
                <w:b/>
                <w:bCs/>
                <w:sz w:val="22"/>
                <w:szCs w:val="22"/>
              </w:rPr>
              <w:br/>
              <w:t>vrijednost</w:t>
            </w:r>
            <w:r w:rsidRPr="003E699A">
              <w:rPr>
                <w:rFonts w:ascii="Arial" w:hAnsi="Arial" w:cs="Arial"/>
                <w:b/>
                <w:bCs/>
                <w:sz w:val="22"/>
                <w:szCs w:val="22"/>
              </w:rPr>
              <w:br/>
              <w:t>2025.</w:t>
            </w:r>
          </w:p>
        </w:tc>
        <w:tc>
          <w:tcPr>
            <w:tcW w:w="4863"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1CF28731" w14:textId="223B04F5" w:rsidR="0052172F" w:rsidRPr="003E699A" w:rsidRDefault="0052172F" w:rsidP="0052172F">
            <w:pPr>
              <w:jc w:val="center"/>
              <w:rPr>
                <w:rFonts w:ascii="Arial" w:hAnsi="Arial" w:cs="Arial"/>
                <w:b/>
                <w:bCs/>
                <w:sz w:val="22"/>
                <w:szCs w:val="22"/>
              </w:rPr>
            </w:pPr>
            <w:r w:rsidRPr="003E699A">
              <w:rPr>
                <w:rFonts w:ascii="Arial" w:hAnsi="Arial" w:cs="Arial"/>
                <w:b/>
                <w:bCs/>
                <w:sz w:val="22"/>
                <w:szCs w:val="22"/>
              </w:rPr>
              <w:t>Ostvarena vrijednost u periodu 01.-12/2025.</w:t>
            </w:r>
          </w:p>
        </w:tc>
      </w:tr>
      <w:tr w:rsidR="003E699A" w:rsidRPr="003E699A" w14:paraId="517E5121" w14:textId="77777777" w:rsidTr="00DB3CA9">
        <w:trPr>
          <w:trHeight w:val="415"/>
        </w:trPr>
        <w:tc>
          <w:tcPr>
            <w:tcW w:w="2127" w:type="dxa"/>
            <w:tcBorders>
              <w:top w:val="nil"/>
              <w:left w:val="single" w:sz="4" w:space="0" w:color="000000"/>
              <w:bottom w:val="single" w:sz="4" w:space="0" w:color="000000"/>
              <w:right w:val="single" w:sz="4" w:space="0" w:color="000000"/>
            </w:tcBorders>
            <w:shd w:val="clear" w:color="FFFFFF" w:fill="FFFFFF"/>
            <w:vAlign w:val="center"/>
          </w:tcPr>
          <w:p w14:paraId="6C467165" w14:textId="77777777" w:rsidR="002555B9" w:rsidRPr="003E699A" w:rsidRDefault="002555B9" w:rsidP="002555B9">
            <w:pPr>
              <w:jc w:val="center"/>
              <w:rPr>
                <w:rFonts w:ascii="Arial" w:hAnsi="Arial" w:cs="Arial"/>
                <w:sz w:val="22"/>
                <w:szCs w:val="22"/>
              </w:rPr>
            </w:pPr>
            <w:r w:rsidRPr="003E699A">
              <w:rPr>
                <w:rFonts w:ascii="Arial" w:hAnsi="Arial" w:cs="Arial"/>
                <w:sz w:val="22"/>
                <w:szCs w:val="22"/>
              </w:rPr>
              <w:t>Broj radnika koji su ostvarili pravo na bonus vjernosti</w:t>
            </w:r>
          </w:p>
        </w:tc>
        <w:tc>
          <w:tcPr>
            <w:tcW w:w="1376" w:type="dxa"/>
            <w:tcBorders>
              <w:top w:val="nil"/>
              <w:left w:val="nil"/>
              <w:bottom w:val="single" w:sz="4" w:space="0" w:color="000000"/>
              <w:right w:val="single" w:sz="4" w:space="0" w:color="000000"/>
            </w:tcBorders>
            <w:shd w:val="clear" w:color="FFFFFF" w:fill="FFFFFF"/>
            <w:vAlign w:val="center"/>
          </w:tcPr>
          <w:p w14:paraId="657913DE" w14:textId="2233A40D" w:rsidR="002555B9" w:rsidRPr="003E699A" w:rsidRDefault="00B7338E" w:rsidP="002555B9">
            <w:pPr>
              <w:jc w:val="center"/>
              <w:rPr>
                <w:rFonts w:ascii="Arial" w:hAnsi="Arial" w:cs="Arial"/>
                <w:sz w:val="22"/>
                <w:szCs w:val="22"/>
              </w:rPr>
            </w:pPr>
            <w:r w:rsidRPr="003E699A">
              <w:rPr>
                <w:rFonts w:ascii="Arial" w:hAnsi="Arial" w:cs="Arial"/>
                <w:sz w:val="22"/>
                <w:szCs w:val="22"/>
              </w:rPr>
              <w:t>247</w:t>
            </w:r>
          </w:p>
        </w:tc>
        <w:tc>
          <w:tcPr>
            <w:tcW w:w="1274" w:type="dxa"/>
            <w:tcBorders>
              <w:top w:val="nil"/>
              <w:left w:val="nil"/>
              <w:bottom w:val="single" w:sz="4" w:space="0" w:color="000000"/>
              <w:right w:val="single" w:sz="4" w:space="0" w:color="000000"/>
            </w:tcBorders>
            <w:shd w:val="clear" w:color="FFFFFF" w:fill="FFFFFF"/>
            <w:vAlign w:val="center"/>
          </w:tcPr>
          <w:p w14:paraId="70FC264E" w14:textId="698F5BA2" w:rsidR="002555B9" w:rsidRPr="003E699A" w:rsidRDefault="00B7338E" w:rsidP="002555B9">
            <w:pPr>
              <w:jc w:val="center"/>
              <w:rPr>
                <w:rFonts w:ascii="Arial" w:hAnsi="Arial" w:cs="Arial"/>
                <w:sz w:val="22"/>
                <w:szCs w:val="22"/>
              </w:rPr>
            </w:pPr>
            <w:r w:rsidRPr="003E699A">
              <w:rPr>
                <w:rFonts w:ascii="Arial" w:hAnsi="Arial" w:cs="Arial"/>
                <w:sz w:val="22"/>
                <w:szCs w:val="22"/>
              </w:rPr>
              <w:t>320</w:t>
            </w:r>
          </w:p>
        </w:tc>
        <w:tc>
          <w:tcPr>
            <w:tcW w:w="4863" w:type="dxa"/>
            <w:tcBorders>
              <w:top w:val="nil"/>
              <w:left w:val="nil"/>
              <w:bottom w:val="single" w:sz="4" w:space="0" w:color="000000"/>
              <w:right w:val="single" w:sz="4" w:space="0" w:color="000000"/>
            </w:tcBorders>
            <w:shd w:val="clear" w:color="FFFFFF" w:fill="FFFFFF"/>
            <w:vAlign w:val="center"/>
          </w:tcPr>
          <w:p w14:paraId="14566571" w14:textId="025172CB" w:rsidR="002555B9" w:rsidRPr="003E699A" w:rsidRDefault="00B7338E" w:rsidP="002555B9">
            <w:pPr>
              <w:jc w:val="center"/>
              <w:rPr>
                <w:rFonts w:ascii="Arial" w:hAnsi="Arial" w:cs="Arial"/>
                <w:sz w:val="22"/>
                <w:szCs w:val="22"/>
              </w:rPr>
            </w:pPr>
            <w:r w:rsidRPr="003E699A">
              <w:rPr>
                <w:rFonts w:ascii="Arial" w:hAnsi="Arial" w:cs="Arial"/>
                <w:sz w:val="22"/>
                <w:szCs w:val="22"/>
              </w:rPr>
              <w:t>Financijski bonus vjernosti poslodavcu primil</w:t>
            </w:r>
            <w:r w:rsidR="003E699A" w:rsidRPr="003E699A">
              <w:rPr>
                <w:rFonts w:ascii="Arial" w:hAnsi="Arial" w:cs="Arial"/>
                <w:sz w:val="22"/>
                <w:szCs w:val="22"/>
              </w:rPr>
              <w:t>o je 244</w:t>
            </w:r>
            <w:r w:rsidRPr="003E699A">
              <w:rPr>
                <w:rFonts w:ascii="Arial" w:hAnsi="Arial" w:cs="Arial"/>
                <w:sz w:val="22"/>
                <w:szCs w:val="22"/>
              </w:rPr>
              <w:t xml:space="preserve"> radni</w:t>
            </w:r>
            <w:r w:rsidR="003E699A" w:rsidRPr="003E699A">
              <w:rPr>
                <w:rFonts w:ascii="Arial" w:hAnsi="Arial" w:cs="Arial"/>
                <w:sz w:val="22"/>
                <w:szCs w:val="22"/>
              </w:rPr>
              <w:t>ka</w:t>
            </w:r>
            <w:r w:rsidRPr="003E699A">
              <w:rPr>
                <w:rFonts w:ascii="Arial" w:hAnsi="Arial" w:cs="Arial"/>
                <w:sz w:val="22"/>
                <w:szCs w:val="22"/>
              </w:rPr>
              <w:t xml:space="preserve"> koji su ispunili potrebne uvjete</w:t>
            </w:r>
            <w:r w:rsidR="00402D6C" w:rsidRPr="003E699A">
              <w:rPr>
                <w:rFonts w:ascii="Arial" w:hAnsi="Arial" w:cs="Arial"/>
                <w:sz w:val="22"/>
                <w:szCs w:val="22"/>
              </w:rPr>
              <w:t>: 11</w:t>
            </w:r>
            <w:r w:rsidRPr="003E699A">
              <w:rPr>
                <w:rFonts w:ascii="Arial" w:hAnsi="Arial" w:cs="Arial"/>
                <w:sz w:val="22"/>
                <w:szCs w:val="22"/>
              </w:rPr>
              <w:t>6</w:t>
            </w:r>
            <w:r w:rsidR="00402D6C" w:rsidRPr="003E699A">
              <w:rPr>
                <w:rFonts w:ascii="Arial" w:hAnsi="Arial" w:cs="Arial"/>
                <w:sz w:val="22"/>
                <w:szCs w:val="22"/>
              </w:rPr>
              <w:t xml:space="preserve"> radnika zaposlenih dulje od 5 godina i 128 radnika zaposlenih dulje od 10 godina. Ukupno isplaćeno</w:t>
            </w:r>
            <w:r w:rsidR="0072322F" w:rsidRPr="003E699A">
              <w:rPr>
                <w:rFonts w:ascii="Arial" w:hAnsi="Arial" w:cs="Arial"/>
                <w:sz w:val="22"/>
                <w:szCs w:val="22"/>
              </w:rPr>
              <w:t xml:space="preserve"> </w:t>
            </w:r>
            <w:r w:rsidRPr="003E699A">
              <w:rPr>
                <w:rFonts w:ascii="Arial" w:hAnsi="Arial" w:cs="Arial"/>
                <w:sz w:val="22"/>
                <w:szCs w:val="22"/>
              </w:rPr>
              <w:t>222.600</w:t>
            </w:r>
            <w:r w:rsidR="0072322F" w:rsidRPr="003E699A">
              <w:rPr>
                <w:rFonts w:ascii="Arial" w:hAnsi="Arial" w:cs="Arial"/>
                <w:sz w:val="22"/>
                <w:szCs w:val="22"/>
              </w:rPr>
              <w:t xml:space="preserve"> eura </w:t>
            </w:r>
          </w:p>
        </w:tc>
      </w:tr>
    </w:tbl>
    <w:p w14:paraId="75FB37DA" w14:textId="77777777" w:rsidR="002555B9" w:rsidRPr="004F3556" w:rsidRDefault="002555B9" w:rsidP="002555B9">
      <w:pPr>
        <w:jc w:val="both"/>
        <w:rPr>
          <w:rFonts w:ascii="Arial" w:hAnsi="Arial" w:cs="Arial"/>
          <w:b/>
          <w:sz w:val="22"/>
          <w:szCs w:val="22"/>
        </w:rPr>
      </w:pPr>
    </w:p>
    <w:p w14:paraId="2F88B1CD" w14:textId="77777777" w:rsidR="002555B9" w:rsidRDefault="002555B9" w:rsidP="002555B9">
      <w:pPr>
        <w:jc w:val="both"/>
        <w:rPr>
          <w:rFonts w:ascii="Arial" w:hAnsi="Arial" w:cs="Arial"/>
          <w:b/>
          <w:sz w:val="22"/>
          <w:szCs w:val="22"/>
        </w:rPr>
      </w:pPr>
    </w:p>
    <w:p w14:paraId="3BAA9B9C" w14:textId="5E59F3FA" w:rsidR="00932AF7" w:rsidRDefault="00932AF7" w:rsidP="00932AF7">
      <w:pPr>
        <w:jc w:val="both"/>
        <w:rPr>
          <w:rFonts w:ascii="Arial" w:hAnsi="Arial" w:cs="Arial"/>
          <w:b/>
          <w:sz w:val="22"/>
          <w:szCs w:val="22"/>
        </w:rPr>
      </w:pPr>
      <w:r>
        <w:rPr>
          <w:rFonts w:ascii="Arial" w:hAnsi="Arial" w:cs="Arial"/>
          <w:b/>
          <w:sz w:val="22"/>
          <w:szCs w:val="22"/>
        </w:rPr>
        <w:t>7.</w:t>
      </w:r>
      <w:r w:rsidR="00887B83">
        <w:rPr>
          <w:rFonts w:ascii="Arial" w:hAnsi="Arial" w:cs="Arial"/>
          <w:b/>
          <w:sz w:val="22"/>
          <w:szCs w:val="22"/>
        </w:rPr>
        <w:t>6.</w:t>
      </w:r>
      <w:r>
        <w:rPr>
          <w:rFonts w:ascii="Arial" w:hAnsi="Arial" w:cs="Arial"/>
          <w:b/>
          <w:sz w:val="22"/>
          <w:szCs w:val="22"/>
        </w:rPr>
        <w:t xml:space="preserve"> Stručno usavršavanje zdravstvenih radnika (A421501)</w:t>
      </w:r>
    </w:p>
    <w:p w14:paraId="7302C525" w14:textId="12B680A9" w:rsidR="00C20C07" w:rsidRPr="003E699A" w:rsidRDefault="00C20C07" w:rsidP="003E699A">
      <w:pPr>
        <w:spacing w:before="100" w:beforeAutospacing="1" w:after="100" w:afterAutospacing="1" w:line="276" w:lineRule="auto"/>
        <w:jc w:val="both"/>
        <w:rPr>
          <w:rFonts w:ascii="Arial" w:hAnsi="Arial" w:cs="Arial"/>
          <w:sz w:val="22"/>
          <w:szCs w:val="22"/>
        </w:rPr>
      </w:pPr>
      <w:r w:rsidRPr="003E699A">
        <w:rPr>
          <w:rFonts w:ascii="Arial" w:hAnsi="Arial" w:cs="Arial"/>
          <w:sz w:val="22"/>
          <w:szCs w:val="22"/>
        </w:rPr>
        <w:t>Istarski domovi zdravlja kontinuirano ulažu u profesionalni razvoj stranih zaposlenika i njihovu uspješnu integraciju u radni kolektiv i lokalnu zajednicu. Prepoznavanje važnosti jasne komunikacije u zdravstvenoj skrbi dovelo je do posebnog naglaska na učenje hrvatskog jezika, čije je znanje neophodno za kvalitetnu suradnju te sigurnu komunikaciju s pacijentima i kolegama. Kako bi im olakšali prilagodbu i motivirali ih na stalno usavršavanje, svim stranim radnicima pruža se mogućnost refundiranja troškova polaganja ispita iz hrvatskog jezika. Ovaj pristup predstavlja dio šire strategije usmjerene na jačanje kadrova, unapređenje kvalitete pruženih zdravstvenih usluga te stvaranje sigurnog i ugodnog radnog okruženja u kojem svaki zaposlenik ima priliku rasti, profesionalno se razvijati i osjećati se cijenjeno.</w:t>
      </w:r>
    </w:p>
    <w:p w14:paraId="21F84853" w14:textId="663E0D8A" w:rsidR="00932AF7" w:rsidRPr="003E699A" w:rsidRDefault="00D722F8" w:rsidP="003E699A">
      <w:pPr>
        <w:pStyle w:val="Naslov5"/>
        <w:shd w:val="clear" w:color="auto" w:fill="FFFFFF"/>
        <w:spacing w:before="0" w:after="330"/>
        <w:jc w:val="both"/>
        <w:rPr>
          <w:rFonts w:ascii="Arial" w:hAnsi="Arial" w:cs="Arial"/>
          <w:i w:val="0"/>
          <w:iCs w:val="0"/>
          <w:sz w:val="22"/>
          <w:szCs w:val="22"/>
        </w:rPr>
      </w:pPr>
      <w:r w:rsidRPr="003E699A">
        <w:rPr>
          <w:rFonts w:ascii="Arial" w:hAnsi="Arial" w:cs="Arial"/>
          <w:b w:val="0"/>
          <w:bCs w:val="0"/>
          <w:i w:val="0"/>
          <w:iCs w:val="0"/>
          <w:sz w:val="22"/>
          <w:szCs w:val="22"/>
        </w:rPr>
        <w:lastRenderedPageBreak/>
        <w:t>CILJ USPJEŠNOSTI -</w:t>
      </w:r>
      <w:r w:rsidRPr="003E699A">
        <w:rPr>
          <w:rFonts w:ascii="Arial" w:hAnsi="Arial" w:cs="Arial"/>
          <w:i w:val="0"/>
          <w:iCs w:val="0"/>
          <w:sz w:val="22"/>
          <w:szCs w:val="22"/>
        </w:rPr>
        <w:t xml:space="preserve"> </w:t>
      </w:r>
      <w:r w:rsidRPr="003E699A">
        <w:rPr>
          <w:rFonts w:ascii="Arial" w:hAnsi="Arial" w:cs="Arial"/>
          <w:b w:val="0"/>
          <w:bCs w:val="0"/>
          <w:i w:val="0"/>
          <w:iCs w:val="0"/>
          <w:sz w:val="22"/>
          <w:szCs w:val="22"/>
        </w:rPr>
        <w:t>2.2.2. Jačanje ljudskih kapaciteta u zdravstvu</w:t>
      </w:r>
    </w:p>
    <w:p w14:paraId="71C2615F" w14:textId="77777777" w:rsidR="00AD78FF" w:rsidRDefault="00AD78FF" w:rsidP="00D722F8">
      <w:pPr>
        <w:pStyle w:val="Naslov5"/>
        <w:shd w:val="clear" w:color="auto" w:fill="FFFFFF"/>
        <w:spacing w:before="0" w:after="0"/>
        <w:jc w:val="both"/>
        <w:rPr>
          <w:rFonts w:ascii="Arial" w:hAnsi="Arial" w:cs="Arial"/>
          <w:b w:val="0"/>
          <w:bCs w:val="0"/>
          <w:i w:val="0"/>
          <w:iCs w:val="0"/>
          <w:sz w:val="22"/>
          <w:szCs w:val="22"/>
        </w:rPr>
      </w:pPr>
    </w:p>
    <w:p w14:paraId="73F4ACAE" w14:textId="1BC86473" w:rsidR="00D722F8" w:rsidRPr="003E699A" w:rsidRDefault="00D722F8" w:rsidP="00D722F8">
      <w:pPr>
        <w:pStyle w:val="Naslov5"/>
        <w:shd w:val="clear" w:color="auto" w:fill="FFFFFF"/>
        <w:spacing w:before="0" w:after="0"/>
        <w:jc w:val="both"/>
        <w:rPr>
          <w:rFonts w:ascii="Arial" w:hAnsi="Arial" w:cs="Arial"/>
          <w:b w:val="0"/>
          <w:bCs w:val="0"/>
          <w:i w:val="0"/>
          <w:iCs w:val="0"/>
          <w:sz w:val="22"/>
          <w:szCs w:val="22"/>
        </w:rPr>
      </w:pPr>
      <w:r w:rsidRPr="003E699A">
        <w:rPr>
          <w:rFonts w:ascii="Arial" w:hAnsi="Arial" w:cs="Arial"/>
          <w:b w:val="0"/>
          <w:bCs w:val="0"/>
          <w:i w:val="0"/>
          <w:iCs w:val="0"/>
          <w:sz w:val="22"/>
          <w:szCs w:val="22"/>
        </w:rPr>
        <w:t>POKAZATELJI USPJEŠNOSTI</w:t>
      </w:r>
    </w:p>
    <w:tbl>
      <w:tblPr>
        <w:tblW w:w="9923" w:type="dxa"/>
        <w:tblInd w:w="-147" w:type="dxa"/>
        <w:tblLayout w:type="fixed"/>
        <w:tblLook w:val="04A0" w:firstRow="1" w:lastRow="0" w:firstColumn="1" w:lastColumn="0" w:noHBand="0" w:noVBand="1"/>
      </w:tblPr>
      <w:tblGrid>
        <w:gridCol w:w="2127"/>
        <w:gridCol w:w="1276"/>
        <w:gridCol w:w="1559"/>
        <w:gridCol w:w="4961"/>
      </w:tblGrid>
      <w:tr w:rsidR="003E699A" w:rsidRPr="003E699A" w14:paraId="427B0761" w14:textId="77777777" w:rsidTr="003E699A">
        <w:trPr>
          <w:trHeight w:val="694"/>
        </w:trPr>
        <w:tc>
          <w:tcPr>
            <w:tcW w:w="212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0C91818E" w14:textId="77777777" w:rsidR="00D722F8" w:rsidRPr="003E699A" w:rsidRDefault="00D722F8" w:rsidP="005D252F">
            <w:pPr>
              <w:jc w:val="center"/>
              <w:rPr>
                <w:rFonts w:ascii="Arial" w:hAnsi="Arial" w:cs="Arial"/>
                <w:b/>
                <w:bCs/>
                <w:sz w:val="22"/>
                <w:szCs w:val="22"/>
              </w:rPr>
            </w:pPr>
            <w:r w:rsidRPr="003E699A">
              <w:rPr>
                <w:rFonts w:ascii="Arial" w:hAnsi="Arial" w:cs="Arial"/>
                <w:b/>
                <w:bCs/>
                <w:sz w:val="22"/>
                <w:szCs w:val="22"/>
              </w:rPr>
              <w:t xml:space="preserve">Pokazatelj rezultata </w:t>
            </w:r>
          </w:p>
        </w:tc>
        <w:tc>
          <w:tcPr>
            <w:tcW w:w="1276"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4523DF41" w14:textId="77777777" w:rsidR="00D722F8" w:rsidRPr="003E699A" w:rsidRDefault="00D722F8" w:rsidP="005D252F">
            <w:pPr>
              <w:jc w:val="center"/>
              <w:rPr>
                <w:rFonts w:ascii="Arial" w:hAnsi="Arial" w:cs="Arial"/>
                <w:b/>
                <w:bCs/>
                <w:sz w:val="22"/>
                <w:szCs w:val="22"/>
              </w:rPr>
            </w:pPr>
            <w:r w:rsidRPr="003E699A">
              <w:rPr>
                <w:rFonts w:ascii="Arial" w:hAnsi="Arial" w:cs="Arial"/>
                <w:b/>
                <w:bCs/>
                <w:sz w:val="22"/>
                <w:szCs w:val="22"/>
              </w:rPr>
              <w:t>Početna vrijednost</w:t>
            </w:r>
            <w:r w:rsidRPr="003E699A">
              <w:rPr>
                <w:rFonts w:ascii="Arial" w:hAnsi="Arial" w:cs="Arial"/>
                <w:b/>
                <w:bCs/>
                <w:sz w:val="22"/>
                <w:szCs w:val="22"/>
              </w:rPr>
              <w:br/>
              <w:t>(2025.)</w:t>
            </w:r>
          </w:p>
        </w:tc>
        <w:tc>
          <w:tcPr>
            <w:tcW w:w="1559"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0C38A313" w14:textId="77777777" w:rsidR="00D722F8" w:rsidRPr="003E699A" w:rsidRDefault="00D722F8" w:rsidP="005D252F">
            <w:pPr>
              <w:jc w:val="center"/>
              <w:rPr>
                <w:rFonts w:ascii="Arial" w:hAnsi="Arial" w:cs="Arial"/>
                <w:b/>
                <w:bCs/>
                <w:sz w:val="22"/>
                <w:szCs w:val="22"/>
              </w:rPr>
            </w:pPr>
            <w:r w:rsidRPr="003E699A">
              <w:rPr>
                <w:rFonts w:ascii="Arial" w:hAnsi="Arial" w:cs="Arial"/>
                <w:b/>
                <w:bCs/>
                <w:sz w:val="22"/>
                <w:szCs w:val="22"/>
              </w:rPr>
              <w:t>Ciljna</w:t>
            </w:r>
            <w:r w:rsidRPr="003E699A">
              <w:rPr>
                <w:rFonts w:ascii="Arial" w:hAnsi="Arial" w:cs="Arial"/>
                <w:b/>
                <w:bCs/>
                <w:sz w:val="22"/>
                <w:szCs w:val="22"/>
              </w:rPr>
              <w:br/>
              <w:t>vrijednost</w:t>
            </w:r>
            <w:r w:rsidRPr="003E699A">
              <w:rPr>
                <w:rFonts w:ascii="Arial" w:hAnsi="Arial" w:cs="Arial"/>
                <w:b/>
                <w:bCs/>
                <w:sz w:val="22"/>
                <w:szCs w:val="22"/>
              </w:rPr>
              <w:br/>
              <w:t>2025.</w:t>
            </w:r>
          </w:p>
        </w:tc>
        <w:tc>
          <w:tcPr>
            <w:tcW w:w="4961"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73D4B6F0" w14:textId="77777777" w:rsidR="00D722F8" w:rsidRPr="003E699A" w:rsidRDefault="00D722F8" w:rsidP="005D252F">
            <w:pPr>
              <w:jc w:val="center"/>
              <w:rPr>
                <w:rFonts w:ascii="Arial" w:hAnsi="Arial" w:cs="Arial"/>
                <w:b/>
                <w:bCs/>
                <w:sz w:val="22"/>
                <w:szCs w:val="22"/>
              </w:rPr>
            </w:pPr>
            <w:r w:rsidRPr="003E699A">
              <w:rPr>
                <w:rFonts w:ascii="Arial" w:hAnsi="Arial" w:cs="Arial"/>
                <w:b/>
                <w:bCs/>
                <w:sz w:val="22"/>
                <w:szCs w:val="22"/>
              </w:rPr>
              <w:t>Ostvarena vrijednost u periodu 01.-12/2025.</w:t>
            </w:r>
          </w:p>
        </w:tc>
      </w:tr>
      <w:tr w:rsidR="003E699A" w:rsidRPr="003E699A" w14:paraId="58495314" w14:textId="77777777" w:rsidTr="003E699A">
        <w:trPr>
          <w:trHeight w:val="415"/>
        </w:trPr>
        <w:tc>
          <w:tcPr>
            <w:tcW w:w="2127" w:type="dxa"/>
            <w:tcBorders>
              <w:top w:val="nil"/>
              <w:left w:val="single" w:sz="4" w:space="0" w:color="000000"/>
              <w:bottom w:val="single" w:sz="4" w:space="0" w:color="000000"/>
              <w:right w:val="single" w:sz="4" w:space="0" w:color="000000"/>
            </w:tcBorders>
            <w:shd w:val="clear" w:color="FFFFFF" w:fill="FFFFFF"/>
            <w:vAlign w:val="center"/>
          </w:tcPr>
          <w:p w14:paraId="04D6E730" w14:textId="3FB56486" w:rsidR="00D722F8" w:rsidRPr="003E699A" w:rsidRDefault="00D722F8" w:rsidP="005D252F">
            <w:pPr>
              <w:jc w:val="center"/>
              <w:rPr>
                <w:rFonts w:ascii="Arial" w:hAnsi="Arial" w:cs="Arial"/>
                <w:sz w:val="22"/>
                <w:szCs w:val="22"/>
              </w:rPr>
            </w:pPr>
            <w:r w:rsidRPr="003E699A">
              <w:rPr>
                <w:rFonts w:ascii="Arial" w:hAnsi="Arial" w:cs="Arial"/>
                <w:sz w:val="22"/>
                <w:szCs w:val="22"/>
              </w:rPr>
              <w:t>Broj stranih radnika koji su završili tečaj hrvatskog jezika</w:t>
            </w:r>
          </w:p>
        </w:tc>
        <w:tc>
          <w:tcPr>
            <w:tcW w:w="1276" w:type="dxa"/>
            <w:tcBorders>
              <w:top w:val="nil"/>
              <w:left w:val="nil"/>
              <w:bottom w:val="single" w:sz="4" w:space="0" w:color="000000"/>
              <w:right w:val="single" w:sz="4" w:space="0" w:color="000000"/>
            </w:tcBorders>
            <w:shd w:val="clear" w:color="FFFFFF" w:fill="FFFFFF"/>
            <w:vAlign w:val="center"/>
          </w:tcPr>
          <w:p w14:paraId="436FD2D6" w14:textId="66071FBD" w:rsidR="00D722F8" w:rsidRPr="003E699A" w:rsidRDefault="00313871" w:rsidP="005D252F">
            <w:pPr>
              <w:jc w:val="center"/>
              <w:rPr>
                <w:rFonts w:ascii="Arial" w:hAnsi="Arial" w:cs="Arial"/>
                <w:sz w:val="22"/>
                <w:szCs w:val="22"/>
              </w:rPr>
            </w:pPr>
            <w:r w:rsidRPr="003E699A">
              <w:rPr>
                <w:rFonts w:ascii="Arial" w:hAnsi="Arial" w:cs="Arial"/>
                <w:sz w:val="22"/>
                <w:szCs w:val="22"/>
              </w:rPr>
              <w:t>0</w:t>
            </w:r>
          </w:p>
        </w:tc>
        <w:tc>
          <w:tcPr>
            <w:tcW w:w="1559" w:type="dxa"/>
            <w:tcBorders>
              <w:top w:val="nil"/>
              <w:left w:val="nil"/>
              <w:bottom w:val="single" w:sz="4" w:space="0" w:color="000000"/>
              <w:right w:val="single" w:sz="4" w:space="0" w:color="000000"/>
            </w:tcBorders>
            <w:shd w:val="clear" w:color="FFFFFF" w:fill="FFFFFF"/>
            <w:vAlign w:val="center"/>
          </w:tcPr>
          <w:p w14:paraId="33F830A3" w14:textId="50A29EDA" w:rsidR="00D722F8" w:rsidRPr="003E699A" w:rsidRDefault="00313871" w:rsidP="005D252F">
            <w:pPr>
              <w:jc w:val="center"/>
              <w:rPr>
                <w:rFonts w:ascii="Arial" w:hAnsi="Arial" w:cs="Arial"/>
                <w:sz w:val="22"/>
                <w:szCs w:val="22"/>
              </w:rPr>
            </w:pPr>
            <w:r w:rsidRPr="003E699A">
              <w:rPr>
                <w:rFonts w:ascii="Arial" w:hAnsi="Arial" w:cs="Arial"/>
                <w:sz w:val="22"/>
                <w:szCs w:val="22"/>
              </w:rPr>
              <w:t>Svi strani radnici koji se zapošljavaju u IDZ-u</w:t>
            </w:r>
          </w:p>
        </w:tc>
        <w:tc>
          <w:tcPr>
            <w:tcW w:w="4961" w:type="dxa"/>
            <w:tcBorders>
              <w:top w:val="nil"/>
              <w:left w:val="nil"/>
              <w:bottom w:val="single" w:sz="4" w:space="0" w:color="000000"/>
              <w:right w:val="single" w:sz="4" w:space="0" w:color="000000"/>
            </w:tcBorders>
            <w:shd w:val="clear" w:color="FFFFFF" w:fill="FFFFFF"/>
            <w:vAlign w:val="center"/>
          </w:tcPr>
          <w:p w14:paraId="536EAF56" w14:textId="23DC0CE6" w:rsidR="00D722F8" w:rsidRPr="003E699A" w:rsidRDefault="00D722F8" w:rsidP="005D252F">
            <w:pPr>
              <w:jc w:val="both"/>
              <w:rPr>
                <w:rFonts w:ascii="Arial" w:hAnsi="Arial" w:cs="Arial"/>
                <w:bCs/>
                <w:sz w:val="22"/>
                <w:szCs w:val="22"/>
              </w:rPr>
            </w:pPr>
            <w:r w:rsidRPr="003E699A">
              <w:rPr>
                <w:rFonts w:ascii="Arial" w:hAnsi="Arial" w:cs="Arial"/>
                <w:bCs/>
                <w:sz w:val="22"/>
                <w:szCs w:val="22"/>
              </w:rPr>
              <w:t xml:space="preserve">U 2025. godini tečaj hrvatskog jezika uspješno je završio jedan strani zdravstveni radnik (dr. med. </w:t>
            </w:r>
            <w:proofErr w:type="spellStart"/>
            <w:r w:rsidRPr="003E699A">
              <w:rPr>
                <w:rFonts w:ascii="Arial" w:hAnsi="Arial" w:cs="Arial"/>
                <w:bCs/>
                <w:sz w:val="22"/>
                <w:szCs w:val="22"/>
              </w:rPr>
              <w:t>spec</w:t>
            </w:r>
            <w:proofErr w:type="spellEnd"/>
            <w:r w:rsidRPr="003E699A">
              <w:rPr>
                <w:rFonts w:ascii="Arial" w:hAnsi="Arial" w:cs="Arial"/>
                <w:bCs/>
                <w:sz w:val="22"/>
                <w:szCs w:val="22"/>
              </w:rPr>
              <w:t xml:space="preserve">. ginekologije) u odabranoj ovlaštenoj ustanovi </w:t>
            </w:r>
            <w:r w:rsidRPr="003E699A">
              <w:rPr>
                <w:rFonts w:ascii="Arial" w:hAnsi="Arial" w:cs="Arial"/>
                <w:bCs/>
                <w:sz w:val="22"/>
              </w:rPr>
              <w:t>Otvoreno učilište Diopter u Puli</w:t>
            </w:r>
          </w:p>
        </w:tc>
      </w:tr>
    </w:tbl>
    <w:p w14:paraId="0CA4F6E5" w14:textId="77777777" w:rsidR="002555B9" w:rsidRPr="004F3556" w:rsidRDefault="002555B9" w:rsidP="002555B9">
      <w:pPr>
        <w:jc w:val="both"/>
        <w:rPr>
          <w:rFonts w:ascii="Arial" w:hAnsi="Arial" w:cs="Arial"/>
          <w:bCs/>
          <w:sz w:val="22"/>
          <w:szCs w:val="22"/>
        </w:rPr>
      </w:pPr>
    </w:p>
    <w:p w14:paraId="2FA0606C" w14:textId="77777777" w:rsidR="002555B9" w:rsidRDefault="002555B9" w:rsidP="002555B9">
      <w:pPr>
        <w:jc w:val="both"/>
        <w:rPr>
          <w:rFonts w:ascii="Arial" w:hAnsi="Arial" w:cs="Arial"/>
          <w:bCs/>
          <w:sz w:val="22"/>
          <w:szCs w:val="22"/>
        </w:rPr>
      </w:pPr>
    </w:p>
    <w:p w14:paraId="30139FF5" w14:textId="77777777" w:rsidR="00AD78FF" w:rsidRDefault="00AD78FF" w:rsidP="002555B9">
      <w:pPr>
        <w:jc w:val="both"/>
        <w:rPr>
          <w:rFonts w:ascii="Arial" w:hAnsi="Arial" w:cs="Arial"/>
          <w:bCs/>
          <w:sz w:val="22"/>
          <w:szCs w:val="22"/>
        </w:rPr>
      </w:pPr>
    </w:p>
    <w:p w14:paraId="322E901A" w14:textId="77777777" w:rsidR="00AD78FF" w:rsidRPr="004F3556" w:rsidRDefault="00AD78FF" w:rsidP="002555B9">
      <w:pPr>
        <w:jc w:val="both"/>
        <w:rPr>
          <w:rFonts w:ascii="Arial" w:hAnsi="Arial" w:cs="Arial"/>
          <w:bCs/>
          <w:sz w:val="22"/>
          <w:szCs w:val="22"/>
        </w:rPr>
      </w:pPr>
    </w:p>
    <w:p w14:paraId="5464510B" w14:textId="47813428" w:rsidR="0047411A" w:rsidRDefault="002555B9" w:rsidP="002555B9">
      <w:pPr>
        <w:jc w:val="center"/>
        <w:rPr>
          <w:rFonts w:ascii="Arial" w:hAnsi="Arial" w:cs="Arial"/>
          <w:sz w:val="22"/>
          <w:szCs w:val="22"/>
        </w:rPr>
      </w:pPr>
      <w:r w:rsidRPr="004F3556">
        <w:rPr>
          <w:rFonts w:ascii="Arial" w:hAnsi="Arial" w:cs="Arial"/>
          <w:sz w:val="22"/>
          <w:szCs w:val="22"/>
        </w:rPr>
        <w:t xml:space="preserve">                                                                              </w:t>
      </w:r>
    </w:p>
    <w:p w14:paraId="572F272C" w14:textId="77777777" w:rsidR="0047411A" w:rsidRDefault="0047411A" w:rsidP="002555B9">
      <w:pPr>
        <w:jc w:val="center"/>
        <w:rPr>
          <w:rFonts w:ascii="Arial" w:hAnsi="Arial" w:cs="Arial"/>
          <w:sz w:val="22"/>
          <w:szCs w:val="22"/>
        </w:rPr>
      </w:pPr>
    </w:p>
    <w:p w14:paraId="2BEEDB6B" w14:textId="5395033A" w:rsidR="002555B9" w:rsidRPr="004F3556" w:rsidRDefault="003E699A" w:rsidP="003E699A">
      <w:pPr>
        <w:ind w:left="4248" w:firstLine="708"/>
        <w:rPr>
          <w:rFonts w:ascii="Arial" w:hAnsi="Arial" w:cs="Arial"/>
          <w:sz w:val="22"/>
          <w:szCs w:val="22"/>
        </w:rPr>
      </w:pPr>
      <w:r>
        <w:rPr>
          <w:rFonts w:ascii="Arial" w:hAnsi="Arial" w:cs="Arial"/>
          <w:sz w:val="22"/>
          <w:szCs w:val="22"/>
        </w:rPr>
        <w:t xml:space="preserve">        </w:t>
      </w:r>
      <w:r w:rsidR="002555B9" w:rsidRPr="004F3556">
        <w:rPr>
          <w:rFonts w:ascii="Arial" w:hAnsi="Arial" w:cs="Arial"/>
          <w:sz w:val="22"/>
          <w:szCs w:val="22"/>
        </w:rPr>
        <w:t xml:space="preserve">   Predsjednica Upravnog vijeća</w:t>
      </w:r>
    </w:p>
    <w:p w14:paraId="05645ADC" w14:textId="77777777" w:rsidR="002555B9" w:rsidRPr="004F3556" w:rsidRDefault="002555B9" w:rsidP="002555B9">
      <w:pPr>
        <w:jc w:val="right"/>
        <w:rPr>
          <w:rFonts w:ascii="Arial" w:hAnsi="Arial" w:cs="Arial"/>
          <w:sz w:val="22"/>
          <w:szCs w:val="22"/>
        </w:rPr>
      </w:pPr>
    </w:p>
    <w:p w14:paraId="75FE6C3B" w14:textId="44A9B9B8" w:rsidR="002555B9" w:rsidRPr="004F3556" w:rsidRDefault="00CA2B0F" w:rsidP="00CA2B0F">
      <w:pPr>
        <w:jc w:val="center"/>
        <w:rPr>
          <w:rFonts w:ascii="Arial" w:hAnsi="Arial" w:cs="Arial"/>
          <w:sz w:val="22"/>
          <w:szCs w:val="22"/>
        </w:rPr>
      </w:pPr>
      <w:r>
        <w:rPr>
          <w:rFonts w:ascii="Arial" w:hAnsi="Arial" w:cs="Arial"/>
          <w:sz w:val="22"/>
          <w:szCs w:val="22"/>
        </w:rPr>
        <w:t xml:space="preserve">                                                                                     </w:t>
      </w:r>
      <w:r w:rsidR="002555B9" w:rsidRPr="004F3556">
        <w:rPr>
          <w:rFonts w:ascii="Arial" w:hAnsi="Arial" w:cs="Arial"/>
          <w:sz w:val="22"/>
          <w:szCs w:val="22"/>
        </w:rPr>
        <w:t>_______________________________</w:t>
      </w:r>
    </w:p>
    <w:p w14:paraId="4C6D9197" w14:textId="4EF2E9A2" w:rsidR="00CA2B0F" w:rsidRPr="003E699A" w:rsidRDefault="00CA2B0F" w:rsidP="00CA2B0F">
      <w:pPr>
        <w:shd w:val="clear" w:color="auto" w:fill="FFFFFF"/>
        <w:suppressAutoHyphens/>
        <w:spacing w:line="270" w:lineRule="atLeast"/>
        <w:textAlignment w:val="baseline"/>
        <w:rPr>
          <w:rFonts w:ascii="Arial" w:hAnsi="Arial" w:cs="Arial"/>
          <w:sz w:val="22"/>
          <w:szCs w:val="22"/>
        </w:rPr>
      </w:pPr>
      <w:r w:rsidRPr="003E699A">
        <w:rPr>
          <w:rFonts w:ascii="Arial" w:hAnsi="Arial" w:cs="Arial"/>
          <w:sz w:val="22"/>
          <w:szCs w:val="22"/>
        </w:rPr>
        <w:t xml:space="preserve">                                                                                     Lorena </w:t>
      </w:r>
      <w:proofErr w:type="spellStart"/>
      <w:r w:rsidRPr="003E699A">
        <w:rPr>
          <w:rFonts w:ascii="Arial" w:hAnsi="Arial" w:cs="Arial"/>
          <w:sz w:val="22"/>
          <w:szCs w:val="22"/>
        </w:rPr>
        <w:t>Lazarić</w:t>
      </w:r>
      <w:proofErr w:type="spellEnd"/>
      <w:r w:rsidRPr="003E699A">
        <w:rPr>
          <w:rFonts w:ascii="Arial" w:hAnsi="Arial" w:cs="Arial"/>
          <w:sz w:val="22"/>
          <w:szCs w:val="22"/>
        </w:rPr>
        <w:t xml:space="preserve"> Stefanović, dr. med. </w:t>
      </w:r>
      <w:proofErr w:type="spellStart"/>
      <w:r w:rsidRPr="003E699A">
        <w:rPr>
          <w:rFonts w:ascii="Arial" w:hAnsi="Arial" w:cs="Arial"/>
          <w:sz w:val="22"/>
          <w:szCs w:val="22"/>
        </w:rPr>
        <w:t>spec</w:t>
      </w:r>
      <w:proofErr w:type="spellEnd"/>
      <w:r w:rsidRPr="003E699A">
        <w:rPr>
          <w:rFonts w:ascii="Arial" w:hAnsi="Arial" w:cs="Arial"/>
          <w:sz w:val="22"/>
          <w:szCs w:val="22"/>
        </w:rPr>
        <w:t>.</w:t>
      </w:r>
    </w:p>
    <w:p w14:paraId="227722FA" w14:textId="77777777" w:rsidR="00CA2B0F" w:rsidRPr="00CA2B0F" w:rsidRDefault="00CA2B0F" w:rsidP="00CA2B0F">
      <w:pPr>
        <w:spacing w:line="360" w:lineRule="auto"/>
        <w:ind w:left="2832" w:firstLine="708"/>
        <w:rPr>
          <w:rFonts w:ascii="Calibri" w:hAnsi="Calibri" w:cs="Calibri"/>
          <w:color w:val="548DD4" w:themeColor="text2" w:themeTint="99"/>
          <w:szCs w:val="20"/>
        </w:rPr>
      </w:pPr>
    </w:p>
    <w:p w14:paraId="3D101650" w14:textId="77777777" w:rsidR="002555B9" w:rsidRPr="004F3556" w:rsidRDefault="002555B9" w:rsidP="002555B9">
      <w:pPr>
        <w:jc w:val="both"/>
        <w:rPr>
          <w:rFonts w:ascii="Arial" w:hAnsi="Arial" w:cs="Arial"/>
          <w:sz w:val="22"/>
          <w:szCs w:val="22"/>
        </w:rPr>
      </w:pPr>
    </w:p>
    <w:p w14:paraId="2D34C6BE" w14:textId="77777777" w:rsidR="002555B9" w:rsidRPr="004F3556" w:rsidRDefault="002555B9" w:rsidP="002555B9">
      <w:pPr>
        <w:jc w:val="both"/>
        <w:rPr>
          <w:rFonts w:ascii="Arial" w:hAnsi="Arial" w:cs="Arial"/>
          <w:sz w:val="22"/>
          <w:szCs w:val="22"/>
        </w:rPr>
      </w:pPr>
    </w:p>
    <w:p w14:paraId="5CB92C08" w14:textId="77777777" w:rsidR="002555B9" w:rsidRPr="004F3556" w:rsidRDefault="002555B9" w:rsidP="002555B9">
      <w:pPr>
        <w:jc w:val="both"/>
        <w:rPr>
          <w:rFonts w:ascii="Arial" w:hAnsi="Arial" w:cs="Arial"/>
          <w:sz w:val="22"/>
          <w:szCs w:val="22"/>
        </w:rPr>
      </w:pPr>
    </w:p>
    <w:p w14:paraId="26A52C80" w14:textId="77777777" w:rsidR="002555B9" w:rsidRPr="004F3556" w:rsidRDefault="002555B9" w:rsidP="002555B9">
      <w:pPr>
        <w:jc w:val="both"/>
        <w:rPr>
          <w:rFonts w:ascii="Arial" w:hAnsi="Arial" w:cs="Arial"/>
          <w:sz w:val="20"/>
        </w:rPr>
      </w:pPr>
    </w:p>
    <w:p w14:paraId="29A8E4A5" w14:textId="77777777" w:rsidR="002555B9" w:rsidRDefault="002555B9" w:rsidP="002555B9">
      <w:pPr>
        <w:jc w:val="both"/>
        <w:rPr>
          <w:rFonts w:ascii="Arial" w:hAnsi="Arial" w:cs="Arial"/>
          <w:sz w:val="20"/>
        </w:rPr>
      </w:pPr>
    </w:p>
    <w:p w14:paraId="21CE078F" w14:textId="77777777" w:rsidR="00AD78FF" w:rsidRDefault="00AD78FF" w:rsidP="002555B9">
      <w:pPr>
        <w:jc w:val="both"/>
        <w:rPr>
          <w:rFonts w:ascii="Arial" w:hAnsi="Arial" w:cs="Arial"/>
          <w:sz w:val="20"/>
        </w:rPr>
      </w:pPr>
    </w:p>
    <w:p w14:paraId="67BC133B" w14:textId="77777777" w:rsidR="00AD78FF" w:rsidRDefault="00AD78FF" w:rsidP="002555B9">
      <w:pPr>
        <w:jc w:val="both"/>
        <w:rPr>
          <w:rFonts w:ascii="Arial" w:hAnsi="Arial" w:cs="Arial"/>
          <w:sz w:val="20"/>
        </w:rPr>
      </w:pPr>
    </w:p>
    <w:p w14:paraId="27CD5A9D" w14:textId="77777777" w:rsidR="00AD78FF" w:rsidRDefault="00AD78FF" w:rsidP="002555B9">
      <w:pPr>
        <w:jc w:val="both"/>
        <w:rPr>
          <w:rFonts w:ascii="Arial" w:hAnsi="Arial" w:cs="Arial"/>
          <w:sz w:val="20"/>
        </w:rPr>
      </w:pPr>
    </w:p>
    <w:p w14:paraId="5F86AAB8" w14:textId="77777777" w:rsidR="00AD78FF" w:rsidRDefault="00AD78FF" w:rsidP="002555B9">
      <w:pPr>
        <w:jc w:val="both"/>
        <w:rPr>
          <w:rFonts w:ascii="Arial" w:hAnsi="Arial" w:cs="Arial"/>
          <w:sz w:val="20"/>
        </w:rPr>
      </w:pPr>
    </w:p>
    <w:p w14:paraId="3B6C3DA0" w14:textId="77777777" w:rsidR="00AD78FF" w:rsidRDefault="00AD78FF" w:rsidP="002555B9">
      <w:pPr>
        <w:jc w:val="both"/>
        <w:rPr>
          <w:rFonts w:ascii="Arial" w:hAnsi="Arial" w:cs="Arial"/>
          <w:sz w:val="20"/>
        </w:rPr>
      </w:pPr>
    </w:p>
    <w:p w14:paraId="02CCA2B3" w14:textId="77777777" w:rsidR="00AD78FF" w:rsidRPr="004F3556" w:rsidRDefault="00AD78FF" w:rsidP="002555B9">
      <w:pPr>
        <w:jc w:val="both"/>
        <w:rPr>
          <w:rFonts w:ascii="Arial" w:hAnsi="Arial" w:cs="Arial"/>
          <w:sz w:val="20"/>
        </w:rPr>
      </w:pPr>
    </w:p>
    <w:p w14:paraId="0EABFDA5" w14:textId="77777777" w:rsidR="002555B9" w:rsidRPr="004F3556" w:rsidRDefault="002555B9" w:rsidP="002555B9">
      <w:pPr>
        <w:jc w:val="both"/>
        <w:rPr>
          <w:rFonts w:ascii="Arial" w:hAnsi="Arial" w:cs="Arial"/>
          <w:sz w:val="20"/>
        </w:rPr>
      </w:pPr>
    </w:p>
    <w:p w14:paraId="772E501F" w14:textId="77777777" w:rsidR="002555B9" w:rsidRPr="004F3556" w:rsidRDefault="002555B9" w:rsidP="002555B9">
      <w:pPr>
        <w:jc w:val="both"/>
        <w:rPr>
          <w:rFonts w:ascii="Arial" w:hAnsi="Arial" w:cs="Arial"/>
          <w:sz w:val="22"/>
        </w:rPr>
      </w:pPr>
      <w:r w:rsidRPr="004F3556">
        <w:rPr>
          <w:rFonts w:ascii="Arial" w:hAnsi="Arial" w:cs="Arial"/>
          <w:sz w:val="20"/>
        </w:rPr>
        <w:t xml:space="preserve">KLASA: </w:t>
      </w:r>
    </w:p>
    <w:p w14:paraId="46C4A368" w14:textId="77777777" w:rsidR="002555B9" w:rsidRPr="004F3556" w:rsidRDefault="002555B9" w:rsidP="002555B9">
      <w:pPr>
        <w:jc w:val="both"/>
        <w:rPr>
          <w:rFonts w:ascii="Arial" w:hAnsi="Arial" w:cs="Arial"/>
          <w:sz w:val="20"/>
        </w:rPr>
      </w:pPr>
      <w:r w:rsidRPr="004F3556">
        <w:rPr>
          <w:rFonts w:ascii="Arial" w:hAnsi="Arial" w:cs="Arial"/>
          <w:sz w:val="20"/>
        </w:rPr>
        <w:t xml:space="preserve">URBROJ: </w:t>
      </w:r>
    </w:p>
    <w:p w14:paraId="206695AE" w14:textId="6204E9C1" w:rsidR="005760FA" w:rsidRPr="004F3556" w:rsidRDefault="002555B9" w:rsidP="00F334E0">
      <w:pPr>
        <w:jc w:val="both"/>
        <w:rPr>
          <w:rFonts w:ascii="Arial" w:hAnsi="Arial" w:cs="Arial"/>
        </w:rPr>
      </w:pPr>
      <w:r w:rsidRPr="004F3556">
        <w:rPr>
          <w:rFonts w:ascii="Arial" w:hAnsi="Arial" w:cs="Arial"/>
          <w:sz w:val="20"/>
        </w:rPr>
        <w:t>Pula,</w:t>
      </w:r>
      <w:r w:rsidR="00250F4D">
        <w:rPr>
          <w:rFonts w:ascii="Arial" w:hAnsi="Arial" w:cs="Arial"/>
          <w:sz w:val="20"/>
        </w:rPr>
        <w:t>__</w:t>
      </w:r>
      <w:r w:rsidR="00F334E0" w:rsidRPr="004F3556">
        <w:rPr>
          <w:rFonts w:ascii="Arial" w:hAnsi="Arial" w:cs="Arial"/>
          <w:sz w:val="20"/>
        </w:rPr>
        <w:t>.0</w:t>
      </w:r>
      <w:r w:rsidR="00250F4D">
        <w:rPr>
          <w:rFonts w:ascii="Arial" w:hAnsi="Arial" w:cs="Arial"/>
          <w:sz w:val="20"/>
        </w:rPr>
        <w:t>3</w:t>
      </w:r>
      <w:r w:rsidR="00F334E0" w:rsidRPr="004F3556">
        <w:rPr>
          <w:rFonts w:ascii="Arial" w:hAnsi="Arial" w:cs="Arial"/>
          <w:sz w:val="20"/>
        </w:rPr>
        <w:t>.202</w:t>
      </w:r>
      <w:r w:rsidR="00CA2B0F">
        <w:rPr>
          <w:rFonts w:ascii="Arial" w:hAnsi="Arial" w:cs="Arial"/>
          <w:sz w:val="20"/>
        </w:rPr>
        <w:t>6</w:t>
      </w:r>
      <w:r w:rsidR="00F334E0" w:rsidRPr="004F3556">
        <w:rPr>
          <w:rFonts w:ascii="Arial" w:hAnsi="Arial" w:cs="Arial"/>
          <w:sz w:val="20"/>
        </w:rPr>
        <w:t>.</w:t>
      </w:r>
      <w:r w:rsidRPr="004F3556">
        <w:rPr>
          <w:rFonts w:ascii="Arial" w:hAnsi="Arial" w:cs="Arial"/>
        </w:rPr>
        <w:tab/>
      </w:r>
    </w:p>
    <w:sectPr w:rsidR="005760FA" w:rsidRPr="004F3556" w:rsidSect="00AC0834">
      <w:footerReference w:type="first" r:id="rId9"/>
      <w:pgSz w:w="11906" w:h="16838" w:code="9"/>
      <w:pgMar w:top="1077" w:right="1133"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CE565" w14:textId="77777777" w:rsidR="00293623" w:rsidRDefault="00293623" w:rsidP="002D2C05">
      <w:r>
        <w:separator/>
      </w:r>
    </w:p>
  </w:endnote>
  <w:endnote w:type="continuationSeparator" w:id="0">
    <w:p w14:paraId="66C9786B" w14:textId="77777777" w:rsidR="00293623" w:rsidRDefault="00293623" w:rsidP="002D2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3DD26" w14:textId="77777777" w:rsidR="00650B14" w:rsidRDefault="00650B14">
    <w:pPr>
      <w:pStyle w:val="Podnoj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2D5B2" w14:textId="77777777" w:rsidR="00293623" w:rsidRDefault="00293623" w:rsidP="002D2C05">
      <w:r>
        <w:separator/>
      </w:r>
    </w:p>
  </w:footnote>
  <w:footnote w:type="continuationSeparator" w:id="0">
    <w:p w14:paraId="3D89FCBB" w14:textId="77777777" w:rsidR="00293623" w:rsidRDefault="00293623" w:rsidP="002D2C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31419"/>
    <w:multiLevelType w:val="hybridMultilevel"/>
    <w:tmpl w:val="98B4CD52"/>
    <w:lvl w:ilvl="0" w:tplc="041A0001">
      <w:start w:val="1"/>
      <w:numFmt w:val="bullet"/>
      <w:lvlText w:val=""/>
      <w:lvlJc w:val="left"/>
      <w:pPr>
        <w:tabs>
          <w:tab w:val="num" w:pos="720"/>
        </w:tabs>
        <w:ind w:left="720" w:hanging="360"/>
      </w:pPr>
      <w:rPr>
        <w:rFonts w:ascii="Symbol" w:hAnsi="Symbol"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047477A"/>
    <w:multiLevelType w:val="hybridMultilevel"/>
    <w:tmpl w:val="34E6DF52"/>
    <w:lvl w:ilvl="0" w:tplc="0B4A91F0">
      <w:start w:val="2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1246946"/>
    <w:multiLevelType w:val="multilevel"/>
    <w:tmpl w:val="FF68CFD8"/>
    <w:lvl w:ilvl="0">
      <w:start w:val="69"/>
      <w:numFmt w:val="decimal"/>
      <w:lvlText w:val="%1"/>
      <w:lvlJc w:val="left"/>
      <w:pPr>
        <w:tabs>
          <w:tab w:val="num" w:pos="1080"/>
        </w:tabs>
        <w:ind w:left="1080" w:hanging="1080"/>
      </w:pPr>
      <w:rPr>
        <w:rFonts w:hint="default"/>
      </w:rPr>
    </w:lvl>
    <w:lvl w:ilvl="1">
      <w:start w:val="244"/>
      <w:numFmt w:val="decimal"/>
      <w:lvlText w:val="%1.%2"/>
      <w:lvlJc w:val="left"/>
      <w:pPr>
        <w:tabs>
          <w:tab w:val="num" w:pos="2040"/>
        </w:tabs>
        <w:ind w:left="2040" w:hanging="1080"/>
      </w:pPr>
      <w:rPr>
        <w:rFonts w:hint="default"/>
      </w:rPr>
    </w:lvl>
    <w:lvl w:ilvl="2">
      <w:start w:val="916"/>
      <w:numFmt w:val="decimal"/>
      <w:lvlText w:val="%1.%2.%3"/>
      <w:lvlJc w:val="left"/>
      <w:pPr>
        <w:tabs>
          <w:tab w:val="num" w:pos="3000"/>
        </w:tabs>
        <w:ind w:left="3000" w:hanging="1080"/>
      </w:pPr>
      <w:rPr>
        <w:rFonts w:hint="default"/>
      </w:rPr>
    </w:lvl>
    <w:lvl w:ilvl="3">
      <w:start w:val="1"/>
      <w:numFmt w:val="decimal"/>
      <w:lvlText w:val="%1.%2.%3.%4"/>
      <w:lvlJc w:val="left"/>
      <w:pPr>
        <w:tabs>
          <w:tab w:val="num" w:pos="3960"/>
        </w:tabs>
        <w:ind w:left="3960" w:hanging="1080"/>
      </w:pPr>
      <w:rPr>
        <w:rFonts w:hint="default"/>
      </w:rPr>
    </w:lvl>
    <w:lvl w:ilvl="4">
      <w:start w:val="1"/>
      <w:numFmt w:val="decimal"/>
      <w:lvlText w:val="%1.%2.%3.%4.%5"/>
      <w:lvlJc w:val="left"/>
      <w:pPr>
        <w:tabs>
          <w:tab w:val="num" w:pos="4920"/>
        </w:tabs>
        <w:ind w:left="4920" w:hanging="1080"/>
      </w:pPr>
      <w:rPr>
        <w:rFonts w:hint="default"/>
      </w:rPr>
    </w:lvl>
    <w:lvl w:ilvl="5">
      <w:start w:val="1"/>
      <w:numFmt w:val="decimal"/>
      <w:lvlText w:val="%1.%2.%3.%4.%5.%6"/>
      <w:lvlJc w:val="left"/>
      <w:pPr>
        <w:tabs>
          <w:tab w:val="num" w:pos="5880"/>
        </w:tabs>
        <w:ind w:left="5880" w:hanging="1080"/>
      </w:pPr>
      <w:rPr>
        <w:rFonts w:hint="default"/>
      </w:rPr>
    </w:lvl>
    <w:lvl w:ilvl="6">
      <w:start w:val="1"/>
      <w:numFmt w:val="decimal"/>
      <w:lvlText w:val="%1.%2.%3.%4.%5.%6.%7"/>
      <w:lvlJc w:val="left"/>
      <w:pPr>
        <w:tabs>
          <w:tab w:val="num" w:pos="7200"/>
        </w:tabs>
        <w:ind w:left="7200" w:hanging="1440"/>
      </w:pPr>
      <w:rPr>
        <w:rFonts w:hint="default"/>
      </w:rPr>
    </w:lvl>
    <w:lvl w:ilvl="7">
      <w:start w:val="1"/>
      <w:numFmt w:val="decimal"/>
      <w:lvlText w:val="%1.%2.%3.%4.%5.%6.%7.%8"/>
      <w:lvlJc w:val="left"/>
      <w:pPr>
        <w:tabs>
          <w:tab w:val="num" w:pos="8160"/>
        </w:tabs>
        <w:ind w:left="8160" w:hanging="1440"/>
      </w:pPr>
      <w:rPr>
        <w:rFonts w:hint="default"/>
      </w:rPr>
    </w:lvl>
    <w:lvl w:ilvl="8">
      <w:start w:val="1"/>
      <w:numFmt w:val="decimal"/>
      <w:lvlText w:val="%1.%2.%3.%4.%5.%6.%7.%8.%9"/>
      <w:lvlJc w:val="left"/>
      <w:pPr>
        <w:tabs>
          <w:tab w:val="num" w:pos="9480"/>
        </w:tabs>
        <w:ind w:left="9480" w:hanging="1800"/>
      </w:pPr>
      <w:rPr>
        <w:rFonts w:hint="default"/>
      </w:rPr>
    </w:lvl>
  </w:abstractNum>
  <w:abstractNum w:abstractNumId="4" w15:restartNumberingAfterBreak="0">
    <w:nsid w:val="04821387"/>
    <w:multiLevelType w:val="multilevel"/>
    <w:tmpl w:val="5C9EB20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50F4940"/>
    <w:multiLevelType w:val="hybridMultilevel"/>
    <w:tmpl w:val="5C9EB206"/>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6" w15:restartNumberingAfterBreak="0">
    <w:nsid w:val="07420F41"/>
    <w:multiLevelType w:val="hybridMultilevel"/>
    <w:tmpl w:val="0C103DF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B782BFC"/>
    <w:multiLevelType w:val="hybridMultilevel"/>
    <w:tmpl w:val="4C56D00A"/>
    <w:lvl w:ilvl="0" w:tplc="D4F0822C">
      <w:numFmt w:val="bullet"/>
      <w:lvlText w:val="-"/>
      <w:lvlJc w:val="left"/>
      <w:pPr>
        <w:tabs>
          <w:tab w:val="num" w:pos="780"/>
        </w:tabs>
        <w:ind w:left="780" w:hanging="360"/>
      </w:pPr>
      <w:rPr>
        <w:rFonts w:ascii="Times New Roman" w:eastAsia="Times New Roman" w:hAnsi="Times New Roman" w:cs="Times New Roman" w:hint="default"/>
      </w:rPr>
    </w:lvl>
    <w:lvl w:ilvl="1" w:tplc="041A0003" w:tentative="1">
      <w:start w:val="1"/>
      <w:numFmt w:val="bullet"/>
      <w:lvlText w:val="o"/>
      <w:lvlJc w:val="left"/>
      <w:pPr>
        <w:tabs>
          <w:tab w:val="num" w:pos="1500"/>
        </w:tabs>
        <w:ind w:left="1500" w:hanging="360"/>
      </w:pPr>
      <w:rPr>
        <w:rFonts w:ascii="Courier New" w:hAnsi="Courier New" w:cs="Courier New" w:hint="default"/>
      </w:rPr>
    </w:lvl>
    <w:lvl w:ilvl="2" w:tplc="041A0005" w:tentative="1">
      <w:start w:val="1"/>
      <w:numFmt w:val="bullet"/>
      <w:lvlText w:val=""/>
      <w:lvlJc w:val="left"/>
      <w:pPr>
        <w:tabs>
          <w:tab w:val="num" w:pos="2220"/>
        </w:tabs>
        <w:ind w:left="2220" w:hanging="360"/>
      </w:pPr>
      <w:rPr>
        <w:rFonts w:ascii="Wingdings" w:hAnsi="Wingdings" w:hint="default"/>
      </w:rPr>
    </w:lvl>
    <w:lvl w:ilvl="3" w:tplc="041A0001" w:tentative="1">
      <w:start w:val="1"/>
      <w:numFmt w:val="bullet"/>
      <w:lvlText w:val=""/>
      <w:lvlJc w:val="left"/>
      <w:pPr>
        <w:tabs>
          <w:tab w:val="num" w:pos="2940"/>
        </w:tabs>
        <w:ind w:left="2940" w:hanging="360"/>
      </w:pPr>
      <w:rPr>
        <w:rFonts w:ascii="Symbol" w:hAnsi="Symbol" w:hint="default"/>
      </w:rPr>
    </w:lvl>
    <w:lvl w:ilvl="4" w:tplc="041A0003" w:tentative="1">
      <w:start w:val="1"/>
      <w:numFmt w:val="bullet"/>
      <w:lvlText w:val="o"/>
      <w:lvlJc w:val="left"/>
      <w:pPr>
        <w:tabs>
          <w:tab w:val="num" w:pos="3660"/>
        </w:tabs>
        <w:ind w:left="3660" w:hanging="360"/>
      </w:pPr>
      <w:rPr>
        <w:rFonts w:ascii="Courier New" w:hAnsi="Courier New" w:cs="Courier New" w:hint="default"/>
      </w:rPr>
    </w:lvl>
    <w:lvl w:ilvl="5" w:tplc="041A0005" w:tentative="1">
      <w:start w:val="1"/>
      <w:numFmt w:val="bullet"/>
      <w:lvlText w:val=""/>
      <w:lvlJc w:val="left"/>
      <w:pPr>
        <w:tabs>
          <w:tab w:val="num" w:pos="4380"/>
        </w:tabs>
        <w:ind w:left="4380" w:hanging="360"/>
      </w:pPr>
      <w:rPr>
        <w:rFonts w:ascii="Wingdings" w:hAnsi="Wingdings" w:hint="default"/>
      </w:rPr>
    </w:lvl>
    <w:lvl w:ilvl="6" w:tplc="041A0001" w:tentative="1">
      <w:start w:val="1"/>
      <w:numFmt w:val="bullet"/>
      <w:lvlText w:val=""/>
      <w:lvlJc w:val="left"/>
      <w:pPr>
        <w:tabs>
          <w:tab w:val="num" w:pos="5100"/>
        </w:tabs>
        <w:ind w:left="5100" w:hanging="360"/>
      </w:pPr>
      <w:rPr>
        <w:rFonts w:ascii="Symbol" w:hAnsi="Symbol" w:hint="default"/>
      </w:rPr>
    </w:lvl>
    <w:lvl w:ilvl="7" w:tplc="041A0003" w:tentative="1">
      <w:start w:val="1"/>
      <w:numFmt w:val="bullet"/>
      <w:lvlText w:val="o"/>
      <w:lvlJc w:val="left"/>
      <w:pPr>
        <w:tabs>
          <w:tab w:val="num" w:pos="5820"/>
        </w:tabs>
        <w:ind w:left="5820" w:hanging="360"/>
      </w:pPr>
      <w:rPr>
        <w:rFonts w:ascii="Courier New" w:hAnsi="Courier New" w:cs="Courier New" w:hint="default"/>
      </w:rPr>
    </w:lvl>
    <w:lvl w:ilvl="8" w:tplc="041A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0BB253C2"/>
    <w:multiLevelType w:val="hybridMultilevel"/>
    <w:tmpl w:val="16D40656"/>
    <w:lvl w:ilvl="0" w:tplc="1C6EFB5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0DEE1736"/>
    <w:multiLevelType w:val="hybridMultilevel"/>
    <w:tmpl w:val="8A36DE4A"/>
    <w:lvl w:ilvl="0" w:tplc="51266ED6">
      <w:numFmt w:val="bullet"/>
      <w:lvlText w:val="-"/>
      <w:lvlJc w:val="left"/>
      <w:pPr>
        <w:tabs>
          <w:tab w:val="num" w:pos="900"/>
        </w:tabs>
        <w:ind w:left="900" w:hanging="360"/>
      </w:pPr>
      <w:rPr>
        <w:rFonts w:ascii="Times New Roman" w:eastAsia="Times New Roman" w:hAnsi="Times New Roman" w:cs="Times New Roman" w:hint="default"/>
        <w:b/>
      </w:rPr>
    </w:lvl>
    <w:lvl w:ilvl="1" w:tplc="041A0003" w:tentative="1">
      <w:start w:val="1"/>
      <w:numFmt w:val="bullet"/>
      <w:lvlText w:val="o"/>
      <w:lvlJc w:val="left"/>
      <w:pPr>
        <w:tabs>
          <w:tab w:val="num" w:pos="1620"/>
        </w:tabs>
        <w:ind w:left="1620" w:hanging="360"/>
      </w:pPr>
      <w:rPr>
        <w:rFonts w:ascii="Courier New" w:hAnsi="Courier New" w:cs="Courier New" w:hint="default"/>
      </w:rPr>
    </w:lvl>
    <w:lvl w:ilvl="2" w:tplc="041A0005" w:tentative="1">
      <w:start w:val="1"/>
      <w:numFmt w:val="bullet"/>
      <w:lvlText w:val=""/>
      <w:lvlJc w:val="left"/>
      <w:pPr>
        <w:tabs>
          <w:tab w:val="num" w:pos="2340"/>
        </w:tabs>
        <w:ind w:left="2340" w:hanging="360"/>
      </w:pPr>
      <w:rPr>
        <w:rFonts w:ascii="Wingdings" w:hAnsi="Wingdings" w:hint="default"/>
      </w:rPr>
    </w:lvl>
    <w:lvl w:ilvl="3" w:tplc="041A0001" w:tentative="1">
      <w:start w:val="1"/>
      <w:numFmt w:val="bullet"/>
      <w:lvlText w:val=""/>
      <w:lvlJc w:val="left"/>
      <w:pPr>
        <w:tabs>
          <w:tab w:val="num" w:pos="3060"/>
        </w:tabs>
        <w:ind w:left="3060" w:hanging="360"/>
      </w:pPr>
      <w:rPr>
        <w:rFonts w:ascii="Symbol" w:hAnsi="Symbol" w:hint="default"/>
      </w:rPr>
    </w:lvl>
    <w:lvl w:ilvl="4" w:tplc="041A0003" w:tentative="1">
      <w:start w:val="1"/>
      <w:numFmt w:val="bullet"/>
      <w:lvlText w:val="o"/>
      <w:lvlJc w:val="left"/>
      <w:pPr>
        <w:tabs>
          <w:tab w:val="num" w:pos="3780"/>
        </w:tabs>
        <w:ind w:left="3780" w:hanging="360"/>
      </w:pPr>
      <w:rPr>
        <w:rFonts w:ascii="Courier New" w:hAnsi="Courier New" w:cs="Courier New" w:hint="default"/>
      </w:rPr>
    </w:lvl>
    <w:lvl w:ilvl="5" w:tplc="041A0005" w:tentative="1">
      <w:start w:val="1"/>
      <w:numFmt w:val="bullet"/>
      <w:lvlText w:val=""/>
      <w:lvlJc w:val="left"/>
      <w:pPr>
        <w:tabs>
          <w:tab w:val="num" w:pos="4500"/>
        </w:tabs>
        <w:ind w:left="4500" w:hanging="360"/>
      </w:pPr>
      <w:rPr>
        <w:rFonts w:ascii="Wingdings" w:hAnsi="Wingdings" w:hint="default"/>
      </w:rPr>
    </w:lvl>
    <w:lvl w:ilvl="6" w:tplc="041A0001" w:tentative="1">
      <w:start w:val="1"/>
      <w:numFmt w:val="bullet"/>
      <w:lvlText w:val=""/>
      <w:lvlJc w:val="left"/>
      <w:pPr>
        <w:tabs>
          <w:tab w:val="num" w:pos="5220"/>
        </w:tabs>
        <w:ind w:left="5220" w:hanging="360"/>
      </w:pPr>
      <w:rPr>
        <w:rFonts w:ascii="Symbol" w:hAnsi="Symbol" w:hint="default"/>
      </w:rPr>
    </w:lvl>
    <w:lvl w:ilvl="7" w:tplc="041A0003" w:tentative="1">
      <w:start w:val="1"/>
      <w:numFmt w:val="bullet"/>
      <w:lvlText w:val="o"/>
      <w:lvlJc w:val="left"/>
      <w:pPr>
        <w:tabs>
          <w:tab w:val="num" w:pos="5940"/>
        </w:tabs>
        <w:ind w:left="5940" w:hanging="360"/>
      </w:pPr>
      <w:rPr>
        <w:rFonts w:ascii="Courier New" w:hAnsi="Courier New" w:cs="Courier New" w:hint="default"/>
      </w:rPr>
    </w:lvl>
    <w:lvl w:ilvl="8" w:tplc="041A0005"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160D303F"/>
    <w:multiLevelType w:val="hybridMultilevel"/>
    <w:tmpl w:val="45485E38"/>
    <w:lvl w:ilvl="0" w:tplc="041A000F">
      <w:start w:val="1"/>
      <w:numFmt w:val="decimal"/>
      <w:lvlText w:val="%1."/>
      <w:lvlJc w:val="left"/>
      <w:pPr>
        <w:ind w:left="780" w:hanging="360"/>
      </w:p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11" w15:restartNumberingAfterBreak="0">
    <w:nsid w:val="1662644F"/>
    <w:multiLevelType w:val="hybridMultilevel"/>
    <w:tmpl w:val="8EC81194"/>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2" w15:restartNumberingAfterBreak="0">
    <w:nsid w:val="1D696CC8"/>
    <w:multiLevelType w:val="hybridMultilevel"/>
    <w:tmpl w:val="28769EDC"/>
    <w:lvl w:ilvl="0" w:tplc="0DA86506">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40408B"/>
    <w:multiLevelType w:val="hybridMultilevel"/>
    <w:tmpl w:val="D1D43A66"/>
    <w:lvl w:ilvl="0" w:tplc="041A0001">
      <w:start w:val="10"/>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0CF69FB"/>
    <w:multiLevelType w:val="hybridMultilevel"/>
    <w:tmpl w:val="0898227E"/>
    <w:lvl w:ilvl="0" w:tplc="51266ED6">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2C92C83"/>
    <w:multiLevelType w:val="hybridMultilevel"/>
    <w:tmpl w:val="90A471CE"/>
    <w:lvl w:ilvl="0" w:tplc="51266ED6">
      <w:numFmt w:val="bullet"/>
      <w:lvlText w:val="-"/>
      <w:lvlJc w:val="left"/>
      <w:pPr>
        <w:ind w:left="780" w:hanging="360"/>
      </w:pPr>
      <w:rPr>
        <w:rFonts w:ascii="Times New Roman" w:eastAsia="Times New Roman" w:hAnsi="Times New Roman" w:cs="Times New Roman" w:hint="default"/>
        <w:b/>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6" w15:restartNumberingAfterBreak="0">
    <w:nsid w:val="25253B3A"/>
    <w:multiLevelType w:val="hybridMultilevel"/>
    <w:tmpl w:val="8D7C46E6"/>
    <w:lvl w:ilvl="0" w:tplc="041A0009">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15:restartNumberingAfterBreak="0">
    <w:nsid w:val="277D22CB"/>
    <w:multiLevelType w:val="multilevel"/>
    <w:tmpl w:val="F290FEA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A6D4F22"/>
    <w:multiLevelType w:val="hybridMultilevel"/>
    <w:tmpl w:val="1494DF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C3D48D3"/>
    <w:multiLevelType w:val="hybridMultilevel"/>
    <w:tmpl w:val="364A20C6"/>
    <w:lvl w:ilvl="0" w:tplc="62D4CD84">
      <w:start w:val="1"/>
      <w:numFmt w:val="bullet"/>
      <w:lvlText w:val=""/>
      <w:lvlJc w:val="left"/>
      <w:pPr>
        <w:tabs>
          <w:tab w:val="num" w:pos="720"/>
        </w:tabs>
        <w:ind w:left="720" w:hanging="360"/>
      </w:pPr>
      <w:rPr>
        <w:rFonts w:ascii="Symbol" w:hAnsi="Symbol" w:hint="default"/>
        <w:color w:val="000000"/>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0" w15:restartNumberingAfterBreak="0">
    <w:nsid w:val="2FA04E6B"/>
    <w:multiLevelType w:val="multilevel"/>
    <w:tmpl w:val="5C9EB20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08048CE"/>
    <w:multiLevelType w:val="hybridMultilevel"/>
    <w:tmpl w:val="1BD2B4B8"/>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22" w15:restartNumberingAfterBreak="0">
    <w:nsid w:val="35BD5D54"/>
    <w:multiLevelType w:val="hybridMultilevel"/>
    <w:tmpl w:val="56DCC330"/>
    <w:lvl w:ilvl="0" w:tplc="51266ED6">
      <w:numFmt w:val="bullet"/>
      <w:lvlText w:val="-"/>
      <w:lvlJc w:val="left"/>
      <w:pPr>
        <w:ind w:left="1500" w:hanging="360"/>
      </w:pPr>
      <w:rPr>
        <w:rFonts w:ascii="Times New Roman" w:eastAsia="Times New Roman" w:hAnsi="Times New Roman" w:cs="Times New Roman" w:hint="default"/>
        <w:b/>
      </w:rPr>
    </w:lvl>
    <w:lvl w:ilvl="1" w:tplc="041A0003" w:tentative="1">
      <w:start w:val="1"/>
      <w:numFmt w:val="bullet"/>
      <w:lvlText w:val="o"/>
      <w:lvlJc w:val="left"/>
      <w:pPr>
        <w:ind w:left="2220" w:hanging="360"/>
      </w:pPr>
      <w:rPr>
        <w:rFonts w:ascii="Courier New" w:hAnsi="Courier New" w:cs="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23" w15:restartNumberingAfterBreak="0">
    <w:nsid w:val="388348B9"/>
    <w:multiLevelType w:val="hybridMultilevel"/>
    <w:tmpl w:val="2110DB6E"/>
    <w:lvl w:ilvl="0" w:tplc="B4A6BA0E">
      <w:start w:val="1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A8E20A3"/>
    <w:multiLevelType w:val="hybridMultilevel"/>
    <w:tmpl w:val="949A3B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3C5434F6"/>
    <w:multiLevelType w:val="hybridMultilevel"/>
    <w:tmpl w:val="5008B468"/>
    <w:lvl w:ilvl="0" w:tplc="38509EDE">
      <w:numFmt w:val="bullet"/>
      <w:lvlText w:val="-"/>
      <w:lvlJc w:val="left"/>
      <w:pPr>
        <w:tabs>
          <w:tab w:val="num" w:pos="720"/>
        </w:tabs>
        <w:ind w:left="720" w:hanging="360"/>
      </w:pPr>
      <w:rPr>
        <w:rFonts w:ascii="Times New Roman" w:eastAsia="Times New Roman" w:hAnsi="Times New Roman" w:cs="Times New Roman" w:hint="default"/>
        <w:b/>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32450B"/>
    <w:multiLevelType w:val="hybridMultilevel"/>
    <w:tmpl w:val="8916A0E4"/>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7" w15:restartNumberingAfterBreak="0">
    <w:nsid w:val="3ED10B72"/>
    <w:multiLevelType w:val="hybridMultilevel"/>
    <w:tmpl w:val="FF38928C"/>
    <w:lvl w:ilvl="0" w:tplc="970E7500">
      <w:start w:val="1"/>
      <w:numFmt w:val="decimalZero"/>
      <w:lvlText w:val="%1."/>
      <w:lvlJc w:val="left"/>
      <w:pPr>
        <w:ind w:left="855" w:hanging="49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0147133"/>
    <w:multiLevelType w:val="hybridMultilevel"/>
    <w:tmpl w:val="6AAE3568"/>
    <w:lvl w:ilvl="0" w:tplc="A5B0F9F8">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14E0309"/>
    <w:multiLevelType w:val="multilevel"/>
    <w:tmpl w:val="983EE7B0"/>
    <w:lvl w:ilvl="0">
      <w:start w:val="1"/>
      <w:numFmt w:val="bullet"/>
      <w:lvlText w:val=""/>
      <w:lvlJc w:val="left"/>
      <w:pPr>
        <w:tabs>
          <w:tab w:val="num" w:pos="720"/>
        </w:tabs>
        <w:ind w:left="720" w:hanging="360"/>
      </w:pPr>
      <w:rPr>
        <w:rFonts w:ascii="Symbol" w:hAnsi="Symbol" w:hint="default"/>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2BF498D"/>
    <w:multiLevelType w:val="hybridMultilevel"/>
    <w:tmpl w:val="B78E4886"/>
    <w:lvl w:ilvl="0" w:tplc="51266ED6">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3474F46"/>
    <w:multiLevelType w:val="multilevel"/>
    <w:tmpl w:val="E886EE70"/>
    <w:lvl w:ilvl="0">
      <w:start w:val="4"/>
      <w:numFmt w:val="decimal"/>
      <w:lvlText w:val="%1."/>
      <w:lvlJc w:val="left"/>
      <w:pPr>
        <w:ind w:left="400" w:hanging="40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32" w15:restartNumberingAfterBreak="0">
    <w:nsid w:val="46137BEA"/>
    <w:multiLevelType w:val="hybridMultilevel"/>
    <w:tmpl w:val="0CEE41F0"/>
    <w:lvl w:ilvl="0" w:tplc="62D4CD84">
      <w:start w:val="1"/>
      <w:numFmt w:val="bullet"/>
      <w:lvlText w:val=""/>
      <w:lvlJc w:val="left"/>
      <w:pPr>
        <w:tabs>
          <w:tab w:val="num" w:pos="720"/>
        </w:tabs>
        <w:ind w:left="720" w:hanging="360"/>
      </w:pPr>
      <w:rPr>
        <w:rFonts w:ascii="Symbol" w:hAnsi="Symbol" w:hint="default"/>
        <w:color w:val="000000"/>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3" w15:restartNumberingAfterBreak="0">
    <w:nsid w:val="464473DC"/>
    <w:multiLevelType w:val="multilevel"/>
    <w:tmpl w:val="34C4A250"/>
    <w:lvl w:ilvl="0">
      <w:start w:val="88"/>
      <w:numFmt w:val="decimal"/>
      <w:lvlText w:val="%1"/>
      <w:lvlJc w:val="left"/>
      <w:pPr>
        <w:tabs>
          <w:tab w:val="num" w:pos="2040"/>
        </w:tabs>
        <w:ind w:left="2040" w:hanging="2040"/>
      </w:pPr>
      <w:rPr>
        <w:rFonts w:hint="default"/>
      </w:rPr>
    </w:lvl>
    <w:lvl w:ilvl="1">
      <w:start w:val="563"/>
      <w:numFmt w:val="decimal"/>
      <w:lvlText w:val="%1.%2"/>
      <w:lvlJc w:val="left"/>
      <w:pPr>
        <w:tabs>
          <w:tab w:val="num" w:pos="2820"/>
        </w:tabs>
        <w:ind w:left="2820" w:hanging="2040"/>
      </w:pPr>
      <w:rPr>
        <w:rFonts w:hint="default"/>
      </w:rPr>
    </w:lvl>
    <w:lvl w:ilvl="2">
      <w:start w:val="524"/>
      <w:numFmt w:val="decimal"/>
      <w:lvlText w:val="%1.%2.%3"/>
      <w:lvlJc w:val="left"/>
      <w:pPr>
        <w:tabs>
          <w:tab w:val="num" w:pos="3600"/>
        </w:tabs>
        <w:ind w:left="3600" w:hanging="2040"/>
      </w:pPr>
      <w:rPr>
        <w:rFonts w:hint="default"/>
      </w:rPr>
    </w:lvl>
    <w:lvl w:ilvl="3">
      <w:start w:val="1"/>
      <w:numFmt w:val="decimal"/>
      <w:lvlText w:val="%1.%2.%3.%4"/>
      <w:lvlJc w:val="left"/>
      <w:pPr>
        <w:tabs>
          <w:tab w:val="num" w:pos="4380"/>
        </w:tabs>
        <w:ind w:left="4380" w:hanging="2040"/>
      </w:pPr>
      <w:rPr>
        <w:rFonts w:hint="default"/>
      </w:rPr>
    </w:lvl>
    <w:lvl w:ilvl="4">
      <w:start w:val="1"/>
      <w:numFmt w:val="decimal"/>
      <w:lvlText w:val="%1.%2.%3.%4.%5"/>
      <w:lvlJc w:val="left"/>
      <w:pPr>
        <w:tabs>
          <w:tab w:val="num" w:pos="5160"/>
        </w:tabs>
        <w:ind w:left="5160" w:hanging="2040"/>
      </w:pPr>
      <w:rPr>
        <w:rFonts w:hint="default"/>
      </w:rPr>
    </w:lvl>
    <w:lvl w:ilvl="5">
      <w:start w:val="1"/>
      <w:numFmt w:val="decimal"/>
      <w:lvlText w:val="%1.%2.%3.%4.%5.%6"/>
      <w:lvlJc w:val="left"/>
      <w:pPr>
        <w:tabs>
          <w:tab w:val="num" w:pos="5940"/>
        </w:tabs>
        <w:ind w:left="5940" w:hanging="2040"/>
      </w:pPr>
      <w:rPr>
        <w:rFonts w:hint="default"/>
      </w:rPr>
    </w:lvl>
    <w:lvl w:ilvl="6">
      <w:start w:val="1"/>
      <w:numFmt w:val="decimal"/>
      <w:lvlText w:val="%1.%2.%3.%4.%5.%6.%7"/>
      <w:lvlJc w:val="left"/>
      <w:pPr>
        <w:tabs>
          <w:tab w:val="num" w:pos="6720"/>
        </w:tabs>
        <w:ind w:left="6720" w:hanging="2040"/>
      </w:pPr>
      <w:rPr>
        <w:rFonts w:hint="default"/>
      </w:rPr>
    </w:lvl>
    <w:lvl w:ilvl="7">
      <w:start w:val="1"/>
      <w:numFmt w:val="decimal"/>
      <w:lvlText w:val="%1.%2.%3.%4.%5.%6.%7.%8"/>
      <w:lvlJc w:val="left"/>
      <w:pPr>
        <w:tabs>
          <w:tab w:val="num" w:pos="7500"/>
        </w:tabs>
        <w:ind w:left="7500" w:hanging="2040"/>
      </w:pPr>
      <w:rPr>
        <w:rFonts w:hint="default"/>
      </w:rPr>
    </w:lvl>
    <w:lvl w:ilvl="8">
      <w:start w:val="1"/>
      <w:numFmt w:val="decimal"/>
      <w:lvlText w:val="%1.%2.%3.%4.%5.%6.%7.%8.%9"/>
      <w:lvlJc w:val="left"/>
      <w:pPr>
        <w:tabs>
          <w:tab w:val="num" w:pos="8280"/>
        </w:tabs>
        <w:ind w:left="8280" w:hanging="2040"/>
      </w:pPr>
      <w:rPr>
        <w:rFonts w:hint="default"/>
      </w:rPr>
    </w:lvl>
  </w:abstractNum>
  <w:abstractNum w:abstractNumId="34" w15:restartNumberingAfterBreak="0">
    <w:nsid w:val="465457B8"/>
    <w:multiLevelType w:val="multilevel"/>
    <w:tmpl w:val="0CEE41F0"/>
    <w:lvl w:ilvl="0">
      <w:start w:val="1"/>
      <w:numFmt w:val="bullet"/>
      <w:lvlText w:val=""/>
      <w:lvlJc w:val="left"/>
      <w:pPr>
        <w:tabs>
          <w:tab w:val="num" w:pos="720"/>
        </w:tabs>
        <w:ind w:left="720" w:hanging="360"/>
      </w:pPr>
      <w:rPr>
        <w:rFonts w:ascii="Symbol" w:hAnsi="Symbol" w:hint="default"/>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8D712D9"/>
    <w:multiLevelType w:val="hybridMultilevel"/>
    <w:tmpl w:val="A44CA1E6"/>
    <w:lvl w:ilvl="0" w:tplc="51266ED6">
      <w:numFmt w:val="bullet"/>
      <w:lvlText w:val="-"/>
      <w:lvlJc w:val="left"/>
      <w:pPr>
        <w:ind w:left="770" w:hanging="360"/>
      </w:pPr>
      <w:rPr>
        <w:rFonts w:ascii="Times New Roman" w:eastAsia="Times New Roman" w:hAnsi="Times New Roman" w:cs="Times New Roman" w:hint="default"/>
        <w:b/>
      </w:rPr>
    </w:lvl>
    <w:lvl w:ilvl="1" w:tplc="041A0003" w:tentative="1">
      <w:start w:val="1"/>
      <w:numFmt w:val="bullet"/>
      <w:lvlText w:val="o"/>
      <w:lvlJc w:val="left"/>
      <w:pPr>
        <w:ind w:left="1490" w:hanging="360"/>
      </w:pPr>
      <w:rPr>
        <w:rFonts w:ascii="Courier New" w:hAnsi="Courier New" w:cs="Courier New" w:hint="default"/>
      </w:rPr>
    </w:lvl>
    <w:lvl w:ilvl="2" w:tplc="041A0005" w:tentative="1">
      <w:start w:val="1"/>
      <w:numFmt w:val="bullet"/>
      <w:lvlText w:val=""/>
      <w:lvlJc w:val="left"/>
      <w:pPr>
        <w:ind w:left="2210" w:hanging="360"/>
      </w:pPr>
      <w:rPr>
        <w:rFonts w:ascii="Wingdings" w:hAnsi="Wingdings" w:hint="default"/>
      </w:rPr>
    </w:lvl>
    <w:lvl w:ilvl="3" w:tplc="041A0001" w:tentative="1">
      <w:start w:val="1"/>
      <w:numFmt w:val="bullet"/>
      <w:lvlText w:val=""/>
      <w:lvlJc w:val="left"/>
      <w:pPr>
        <w:ind w:left="2930" w:hanging="360"/>
      </w:pPr>
      <w:rPr>
        <w:rFonts w:ascii="Symbol" w:hAnsi="Symbol" w:hint="default"/>
      </w:rPr>
    </w:lvl>
    <w:lvl w:ilvl="4" w:tplc="041A0003" w:tentative="1">
      <w:start w:val="1"/>
      <w:numFmt w:val="bullet"/>
      <w:lvlText w:val="o"/>
      <w:lvlJc w:val="left"/>
      <w:pPr>
        <w:ind w:left="3650" w:hanging="360"/>
      </w:pPr>
      <w:rPr>
        <w:rFonts w:ascii="Courier New" w:hAnsi="Courier New" w:cs="Courier New" w:hint="default"/>
      </w:rPr>
    </w:lvl>
    <w:lvl w:ilvl="5" w:tplc="041A0005" w:tentative="1">
      <w:start w:val="1"/>
      <w:numFmt w:val="bullet"/>
      <w:lvlText w:val=""/>
      <w:lvlJc w:val="left"/>
      <w:pPr>
        <w:ind w:left="4370" w:hanging="360"/>
      </w:pPr>
      <w:rPr>
        <w:rFonts w:ascii="Wingdings" w:hAnsi="Wingdings" w:hint="default"/>
      </w:rPr>
    </w:lvl>
    <w:lvl w:ilvl="6" w:tplc="041A0001" w:tentative="1">
      <w:start w:val="1"/>
      <w:numFmt w:val="bullet"/>
      <w:lvlText w:val=""/>
      <w:lvlJc w:val="left"/>
      <w:pPr>
        <w:ind w:left="5090" w:hanging="360"/>
      </w:pPr>
      <w:rPr>
        <w:rFonts w:ascii="Symbol" w:hAnsi="Symbol" w:hint="default"/>
      </w:rPr>
    </w:lvl>
    <w:lvl w:ilvl="7" w:tplc="041A0003" w:tentative="1">
      <w:start w:val="1"/>
      <w:numFmt w:val="bullet"/>
      <w:lvlText w:val="o"/>
      <w:lvlJc w:val="left"/>
      <w:pPr>
        <w:ind w:left="5810" w:hanging="360"/>
      </w:pPr>
      <w:rPr>
        <w:rFonts w:ascii="Courier New" w:hAnsi="Courier New" w:cs="Courier New" w:hint="default"/>
      </w:rPr>
    </w:lvl>
    <w:lvl w:ilvl="8" w:tplc="041A0005" w:tentative="1">
      <w:start w:val="1"/>
      <w:numFmt w:val="bullet"/>
      <w:lvlText w:val=""/>
      <w:lvlJc w:val="left"/>
      <w:pPr>
        <w:ind w:left="6530" w:hanging="360"/>
      </w:pPr>
      <w:rPr>
        <w:rFonts w:ascii="Wingdings" w:hAnsi="Wingdings" w:hint="default"/>
      </w:rPr>
    </w:lvl>
  </w:abstractNum>
  <w:abstractNum w:abstractNumId="36" w15:restartNumberingAfterBreak="0">
    <w:nsid w:val="4C3374F4"/>
    <w:multiLevelType w:val="hybridMultilevel"/>
    <w:tmpl w:val="200261C0"/>
    <w:lvl w:ilvl="0" w:tplc="F2D80632">
      <w:start w:val="46"/>
      <w:numFmt w:val="bullet"/>
      <w:lvlText w:val="-"/>
      <w:lvlJc w:val="left"/>
      <w:pPr>
        <w:tabs>
          <w:tab w:val="num" w:pos="900"/>
        </w:tabs>
        <w:ind w:left="90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D98121D"/>
    <w:multiLevelType w:val="hybridMultilevel"/>
    <w:tmpl w:val="83421ED2"/>
    <w:lvl w:ilvl="0" w:tplc="041A0001">
      <w:start w:val="3"/>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50EA6EC8"/>
    <w:multiLevelType w:val="hybridMultilevel"/>
    <w:tmpl w:val="A5F099BE"/>
    <w:lvl w:ilvl="0" w:tplc="43767C00">
      <w:start w:val="2019"/>
      <w:numFmt w:val="bullet"/>
      <w:lvlText w:val="-"/>
      <w:lvlJc w:val="left"/>
      <w:pPr>
        <w:ind w:left="1260" w:hanging="360"/>
      </w:pPr>
      <w:rPr>
        <w:rFonts w:ascii="Times New Roman" w:eastAsia="Times New Roman" w:hAnsi="Times New Roman" w:cs="Times New Roman"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39" w15:restartNumberingAfterBreak="0">
    <w:nsid w:val="61BC346C"/>
    <w:multiLevelType w:val="multilevel"/>
    <w:tmpl w:val="AD8C5422"/>
    <w:lvl w:ilvl="0">
      <w:start w:val="3"/>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64A14315"/>
    <w:multiLevelType w:val="hybridMultilevel"/>
    <w:tmpl w:val="1D1AB5A8"/>
    <w:lvl w:ilvl="0" w:tplc="041A0001">
      <w:start w:val="10"/>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69A05B39"/>
    <w:multiLevelType w:val="multilevel"/>
    <w:tmpl w:val="D0AABC4A"/>
    <w:lvl w:ilvl="0">
      <w:start w:val="67"/>
      <w:numFmt w:val="decimal"/>
      <w:lvlText w:val="%1"/>
      <w:lvlJc w:val="left"/>
      <w:pPr>
        <w:tabs>
          <w:tab w:val="num" w:pos="1080"/>
        </w:tabs>
        <w:ind w:left="1080" w:hanging="1080"/>
      </w:pPr>
      <w:rPr>
        <w:rFonts w:hint="default"/>
      </w:rPr>
    </w:lvl>
    <w:lvl w:ilvl="1">
      <w:start w:val="228"/>
      <w:numFmt w:val="decimal"/>
      <w:lvlText w:val="%1.%2"/>
      <w:lvlJc w:val="left"/>
      <w:pPr>
        <w:tabs>
          <w:tab w:val="num" w:pos="1950"/>
        </w:tabs>
        <w:ind w:left="1950" w:hanging="1080"/>
      </w:pPr>
      <w:rPr>
        <w:rFonts w:hint="default"/>
      </w:rPr>
    </w:lvl>
    <w:lvl w:ilvl="2">
      <w:start w:val="994"/>
      <w:numFmt w:val="decimal"/>
      <w:lvlText w:val="%1.%2.%3"/>
      <w:lvlJc w:val="left"/>
      <w:pPr>
        <w:tabs>
          <w:tab w:val="num" w:pos="2820"/>
        </w:tabs>
        <w:ind w:left="2820" w:hanging="1080"/>
      </w:pPr>
      <w:rPr>
        <w:rFonts w:hint="default"/>
      </w:rPr>
    </w:lvl>
    <w:lvl w:ilvl="3">
      <w:start w:val="1"/>
      <w:numFmt w:val="decimal"/>
      <w:lvlText w:val="%1.%2.%3.%4"/>
      <w:lvlJc w:val="left"/>
      <w:pPr>
        <w:tabs>
          <w:tab w:val="num" w:pos="3690"/>
        </w:tabs>
        <w:ind w:left="3690" w:hanging="1080"/>
      </w:pPr>
      <w:rPr>
        <w:rFonts w:hint="default"/>
      </w:rPr>
    </w:lvl>
    <w:lvl w:ilvl="4">
      <w:start w:val="1"/>
      <w:numFmt w:val="decimal"/>
      <w:lvlText w:val="%1.%2.%3.%4.%5"/>
      <w:lvlJc w:val="left"/>
      <w:pPr>
        <w:tabs>
          <w:tab w:val="num" w:pos="4560"/>
        </w:tabs>
        <w:ind w:left="4560" w:hanging="1080"/>
      </w:pPr>
      <w:rPr>
        <w:rFonts w:hint="default"/>
      </w:rPr>
    </w:lvl>
    <w:lvl w:ilvl="5">
      <w:start w:val="1"/>
      <w:numFmt w:val="decimal"/>
      <w:lvlText w:val="%1.%2.%3.%4.%5.%6"/>
      <w:lvlJc w:val="left"/>
      <w:pPr>
        <w:tabs>
          <w:tab w:val="num" w:pos="5430"/>
        </w:tabs>
        <w:ind w:left="5430" w:hanging="1080"/>
      </w:pPr>
      <w:rPr>
        <w:rFonts w:hint="default"/>
      </w:rPr>
    </w:lvl>
    <w:lvl w:ilvl="6">
      <w:start w:val="1"/>
      <w:numFmt w:val="decimal"/>
      <w:lvlText w:val="%1.%2.%3.%4.%5.%6.%7"/>
      <w:lvlJc w:val="left"/>
      <w:pPr>
        <w:tabs>
          <w:tab w:val="num" w:pos="6660"/>
        </w:tabs>
        <w:ind w:left="6660" w:hanging="1440"/>
      </w:pPr>
      <w:rPr>
        <w:rFonts w:hint="default"/>
      </w:rPr>
    </w:lvl>
    <w:lvl w:ilvl="7">
      <w:start w:val="1"/>
      <w:numFmt w:val="decimal"/>
      <w:lvlText w:val="%1.%2.%3.%4.%5.%6.%7.%8"/>
      <w:lvlJc w:val="left"/>
      <w:pPr>
        <w:tabs>
          <w:tab w:val="num" w:pos="7530"/>
        </w:tabs>
        <w:ind w:left="7530" w:hanging="1440"/>
      </w:pPr>
      <w:rPr>
        <w:rFonts w:hint="default"/>
      </w:rPr>
    </w:lvl>
    <w:lvl w:ilvl="8">
      <w:start w:val="1"/>
      <w:numFmt w:val="decimal"/>
      <w:lvlText w:val="%1.%2.%3.%4.%5.%6.%7.%8.%9"/>
      <w:lvlJc w:val="left"/>
      <w:pPr>
        <w:tabs>
          <w:tab w:val="num" w:pos="8760"/>
        </w:tabs>
        <w:ind w:left="8760" w:hanging="1800"/>
      </w:pPr>
      <w:rPr>
        <w:rFonts w:hint="default"/>
      </w:rPr>
    </w:lvl>
  </w:abstractNum>
  <w:abstractNum w:abstractNumId="42" w15:restartNumberingAfterBreak="0">
    <w:nsid w:val="6EB02013"/>
    <w:multiLevelType w:val="multilevel"/>
    <w:tmpl w:val="59C8A7BA"/>
    <w:lvl w:ilvl="0">
      <w:start w:val="88"/>
      <w:numFmt w:val="decimal"/>
      <w:lvlText w:val="%1"/>
      <w:lvlJc w:val="left"/>
      <w:pPr>
        <w:tabs>
          <w:tab w:val="num" w:pos="2280"/>
        </w:tabs>
        <w:ind w:left="2280" w:hanging="2280"/>
      </w:pPr>
      <w:rPr>
        <w:rFonts w:hint="default"/>
      </w:rPr>
    </w:lvl>
    <w:lvl w:ilvl="1">
      <w:start w:val="446"/>
      <w:numFmt w:val="decimal"/>
      <w:lvlText w:val="%1.%2"/>
      <w:lvlJc w:val="left"/>
      <w:pPr>
        <w:tabs>
          <w:tab w:val="num" w:pos="3180"/>
        </w:tabs>
        <w:ind w:left="3180" w:hanging="2280"/>
      </w:pPr>
      <w:rPr>
        <w:rFonts w:hint="default"/>
      </w:rPr>
    </w:lvl>
    <w:lvl w:ilvl="2">
      <w:start w:val="253"/>
      <w:numFmt w:val="decimal"/>
      <w:lvlText w:val="%1.%2.%3"/>
      <w:lvlJc w:val="left"/>
      <w:pPr>
        <w:tabs>
          <w:tab w:val="num" w:pos="4080"/>
        </w:tabs>
        <w:ind w:left="4080" w:hanging="2280"/>
      </w:pPr>
      <w:rPr>
        <w:rFonts w:hint="default"/>
      </w:rPr>
    </w:lvl>
    <w:lvl w:ilvl="3">
      <w:start w:val="1"/>
      <w:numFmt w:val="decimal"/>
      <w:lvlText w:val="%1.%2.%3.%4"/>
      <w:lvlJc w:val="left"/>
      <w:pPr>
        <w:tabs>
          <w:tab w:val="num" w:pos="4980"/>
        </w:tabs>
        <w:ind w:left="4980" w:hanging="2280"/>
      </w:pPr>
      <w:rPr>
        <w:rFonts w:hint="default"/>
      </w:rPr>
    </w:lvl>
    <w:lvl w:ilvl="4">
      <w:start w:val="1"/>
      <w:numFmt w:val="decimal"/>
      <w:lvlText w:val="%1.%2.%3.%4.%5"/>
      <w:lvlJc w:val="left"/>
      <w:pPr>
        <w:tabs>
          <w:tab w:val="num" w:pos="5880"/>
        </w:tabs>
        <w:ind w:left="5880" w:hanging="2280"/>
      </w:pPr>
      <w:rPr>
        <w:rFonts w:hint="default"/>
      </w:rPr>
    </w:lvl>
    <w:lvl w:ilvl="5">
      <w:start w:val="1"/>
      <w:numFmt w:val="decimal"/>
      <w:lvlText w:val="%1.%2.%3.%4.%5.%6"/>
      <w:lvlJc w:val="left"/>
      <w:pPr>
        <w:tabs>
          <w:tab w:val="num" w:pos="6780"/>
        </w:tabs>
        <w:ind w:left="6780" w:hanging="2280"/>
      </w:pPr>
      <w:rPr>
        <w:rFonts w:hint="default"/>
      </w:rPr>
    </w:lvl>
    <w:lvl w:ilvl="6">
      <w:start w:val="1"/>
      <w:numFmt w:val="decimal"/>
      <w:lvlText w:val="%1.%2.%3.%4.%5.%6.%7"/>
      <w:lvlJc w:val="left"/>
      <w:pPr>
        <w:tabs>
          <w:tab w:val="num" w:pos="7680"/>
        </w:tabs>
        <w:ind w:left="7680" w:hanging="2280"/>
      </w:pPr>
      <w:rPr>
        <w:rFonts w:hint="default"/>
      </w:rPr>
    </w:lvl>
    <w:lvl w:ilvl="7">
      <w:start w:val="1"/>
      <w:numFmt w:val="decimal"/>
      <w:lvlText w:val="%1.%2.%3.%4.%5.%6.%7.%8"/>
      <w:lvlJc w:val="left"/>
      <w:pPr>
        <w:tabs>
          <w:tab w:val="num" w:pos="8580"/>
        </w:tabs>
        <w:ind w:left="8580" w:hanging="2280"/>
      </w:pPr>
      <w:rPr>
        <w:rFonts w:hint="default"/>
      </w:rPr>
    </w:lvl>
    <w:lvl w:ilvl="8">
      <w:start w:val="1"/>
      <w:numFmt w:val="decimal"/>
      <w:lvlText w:val="%1.%2.%3.%4.%5.%6.%7.%8.%9"/>
      <w:lvlJc w:val="left"/>
      <w:pPr>
        <w:tabs>
          <w:tab w:val="num" w:pos="9480"/>
        </w:tabs>
        <w:ind w:left="9480" w:hanging="2280"/>
      </w:pPr>
      <w:rPr>
        <w:rFonts w:hint="default"/>
      </w:rPr>
    </w:lvl>
  </w:abstractNum>
  <w:abstractNum w:abstractNumId="43" w15:restartNumberingAfterBreak="0">
    <w:nsid w:val="7D0D41E6"/>
    <w:multiLevelType w:val="hybridMultilevel"/>
    <w:tmpl w:val="983EE7B0"/>
    <w:lvl w:ilvl="0" w:tplc="62D4CD84">
      <w:start w:val="1"/>
      <w:numFmt w:val="bullet"/>
      <w:lvlText w:val=""/>
      <w:lvlJc w:val="left"/>
      <w:pPr>
        <w:tabs>
          <w:tab w:val="num" w:pos="720"/>
        </w:tabs>
        <w:ind w:left="720" w:hanging="360"/>
      </w:pPr>
      <w:rPr>
        <w:rFonts w:ascii="Symbol" w:hAnsi="Symbol" w:hint="default"/>
        <w:color w:val="000000"/>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4" w15:restartNumberingAfterBreak="0">
    <w:nsid w:val="7E6D660E"/>
    <w:multiLevelType w:val="hybridMultilevel"/>
    <w:tmpl w:val="FD484638"/>
    <w:lvl w:ilvl="0" w:tplc="51266ED6">
      <w:numFmt w:val="bullet"/>
      <w:lvlText w:val="-"/>
      <w:lvlJc w:val="left"/>
      <w:pPr>
        <w:ind w:left="770" w:hanging="360"/>
      </w:pPr>
      <w:rPr>
        <w:rFonts w:ascii="Times New Roman" w:eastAsia="Times New Roman" w:hAnsi="Times New Roman" w:cs="Times New Roman" w:hint="default"/>
        <w:b/>
      </w:rPr>
    </w:lvl>
    <w:lvl w:ilvl="1" w:tplc="041A0003" w:tentative="1">
      <w:start w:val="1"/>
      <w:numFmt w:val="bullet"/>
      <w:lvlText w:val="o"/>
      <w:lvlJc w:val="left"/>
      <w:pPr>
        <w:ind w:left="1490" w:hanging="360"/>
      </w:pPr>
      <w:rPr>
        <w:rFonts w:ascii="Courier New" w:hAnsi="Courier New" w:cs="Courier New" w:hint="default"/>
      </w:rPr>
    </w:lvl>
    <w:lvl w:ilvl="2" w:tplc="041A0005" w:tentative="1">
      <w:start w:val="1"/>
      <w:numFmt w:val="bullet"/>
      <w:lvlText w:val=""/>
      <w:lvlJc w:val="left"/>
      <w:pPr>
        <w:ind w:left="2210" w:hanging="360"/>
      </w:pPr>
      <w:rPr>
        <w:rFonts w:ascii="Wingdings" w:hAnsi="Wingdings" w:hint="default"/>
      </w:rPr>
    </w:lvl>
    <w:lvl w:ilvl="3" w:tplc="041A0001" w:tentative="1">
      <w:start w:val="1"/>
      <w:numFmt w:val="bullet"/>
      <w:lvlText w:val=""/>
      <w:lvlJc w:val="left"/>
      <w:pPr>
        <w:ind w:left="2930" w:hanging="360"/>
      </w:pPr>
      <w:rPr>
        <w:rFonts w:ascii="Symbol" w:hAnsi="Symbol" w:hint="default"/>
      </w:rPr>
    </w:lvl>
    <w:lvl w:ilvl="4" w:tplc="041A0003" w:tentative="1">
      <w:start w:val="1"/>
      <w:numFmt w:val="bullet"/>
      <w:lvlText w:val="o"/>
      <w:lvlJc w:val="left"/>
      <w:pPr>
        <w:ind w:left="3650" w:hanging="360"/>
      </w:pPr>
      <w:rPr>
        <w:rFonts w:ascii="Courier New" w:hAnsi="Courier New" w:cs="Courier New" w:hint="default"/>
      </w:rPr>
    </w:lvl>
    <w:lvl w:ilvl="5" w:tplc="041A0005" w:tentative="1">
      <w:start w:val="1"/>
      <w:numFmt w:val="bullet"/>
      <w:lvlText w:val=""/>
      <w:lvlJc w:val="left"/>
      <w:pPr>
        <w:ind w:left="4370" w:hanging="360"/>
      </w:pPr>
      <w:rPr>
        <w:rFonts w:ascii="Wingdings" w:hAnsi="Wingdings" w:hint="default"/>
      </w:rPr>
    </w:lvl>
    <w:lvl w:ilvl="6" w:tplc="041A0001" w:tentative="1">
      <w:start w:val="1"/>
      <w:numFmt w:val="bullet"/>
      <w:lvlText w:val=""/>
      <w:lvlJc w:val="left"/>
      <w:pPr>
        <w:ind w:left="5090" w:hanging="360"/>
      </w:pPr>
      <w:rPr>
        <w:rFonts w:ascii="Symbol" w:hAnsi="Symbol" w:hint="default"/>
      </w:rPr>
    </w:lvl>
    <w:lvl w:ilvl="7" w:tplc="041A0003" w:tentative="1">
      <w:start w:val="1"/>
      <w:numFmt w:val="bullet"/>
      <w:lvlText w:val="o"/>
      <w:lvlJc w:val="left"/>
      <w:pPr>
        <w:ind w:left="5810" w:hanging="360"/>
      </w:pPr>
      <w:rPr>
        <w:rFonts w:ascii="Courier New" w:hAnsi="Courier New" w:cs="Courier New" w:hint="default"/>
      </w:rPr>
    </w:lvl>
    <w:lvl w:ilvl="8" w:tplc="041A0005" w:tentative="1">
      <w:start w:val="1"/>
      <w:numFmt w:val="bullet"/>
      <w:lvlText w:val=""/>
      <w:lvlJc w:val="left"/>
      <w:pPr>
        <w:ind w:left="6530" w:hanging="360"/>
      </w:pPr>
      <w:rPr>
        <w:rFonts w:ascii="Wingdings" w:hAnsi="Wingdings" w:hint="default"/>
      </w:rPr>
    </w:lvl>
  </w:abstractNum>
  <w:num w:numId="1" w16cid:durableId="1278221911">
    <w:abstractNumId w:val="9"/>
  </w:num>
  <w:num w:numId="2" w16cid:durableId="647052922">
    <w:abstractNumId w:val="33"/>
  </w:num>
  <w:num w:numId="3" w16cid:durableId="1776096889">
    <w:abstractNumId w:val="42"/>
  </w:num>
  <w:num w:numId="4" w16cid:durableId="1595362803">
    <w:abstractNumId w:val="41"/>
  </w:num>
  <w:num w:numId="5" w16cid:durableId="1395734327">
    <w:abstractNumId w:val="3"/>
  </w:num>
  <w:num w:numId="6" w16cid:durableId="2065985488">
    <w:abstractNumId w:val="36"/>
  </w:num>
  <w:num w:numId="7" w16cid:durableId="293097039">
    <w:abstractNumId w:val="25"/>
  </w:num>
  <w:num w:numId="8" w16cid:durableId="1320498075">
    <w:abstractNumId w:val="21"/>
  </w:num>
  <w:num w:numId="9" w16cid:durableId="18333716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9612998">
    <w:abstractNumId w:val="12"/>
  </w:num>
  <w:num w:numId="11" w16cid:durableId="1958951221">
    <w:abstractNumId w:val="4"/>
  </w:num>
  <w:num w:numId="12" w16cid:durableId="2129810003">
    <w:abstractNumId w:val="5"/>
  </w:num>
  <w:num w:numId="13" w16cid:durableId="1426996395">
    <w:abstractNumId w:val="32"/>
  </w:num>
  <w:num w:numId="14" w16cid:durableId="148331687">
    <w:abstractNumId w:val="34"/>
  </w:num>
  <w:num w:numId="15" w16cid:durableId="1499346174">
    <w:abstractNumId w:val="43"/>
  </w:num>
  <w:num w:numId="16" w16cid:durableId="1242375481">
    <w:abstractNumId w:val="29"/>
  </w:num>
  <w:num w:numId="17" w16cid:durableId="317225724">
    <w:abstractNumId w:val="20"/>
  </w:num>
  <w:num w:numId="18" w16cid:durableId="1992177191">
    <w:abstractNumId w:val="19"/>
  </w:num>
  <w:num w:numId="19" w16cid:durableId="6884082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38323995">
    <w:abstractNumId w:val="1"/>
  </w:num>
  <w:num w:numId="21" w16cid:durableId="134220749">
    <w:abstractNumId w:val="10"/>
  </w:num>
  <w:num w:numId="22" w16cid:durableId="723018930">
    <w:abstractNumId w:val="15"/>
  </w:num>
  <w:num w:numId="23" w16cid:durableId="1340616279">
    <w:abstractNumId w:val="35"/>
  </w:num>
  <w:num w:numId="24" w16cid:durableId="2119182220">
    <w:abstractNumId w:val="22"/>
  </w:num>
  <w:num w:numId="25" w16cid:durableId="893615448">
    <w:abstractNumId w:val="44"/>
  </w:num>
  <w:num w:numId="26" w16cid:durableId="1681737703">
    <w:abstractNumId w:val="14"/>
  </w:num>
  <w:num w:numId="27" w16cid:durableId="473959481">
    <w:abstractNumId w:val="30"/>
  </w:num>
  <w:num w:numId="28" w16cid:durableId="631864780">
    <w:abstractNumId w:val="0"/>
  </w:num>
  <w:num w:numId="29" w16cid:durableId="626081172">
    <w:abstractNumId w:val="23"/>
  </w:num>
  <w:num w:numId="30" w16cid:durableId="1997411646">
    <w:abstractNumId w:val="28"/>
  </w:num>
  <w:num w:numId="31" w16cid:durableId="485240693">
    <w:abstractNumId w:val="7"/>
  </w:num>
  <w:num w:numId="32" w16cid:durableId="1369528464">
    <w:abstractNumId w:val="8"/>
  </w:num>
  <w:num w:numId="33" w16cid:durableId="156267986">
    <w:abstractNumId w:val="38"/>
  </w:num>
  <w:num w:numId="34" w16cid:durableId="1663045729">
    <w:abstractNumId w:val="37"/>
  </w:num>
  <w:num w:numId="35" w16cid:durableId="2092697330">
    <w:abstractNumId w:val="37"/>
  </w:num>
  <w:num w:numId="36" w16cid:durableId="343172712">
    <w:abstractNumId w:val="38"/>
  </w:num>
  <w:num w:numId="37" w16cid:durableId="1135753726">
    <w:abstractNumId w:val="13"/>
  </w:num>
  <w:num w:numId="38" w16cid:durableId="2056926212">
    <w:abstractNumId w:val="40"/>
  </w:num>
  <w:num w:numId="39" w16cid:durableId="30960602">
    <w:abstractNumId w:val="26"/>
  </w:num>
  <w:num w:numId="40" w16cid:durableId="964501968">
    <w:abstractNumId w:val="27"/>
  </w:num>
  <w:num w:numId="41" w16cid:durableId="1029838326">
    <w:abstractNumId w:val="24"/>
  </w:num>
  <w:num w:numId="42" w16cid:durableId="1677420348">
    <w:abstractNumId w:val="17"/>
  </w:num>
  <w:num w:numId="43" w16cid:durableId="707225539">
    <w:abstractNumId w:val="18"/>
  </w:num>
  <w:num w:numId="44" w16cid:durableId="710885134">
    <w:abstractNumId w:val="39"/>
  </w:num>
  <w:num w:numId="45" w16cid:durableId="590548800">
    <w:abstractNumId w:val="31"/>
  </w:num>
  <w:num w:numId="46" w16cid:durableId="1832519736">
    <w:abstractNumId w:val="16"/>
  </w:num>
  <w:num w:numId="47" w16cid:durableId="547575280">
    <w:abstractNumId w:val="6"/>
  </w:num>
  <w:num w:numId="48" w16cid:durableId="8644385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C05"/>
    <w:rsid w:val="00006D13"/>
    <w:rsid w:val="0000731E"/>
    <w:rsid w:val="00013574"/>
    <w:rsid w:val="0001445B"/>
    <w:rsid w:val="0002422C"/>
    <w:rsid w:val="000248B5"/>
    <w:rsid w:val="0002516B"/>
    <w:rsid w:val="0002543F"/>
    <w:rsid w:val="000267E0"/>
    <w:rsid w:val="00033347"/>
    <w:rsid w:val="000347E5"/>
    <w:rsid w:val="000373BE"/>
    <w:rsid w:val="00042C93"/>
    <w:rsid w:val="00047E1A"/>
    <w:rsid w:val="000527E6"/>
    <w:rsid w:val="00053120"/>
    <w:rsid w:val="00053554"/>
    <w:rsid w:val="000551EC"/>
    <w:rsid w:val="00056393"/>
    <w:rsid w:val="00056A85"/>
    <w:rsid w:val="0005797C"/>
    <w:rsid w:val="00064587"/>
    <w:rsid w:val="00066C8A"/>
    <w:rsid w:val="00067B81"/>
    <w:rsid w:val="00067F61"/>
    <w:rsid w:val="00071258"/>
    <w:rsid w:val="000728AF"/>
    <w:rsid w:val="000731A0"/>
    <w:rsid w:val="000744C2"/>
    <w:rsid w:val="000759FE"/>
    <w:rsid w:val="00083FC0"/>
    <w:rsid w:val="000851D2"/>
    <w:rsid w:val="000872A6"/>
    <w:rsid w:val="000902F4"/>
    <w:rsid w:val="000923A4"/>
    <w:rsid w:val="00093C50"/>
    <w:rsid w:val="00094441"/>
    <w:rsid w:val="00094CC0"/>
    <w:rsid w:val="000A1C7F"/>
    <w:rsid w:val="000A1E49"/>
    <w:rsid w:val="000A3827"/>
    <w:rsid w:val="000A547F"/>
    <w:rsid w:val="000A71BD"/>
    <w:rsid w:val="000B0F77"/>
    <w:rsid w:val="000B2037"/>
    <w:rsid w:val="000B275E"/>
    <w:rsid w:val="000B2A6A"/>
    <w:rsid w:val="000B449E"/>
    <w:rsid w:val="000B6632"/>
    <w:rsid w:val="000B6BC5"/>
    <w:rsid w:val="000C1AEE"/>
    <w:rsid w:val="000C1CD6"/>
    <w:rsid w:val="000C2C25"/>
    <w:rsid w:val="000C34F0"/>
    <w:rsid w:val="000C4B50"/>
    <w:rsid w:val="000C6F70"/>
    <w:rsid w:val="000E17D7"/>
    <w:rsid w:val="000E1C73"/>
    <w:rsid w:val="000E4096"/>
    <w:rsid w:val="000E42F1"/>
    <w:rsid w:val="000F001C"/>
    <w:rsid w:val="000F18F9"/>
    <w:rsid w:val="000F331B"/>
    <w:rsid w:val="0010319D"/>
    <w:rsid w:val="001031CB"/>
    <w:rsid w:val="00104998"/>
    <w:rsid w:val="00106576"/>
    <w:rsid w:val="001117FD"/>
    <w:rsid w:val="001129F9"/>
    <w:rsid w:val="00112B16"/>
    <w:rsid w:val="0011340C"/>
    <w:rsid w:val="00114156"/>
    <w:rsid w:val="0011612F"/>
    <w:rsid w:val="00121551"/>
    <w:rsid w:val="00121E83"/>
    <w:rsid w:val="0012442B"/>
    <w:rsid w:val="00124A79"/>
    <w:rsid w:val="00126DE3"/>
    <w:rsid w:val="00137534"/>
    <w:rsid w:val="00137693"/>
    <w:rsid w:val="00140BBC"/>
    <w:rsid w:val="00142610"/>
    <w:rsid w:val="00144AED"/>
    <w:rsid w:val="00145D54"/>
    <w:rsid w:val="001464CF"/>
    <w:rsid w:val="00157485"/>
    <w:rsid w:val="00157A52"/>
    <w:rsid w:val="001603B1"/>
    <w:rsid w:val="00160C67"/>
    <w:rsid w:val="001627B8"/>
    <w:rsid w:val="00162A9E"/>
    <w:rsid w:val="00162D3B"/>
    <w:rsid w:val="00165D1B"/>
    <w:rsid w:val="00173E5C"/>
    <w:rsid w:val="00176D2F"/>
    <w:rsid w:val="00177FCD"/>
    <w:rsid w:val="00182D56"/>
    <w:rsid w:val="00183890"/>
    <w:rsid w:val="00183BF4"/>
    <w:rsid w:val="00184F72"/>
    <w:rsid w:val="00186875"/>
    <w:rsid w:val="00193BB6"/>
    <w:rsid w:val="00194869"/>
    <w:rsid w:val="00194C77"/>
    <w:rsid w:val="00195859"/>
    <w:rsid w:val="00195F7E"/>
    <w:rsid w:val="00196903"/>
    <w:rsid w:val="001A02F1"/>
    <w:rsid w:val="001A08DC"/>
    <w:rsid w:val="001A0ED3"/>
    <w:rsid w:val="001A30F3"/>
    <w:rsid w:val="001A3992"/>
    <w:rsid w:val="001A41D0"/>
    <w:rsid w:val="001A6551"/>
    <w:rsid w:val="001B022C"/>
    <w:rsid w:val="001B306C"/>
    <w:rsid w:val="001B7007"/>
    <w:rsid w:val="001C2FE7"/>
    <w:rsid w:val="001C2FF0"/>
    <w:rsid w:val="001C42C5"/>
    <w:rsid w:val="001C5927"/>
    <w:rsid w:val="001C73F5"/>
    <w:rsid w:val="001D05C9"/>
    <w:rsid w:val="001D0C4B"/>
    <w:rsid w:val="001D49A0"/>
    <w:rsid w:val="001D67F8"/>
    <w:rsid w:val="001D7719"/>
    <w:rsid w:val="001E4BDF"/>
    <w:rsid w:val="001E54AF"/>
    <w:rsid w:val="001E59A7"/>
    <w:rsid w:val="001F1650"/>
    <w:rsid w:val="001F7D8A"/>
    <w:rsid w:val="002017A5"/>
    <w:rsid w:val="002038AA"/>
    <w:rsid w:val="00210492"/>
    <w:rsid w:val="002136FB"/>
    <w:rsid w:val="00214807"/>
    <w:rsid w:val="0021481F"/>
    <w:rsid w:val="002319DC"/>
    <w:rsid w:val="00231D72"/>
    <w:rsid w:val="00235F8A"/>
    <w:rsid w:val="00236B96"/>
    <w:rsid w:val="00240878"/>
    <w:rsid w:val="0024311C"/>
    <w:rsid w:val="00245C61"/>
    <w:rsid w:val="00250F4D"/>
    <w:rsid w:val="0025101E"/>
    <w:rsid w:val="002541BF"/>
    <w:rsid w:val="002555B9"/>
    <w:rsid w:val="00260843"/>
    <w:rsid w:val="00260D62"/>
    <w:rsid w:val="00264ACE"/>
    <w:rsid w:val="002657DB"/>
    <w:rsid w:val="00271FC8"/>
    <w:rsid w:val="00273F34"/>
    <w:rsid w:val="002761DB"/>
    <w:rsid w:val="0028200B"/>
    <w:rsid w:val="00282AF7"/>
    <w:rsid w:val="0028721A"/>
    <w:rsid w:val="00290F6F"/>
    <w:rsid w:val="00293623"/>
    <w:rsid w:val="00296032"/>
    <w:rsid w:val="00296064"/>
    <w:rsid w:val="002A5181"/>
    <w:rsid w:val="002A5569"/>
    <w:rsid w:val="002B09F4"/>
    <w:rsid w:val="002B573A"/>
    <w:rsid w:val="002B73DB"/>
    <w:rsid w:val="002C0D82"/>
    <w:rsid w:val="002C412F"/>
    <w:rsid w:val="002C6580"/>
    <w:rsid w:val="002C6CE4"/>
    <w:rsid w:val="002D2C05"/>
    <w:rsid w:val="002E6866"/>
    <w:rsid w:val="002E7516"/>
    <w:rsid w:val="002E7E58"/>
    <w:rsid w:val="002F104F"/>
    <w:rsid w:val="002F4167"/>
    <w:rsid w:val="002F565F"/>
    <w:rsid w:val="002F7E87"/>
    <w:rsid w:val="003007E1"/>
    <w:rsid w:val="003015EB"/>
    <w:rsid w:val="003019B0"/>
    <w:rsid w:val="00305511"/>
    <w:rsid w:val="003059A6"/>
    <w:rsid w:val="00307DC2"/>
    <w:rsid w:val="00310B2F"/>
    <w:rsid w:val="00311FE6"/>
    <w:rsid w:val="003133F7"/>
    <w:rsid w:val="00313871"/>
    <w:rsid w:val="00314136"/>
    <w:rsid w:val="00317988"/>
    <w:rsid w:val="00320D1D"/>
    <w:rsid w:val="003213AB"/>
    <w:rsid w:val="00322436"/>
    <w:rsid w:val="003229C7"/>
    <w:rsid w:val="00323BDD"/>
    <w:rsid w:val="00326B85"/>
    <w:rsid w:val="00335AB4"/>
    <w:rsid w:val="00335F05"/>
    <w:rsid w:val="00337799"/>
    <w:rsid w:val="003378D3"/>
    <w:rsid w:val="003433C9"/>
    <w:rsid w:val="00344554"/>
    <w:rsid w:val="0034553E"/>
    <w:rsid w:val="0034627F"/>
    <w:rsid w:val="003479B1"/>
    <w:rsid w:val="00355684"/>
    <w:rsid w:val="0036355B"/>
    <w:rsid w:val="00365740"/>
    <w:rsid w:val="00366205"/>
    <w:rsid w:val="00370613"/>
    <w:rsid w:val="00373147"/>
    <w:rsid w:val="00373789"/>
    <w:rsid w:val="003745DF"/>
    <w:rsid w:val="003777A5"/>
    <w:rsid w:val="0038188C"/>
    <w:rsid w:val="003821A4"/>
    <w:rsid w:val="00384E10"/>
    <w:rsid w:val="0039167F"/>
    <w:rsid w:val="00392D9E"/>
    <w:rsid w:val="0039359E"/>
    <w:rsid w:val="003950D2"/>
    <w:rsid w:val="00396140"/>
    <w:rsid w:val="003A138A"/>
    <w:rsid w:val="003A6E0A"/>
    <w:rsid w:val="003B0F68"/>
    <w:rsid w:val="003B141D"/>
    <w:rsid w:val="003B15FE"/>
    <w:rsid w:val="003B5A18"/>
    <w:rsid w:val="003C1F28"/>
    <w:rsid w:val="003C2D52"/>
    <w:rsid w:val="003C4D92"/>
    <w:rsid w:val="003C6990"/>
    <w:rsid w:val="003D2A08"/>
    <w:rsid w:val="003E5393"/>
    <w:rsid w:val="003E699A"/>
    <w:rsid w:val="003F2125"/>
    <w:rsid w:val="003F28FB"/>
    <w:rsid w:val="003F659F"/>
    <w:rsid w:val="00400316"/>
    <w:rsid w:val="004012FC"/>
    <w:rsid w:val="00402D6C"/>
    <w:rsid w:val="00404895"/>
    <w:rsid w:val="00405789"/>
    <w:rsid w:val="004071C3"/>
    <w:rsid w:val="00410ABC"/>
    <w:rsid w:val="00411DB3"/>
    <w:rsid w:val="0041346B"/>
    <w:rsid w:val="0041375C"/>
    <w:rsid w:val="00415BD1"/>
    <w:rsid w:val="00416305"/>
    <w:rsid w:val="00421422"/>
    <w:rsid w:val="00424226"/>
    <w:rsid w:val="00425962"/>
    <w:rsid w:val="00425F53"/>
    <w:rsid w:val="00434AE8"/>
    <w:rsid w:val="00435032"/>
    <w:rsid w:val="004367E3"/>
    <w:rsid w:val="004374F6"/>
    <w:rsid w:val="00440178"/>
    <w:rsid w:val="004424AB"/>
    <w:rsid w:val="0044354F"/>
    <w:rsid w:val="00444F59"/>
    <w:rsid w:val="0044648D"/>
    <w:rsid w:val="004469FC"/>
    <w:rsid w:val="00450958"/>
    <w:rsid w:val="004512B6"/>
    <w:rsid w:val="004514AF"/>
    <w:rsid w:val="0045215C"/>
    <w:rsid w:val="00452B02"/>
    <w:rsid w:val="004658F9"/>
    <w:rsid w:val="00471497"/>
    <w:rsid w:val="0047411A"/>
    <w:rsid w:val="004744DD"/>
    <w:rsid w:val="00474B63"/>
    <w:rsid w:val="004833F4"/>
    <w:rsid w:val="00484C78"/>
    <w:rsid w:val="00487835"/>
    <w:rsid w:val="0049089B"/>
    <w:rsid w:val="004909A5"/>
    <w:rsid w:val="0049413D"/>
    <w:rsid w:val="00495CE9"/>
    <w:rsid w:val="004967B3"/>
    <w:rsid w:val="004A085D"/>
    <w:rsid w:val="004A5071"/>
    <w:rsid w:val="004B76E5"/>
    <w:rsid w:val="004B7D3A"/>
    <w:rsid w:val="004C378C"/>
    <w:rsid w:val="004C49AC"/>
    <w:rsid w:val="004C4B92"/>
    <w:rsid w:val="004C4D37"/>
    <w:rsid w:val="004C66BF"/>
    <w:rsid w:val="004C7A1E"/>
    <w:rsid w:val="004D11FB"/>
    <w:rsid w:val="004D151F"/>
    <w:rsid w:val="004D5FA6"/>
    <w:rsid w:val="004D6181"/>
    <w:rsid w:val="004E1A43"/>
    <w:rsid w:val="004E6650"/>
    <w:rsid w:val="004E6AA6"/>
    <w:rsid w:val="004E72FF"/>
    <w:rsid w:val="004E7F52"/>
    <w:rsid w:val="004F062F"/>
    <w:rsid w:val="004F0A21"/>
    <w:rsid w:val="004F3556"/>
    <w:rsid w:val="004F5071"/>
    <w:rsid w:val="00500749"/>
    <w:rsid w:val="00500FE0"/>
    <w:rsid w:val="00502DF4"/>
    <w:rsid w:val="00511153"/>
    <w:rsid w:val="00515EFC"/>
    <w:rsid w:val="0052172F"/>
    <w:rsid w:val="0052271C"/>
    <w:rsid w:val="005339E4"/>
    <w:rsid w:val="00533A38"/>
    <w:rsid w:val="005361D3"/>
    <w:rsid w:val="005369B3"/>
    <w:rsid w:val="005420B4"/>
    <w:rsid w:val="0054243F"/>
    <w:rsid w:val="00542C79"/>
    <w:rsid w:val="00550132"/>
    <w:rsid w:val="005512BB"/>
    <w:rsid w:val="0055210B"/>
    <w:rsid w:val="00555113"/>
    <w:rsid w:val="00557CB1"/>
    <w:rsid w:val="0056011A"/>
    <w:rsid w:val="005604CD"/>
    <w:rsid w:val="00565A80"/>
    <w:rsid w:val="00567C78"/>
    <w:rsid w:val="00571F4C"/>
    <w:rsid w:val="005760FA"/>
    <w:rsid w:val="00581A6E"/>
    <w:rsid w:val="00582C47"/>
    <w:rsid w:val="00582C85"/>
    <w:rsid w:val="0058407D"/>
    <w:rsid w:val="00585A98"/>
    <w:rsid w:val="005862A8"/>
    <w:rsid w:val="00586765"/>
    <w:rsid w:val="00587AB9"/>
    <w:rsid w:val="005917B5"/>
    <w:rsid w:val="005A0B12"/>
    <w:rsid w:val="005A1221"/>
    <w:rsid w:val="005B0233"/>
    <w:rsid w:val="005B47F2"/>
    <w:rsid w:val="005B5561"/>
    <w:rsid w:val="005C3A99"/>
    <w:rsid w:val="005C4131"/>
    <w:rsid w:val="005C4AED"/>
    <w:rsid w:val="005C6BD1"/>
    <w:rsid w:val="005C7356"/>
    <w:rsid w:val="005D0019"/>
    <w:rsid w:val="005D0FA3"/>
    <w:rsid w:val="005D2E95"/>
    <w:rsid w:val="005D4009"/>
    <w:rsid w:val="005D450A"/>
    <w:rsid w:val="005D7FF3"/>
    <w:rsid w:val="005E22CD"/>
    <w:rsid w:val="005E2B4C"/>
    <w:rsid w:val="005E5BF7"/>
    <w:rsid w:val="005F3968"/>
    <w:rsid w:val="005F735F"/>
    <w:rsid w:val="006029CA"/>
    <w:rsid w:val="006034A4"/>
    <w:rsid w:val="00603D77"/>
    <w:rsid w:val="00604C7F"/>
    <w:rsid w:val="006053D9"/>
    <w:rsid w:val="0060673C"/>
    <w:rsid w:val="006076D2"/>
    <w:rsid w:val="0061607F"/>
    <w:rsid w:val="00617707"/>
    <w:rsid w:val="006269DA"/>
    <w:rsid w:val="00630759"/>
    <w:rsid w:val="006335A1"/>
    <w:rsid w:val="00635A3F"/>
    <w:rsid w:val="00635C4D"/>
    <w:rsid w:val="006360D0"/>
    <w:rsid w:val="00636CEB"/>
    <w:rsid w:val="006418DC"/>
    <w:rsid w:val="0064476E"/>
    <w:rsid w:val="00645C8E"/>
    <w:rsid w:val="00646F51"/>
    <w:rsid w:val="00647425"/>
    <w:rsid w:val="00650B14"/>
    <w:rsid w:val="00652ABC"/>
    <w:rsid w:val="00653A17"/>
    <w:rsid w:val="006541E4"/>
    <w:rsid w:val="00655224"/>
    <w:rsid w:val="00657075"/>
    <w:rsid w:val="006642E8"/>
    <w:rsid w:val="00667373"/>
    <w:rsid w:val="00667DB2"/>
    <w:rsid w:val="00667DD9"/>
    <w:rsid w:val="00671DCC"/>
    <w:rsid w:val="00672066"/>
    <w:rsid w:val="00672231"/>
    <w:rsid w:val="00673DC7"/>
    <w:rsid w:val="00674027"/>
    <w:rsid w:val="00676DFC"/>
    <w:rsid w:val="00680E92"/>
    <w:rsid w:val="006832B7"/>
    <w:rsid w:val="006857F1"/>
    <w:rsid w:val="006858EB"/>
    <w:rsid w:val="0069007A"/>
    <w:rsid w:val="00692B3F"/>
    <w:rsid w:val="00694C6A"/>
    <w:rsid w:val="006954BE"/>
    <w:rsid w:val="00695859"/>
    <w:rsid w:val="00696A27"/>
    <w:rsid w:val="00696AC7"/>
    <w:rsid w:val="006A4234"/>
    <w:rsid w:val="006A4ACD"/>
    <w:rsid w:val="006B0F60"/>
    <w:rsid w:val="006B2B4E"/>
    <w:rsid w:val="006B5596"/>
    <w:rsid w:val="006B6B6E"/>
    <w:rsid w:val="006C20B2"/>
    <w:rsid w:val="006C2C81"/>
    <w:rsid w:val="006C5C07"/>
    <w:rsid w:val="006D18F3"/>
    <w:rsid w:val="006D4E27"/>
    <w:rsid w:val="006D5CB8"/>
    <w:rsid w:val="006D6583"/>
    <w:rsid w:val="006D7D64"/>
    <w:rsid w:val="006E0F9F"/>
    <w:rsid w:val="006E2F37"/>
    <w:rsid w:val="006E3670"/>
    <w:rsid w:val="006E41AC"/>
    <w:rsid w:val="006E579E"/>
    <w:rsid w:val="006E7A8C"/>
    <w:rsid w:val="006F3CB5"/>
    <w:rsid w:val="006F47D8"/>
    <w:rsid w:val="006F5E89"/>
    <w:rsid w:val="007044CF"/>
    <w:rsid w:val="00704EFD"/>
    <w:rsid w:val="00707EB1"/>
    <w:rsid w:val="00711142"/>
    <w:rsid w:val="007123B9"/>
    <w:rsid w:val="0071471A"/>
    <w:rsid w:val="00714886"/>
    <w:rsid w:val="007164D5"/>
    <w:rsid w:val="00716FB3"/>
    <w:rsid w:val="00722AF0"/>
    <w:rsid w:val="00722B9C"/>
    <w:rsid w:val="007231CC"/>
    <w:rsid w:val="0072322F"/>
    <w:rsid w:val="0072534C"/>
    <w:rsid w:val="00725A13"/>
    <w:rsid w:val="00725C09"/>
    <w:rsid w:val="00725C2D"/>
    <w:rsid w:val="00726CD7"/>
    <w:rsid w:val="0072731A"/>
    <w:rsid w:val="00727743"/>
    <w:rsid w:val="00737F25"/>
    <w:rsid w:val="007401B8"/>
    <w:rsid w:val="007404C2"/>
    <w:rsid w:val="0074213A"/>
    <w:rsid w:val="00743C93"/>
    <w:rsid w:val="00752E43"/>
    <w:rsid w:val="00753A1C"/>
    <w:rsid w:val="00754A71"/>
    <w:rsid w:val="0075723C"/>
    <w:rsid w:val="00757BF3"/>
    <w:rsid w:val="007640DC"/>
    <w:rsid w:val="00765757"/>
    <w:rsid w:val="007673EF"/>
    <w:rsid w:val="00773923"/>
    <w:rsid w:val="00776903"/>
    <w:rsid w:val="00782161"/>
    <w:rsid w:val="00782F8F"/>
    <w:rsid w:val="00783EA5"/>
    <w:rsid w:val="00785626"/>
    <w:rsid w:val="00790610"/>
    <w:rsid w:val="00791D8C"/>
    <w:rsid w:val="00793ACC"/>
    <w:rsid w:val="00794A69"/>
    <w:rsid w:val="00794C7F"/>
    <w:rsid w:val="00797862"/>
    <w:rsid w:val="007A713B"/>
    <w:rsid w:val="007B149F"/>
    <w:rsid w:val="007C19A2"/>
    <w:rsid w:val="007C2D61"/>
    <w:rsid w:val="007C3B5A"/>
    <w:rsid w:val="007C4764"/>
    <w:rsid w:val="007C5289"/>
    <w:rsid w:val="007C6BFD"/>
    <w:rsid w:val="007C7B76"/>
    <w:rsid w:val="007D0F9A"/>
    <w:rsid w:val="007D172A"/>
    <w:rsid w:val="007D22C7"/>
    <w:rsid w:val="007E0E73"/>
    <w:rsid w:val="007E300A"/>
    <w:rsid w:val="007E435B"/>
    <w:rsid w:val="007E63AD"/>
    <w:rsid w:val="007E7917"/>
    <w:rsid w:val="007E7BF8"/>
    <w:rsid w:val="007F11C4"/>
    <w:rsid w:val="007F6D6F"/>
    <w:rsid w:val="007F78E0"/>
    <w:rsid w:val="007F7BB8"/>
    <w:rsid w:val="00800FCB"/>
    <w:rsid w:val="00802B88"/>
    <w:rsid w:val="00806F22"/>
    <w:rsid w:val="008074E0"/>
    <w:rsid w:val="00812945"/>
    <w:rsid w:val="00813B0B"/>
    <w:rsid w:val="00814F24"/>
    <w:rsid w:val="00817CEF"/>
    <w:rsid w:val="00823257"/>
    <w:rsid w:val="00824F8A"/>
    <w:rsid w:val="00825973"/>
    <w:rsid w:val="008262BC"/>
    <w:rsid w:val="0083104A"/>
    <w:rsid w:val="0083247F"/>
    <w:rsid w:val="00834B40"/>
    <w:rsid w:val="00840C6B"/>
    <w:rsid w:val="00843258"/>
    <w:rsid w:val="008464A1"/>
    <w:rsid w:val="00850619"/>
    <w:rsid w:val="008516C7"/>
    <w:rsid w:val="00852008"/>
    <w:rsid w:val="0085772F"/>
    <w:rsid w:val="00862E62"/>
    <w:rsid w:val="0086359D"/>
    <w:rsid w:val="00864580"/>
    <w:rsid w:val="00864884"/>
    <w:rsid w:val="00865C99"/>
    <w:rsid w:val="00865F3F"/>
    <w:rsid w:val="008677B7"/>
    <w:rsid w:val="00867C59"/>
    <w:rsid w:val="00867F1A"/>
    <w:rsid w:val="008721D3"/>
    <w:rsid w:val="00876FF4"/>
    <w:rsid w:val="008806CF"/>
    <w:rsid w:val="00881002"/>
    <w:rsid w:val="00882552"/>
    <w:rsid w:val="00884996"/>
    <w:rsid w:val="0088586F"/>
    <w:rsid w:val="00887B83"/>
    <w:rsid w:val="00892820"/>
    <w:rsid w:val="00896547"/>
    <w:rsid w:val="00897502"/>
    <w:rsid w:val="008977E8"/>
    <w:rsid w:val="00897B19"/>
    <w:rsid w:val="008A343B"/>
    <w:rsid w:val="008A3FED"/>
    <w:rsid w:val="008C0C5B"/>
    <w:rsid w:val="008C294D"/>
    <w:rsid w:val="008C45A0"/>
    <w:rsid w:val="008C46F7"/>
    <w:rsid w:val="008C4AC6"/>
    <w:rsid w:val="008D2901"/>
    <w:rsid w:val="008D739A"/>
    <w:rsid w:val="008D7991"/>
    <w:rsid w:val="008D7BD9"/>
    <w:rsid w:val="008E2371"/>
    <w:rsid w:val="008E2617"/>
    <w:rsid w:val="008E3F40"/>
    <w:rsid w:val="008E5E79"/>
    <w:rsid w:val="008F1819"/>
    <w:rsid w:val="008F36F2"/>
    <w:rsid w:val="008F4573"/>
    <w:rsid w:val="009040D8"/>
    <w:rsid w:val="00904623"/>
    <w:rsid w:val="00904687"/>
    <w:rsid w:val="00907B50"/>
    <w:rsid w:val="00910532"/>
    <w:rsid w:val="009115B1"/>
    <w:rsid w:val="00916312"/>
    <w:rsid w:val="0092427C"/>
    <w:rsid w:val="00926B91"/>
    <w:rsid w:val="00926E65"/>
    <w:rsid w:val="009304F9"/>
    <w:rsid w:val="00930A99"/>
    <w:rsid w:val="00931C7F"/>
    <w:rsid w:val="00932AF7"/>
    <w:rsid w:val="009330D4"/>
    <w:rsid w:val="00935718"/>
    <w:rsid w:val="00936406"/>
    <w:rsid w:val="009410B2"/>
    <w:rsid w:val="009420BC"/>
    <w:rsid w:val="00942D8D"/>
    <w:rsid w:val="00947103"/>
    <w:rsid w:val="009475E0"/>
    <w:rsid w:val="00953031"/>
    <w:rsid w:val="00954FB1"/>
    <w:rsid w:val="0096084C"/>
    <w:rsid w:val="0096233A"/>
    <w:rsid w:val="009639FB"/>
    <w:rsid w:val="009653AB"/>
    <w:rsid w:val="009657DE"/>
    <w:rsid w:val="00965E4A"/>
    <w:rsid w:val="0096769D"/>
    <w:rsid w:val="0097194C"/>
    <w:rsid w:val="0097592D"/>
    <w:rsid w:val="00975F32"/>
    <w:rsid w:val="00990120"/>
    <w:rsid w:val="0099091E"/>
    <w:rsid w:val="00994C0F"/>
    <w:rsid w:val="00995920"/>
    <w:rsid w:val="00996C68"/>
    <w:rsid w:val="00997543"/>
    <w:rsid w:val="009A0655"/>
    <w:rsid w:val="009A1202"/>
    <w:rsid w:val="009A74AA"/>
    <w:rsid w:val="009B5464"/>
    <w:rsid w:val="009B72B8"/>
    <w:rsid w:val="009C28D8"/>
    <w:rsid w:val="009D4C5A"/>
    <w:rsid w:val="009E12F1"/>
    <w:rsid w:val="009E2C84"/>
    <w:rsid w:val="009E5111"/>
    <w:rsid w:val="009E7FBA"/>
    <w:rsid w:val="009F0E22"/>
    <w:rsid w:val="009F22A3"/>
    <w:rsid w:val="009F2BC5"/>
    <w:rsid w:val="009F4405"/>
    <w:rsid w:val="00A002FA"/>
    <w:rsid w:val="00A00EF6"/>
    <w:rsid w:val="00A00F11"/>
    <w:rsid w:val="00A05D9C"/>
    <w:rsid w:val="00A069C0"/>
    <w:rsid w:val="00A077A2"/>
    <w:rsid w:val="00A12718"/>
    <w:rsid w:val="00A15EF2"/>
    <w:rsid w:val="00A1735B"/>
    <w:rsid w:val="00A21118"/>
    <w:rsid w:val="00A21C60"/>
    <w:rsid w:val="00A22101"/>
    <w:rsid w:val="00A222C1"/>
    <w:rsid w:val="00A27599"/>
    <w:rsid w:val="00A27F11"/>
    <w:rsid w:val="00A30D73"/>
    <w:rsid w:val="00A32DD6"/>
    <w:rsid w:val="00A36619"/>
    <w:rsid w:val="00A4342A"/>
    <w:rsid w:val="00A4562D"/>
    <w:rsid w:val="00A45E60"/>
    <w:rsid w:val="00A60B57"/>
    <w:rsid w:val="00A70898"/>
    <w:rsid w:val="00A7238C"/>
    <w:rsid w:val="00A72394"/>
    <w:rsid w:val="00A72B8B"/>
    <w:rsid w:val="00A74FD7"/>
    <w:rsid w:val="00A761A9"/>
    <w:rsid w:val="00A76FE0"/>
    <w:rsid w:val="00A806DD"/>
    <w:rsid w:val="00A80763"/>
    <w:rsid w:val="00A81017"/>
    <w:rsid w:val="00A83D6C"/>
    <w:rsid w:val="00A842D9"/>
    <w:rsid w:val="00A84FE3"/>
    <w:rsid w:val="00A85263"/>
    <w:rsid w:val="00A91078"/>
    <w:rsid w:val="00A91E1A"/>
    <w:rsid w:val="00A928BC"/>
    <w:rsid w:val="00A93AC5"/>
    <w:rsid w:val="00A96D23"/>
    <w:rsid w:val="00AA03D4"/>
    <w:rsid w:val="00AA1656"/>
    <w:rsid w:val="00AA496B"/>
    <w:rsid w:val="00AA5C92"/>
    <w:rsid w:val="00AA7122"/>
    <w:rsid w:val="00AB4247"/>
    <w:rsid w:val="00AC0834"/>
    <w:rsid w:val="00AC35FA"/>
    <w:rsid w:val="00AC6B12"/>
    <w:rsid w:val="00AC7973"/>
    <w:rsid w:val="00AD478C"/>
    <w:rsid w:val="00AD6F52"/>
    <w:rsid w:val="00AD77E5"/>
    <w:rsid w:val="00AD78FF"/>
    <w:rsid w:val="00AE1711"/>
    <w:rsid w:val="00AE231A"/>
    <w:rsid w:val="00AE318E"/>
    <w:rsid w:val="00AF362C"/>
    <w:rsid w:val="00AF53AC"/>
    <w:rsid w:val="00AF7E30"/>
    <w:rsid w:val="00B0026A"/>
    <w:rsid w:val="00B0151B"/>
    <w:rsid w:val="00B01A2D"/>
    <w:rsid w:val="00B0295D"/>
    <w:rsid w:val="00B05348"/>
    <w:rsid w:val="00B07506"/>
    <w:rsid w:val="00B12EBF"/>
    <w:rsid w:val="00B2140F"/>
    <w:rsid w:val="00B21B15"/>
    <w:rsid w:val="00B22107"/>
    <w:rsid w:val="00B23596"/>
    <w:rsid w:val="00B34A6B"/>
    <w:rsid w:val="00B35391"/>
    <w:rsid w:val="00B35559"/>
    <w:rsid w:val="00B35698"/>
    <w:rsid w:val="00B36B73"/>
    <w:rsid w:val="00B36D4D"/>
    <w:rsid w:val="00B37A6F"/>
    <w:rsid w:val="00B42928"/>
    <w:rsid w:val="00B43427"/>
    <w:rsid w:val="00B443CA"/>
    <w:rsid w:val="00B444D3"/>
    <w:rsid w:val="00B45EDE"/>
    <w:rsid w:val="00B45FA1"/>
    <w:rsid w:val="00B46B8F"/>
    <w:rsid w:val="00B46C61"/>
    <w:rsid w:val="00B47F97"/>
    <w:rsid w:val="00B5298B"/>
    <w:rsid w:val="00B5546C"/>
    <w:rsid w:val="00B57E57"/>
    <w:rsid w:val="00B64304"/>
    <w:rsid w:val="00B66079"/>
    <w:rsid w:val="00B7338E"/>
    <w:rsid w:val="00B753A6"/>
    <w:rsid w:val="00B75880"/>
    <w:rsid w:val="00B7677A"/>
    <w:rsid w:val="00B77763"/>
    <w:rsid w:val="00B8189F"/>
    <w:rsid w:val="00B8299D"/>
    <w:rsid w:val="00B8337A"/>
    <w:rsid w:val="00B878F7"/>
    <w:rsid w:val="00B93772"/>
    <w:rsid w:val="00B965EA"/>
    <w:rsid w:val="00B971B1"/>
    <w:rsid w:val="00BA2011"/>
    <w:rsid w:val="00BA700C"/>
    <w:rsid w:val="00BB28E8"/>
    <w:rsid w:val="00BB574B"/>
    <w:rsid w:val="00BB698A"/>
    <w:rsid w:val="00BB77D4"/>
    <w:rsid w:val="00BC0C9E"/>
    <w:rsid w:val="00BD2AC7"/>
    <w:rsid w:val="00BE23EC"/>
    <w:rsid w:val="00BE53A8"/>
    <w:rsid w:val="00BE6D6C"/>
    <w:rsid w:val="00BE7431"/>
    <w:rsid w:val="00BE76DC"/>
    <w:rsid w:val="00BF377D"/>
    <w:rsid w:val="00BF54C0"/>
    <w:rsid w:val="00BF5C08"/>
    <w:rsid w:val="00BF627D"/>
    <w:rsid w:val="00BF6DBA"/>
    <w:rsid w:val="00C02341"/>
    <w:rsid w:val="00C02480"/>
    <w:rsid w:val="00C05E63"/>
    <w:rsid w:val="00C10E80"/>
    <w:rsid w:val="00C15859"/>
    <w:rsid w:val="00C20B7E"/>
    <w:rsid w:val="00C20C07"/>
    <w:rsid w:val="00C21CDA"/>
    <w:rsid w:val="00C220FE"/>
    <w:rsid w:val="00C241CE"/>
    <w:rsid w:val="00C40B3D"/>
    <w:rsid w:val="00C44CF1"/>
    <w:rsid w:val="00C46D41"/>
    <w:rsid w:val="00C50AC4"/>
    <w:rsid w:val="00C51651"/>
    <w:rsid w:val="00C51F7E"/>
    <w:rsid w:val="00C5513D"/>
    <w:rsid w:val="00C551E4"/>
    <w:rsid w:val="00C5563C"/>
    <w:rsid w:val="00C55C42"/>
    <w:rsid w:val="00C6047C"/>
    <w:rsid w:val="00C6131A"/>
    <w:rsid w:val="00C636FA"/>
    <w:rsid w:val="00C65276"/>
    <w:rsid w:val="00C7536A"/>
    <w:rsid w:val="00C75CBD"/>
    <w:rsid w:val="00C77357"/>
    <w:rsid w:val="00C8130F"/>
    <w:rsid w:val="00C82A0B"/>
    <w:rsid w:val="00C854E4"/>
    <w:rsid w:val="00C86177"/>
    <w:rsid w:val="00C875FB"/>
    <w:rsid w:val="00C911FD"/>
    <w:rsid w:val="00C91C4B"/>
    <w:rsid w:val="00C9215B"/>
    <w:rsid w:val="00C94BF7"/>
    <w:rsid w:val="00C9766C"/>
    <w:rsid w:val="00CA00FC"/>
    <w:rsid w:val="00CA0A86"/>
    <w:rsid w:val="00CA2B0F"/>
    <w:rsid w:val="00CA3B38"/>
    <w:rsid w:val="00CA3DDF"/>
    <w:rsid w:val="00CA57BF"/>
    <w:rsid w:val="00CB027E"/>
    <w:rsid w:val="00CB46EA"/>
    <w:rsid w:val="00CB6A70"/>
    <w:rsid w:val="00CD4AF1"/>
    <w:rsid w:val="00CE0FC8"/>
    <w:rsid w:val="00CE169E"/>
    <w:rsid w:val="00CE5F47"/>
    <w:rsid w:val="00CE7715"/>
    <w:rsid w:val="00CE7B96"/>
    <w:rsid w:val="00CF0634"/>
    <w:rsid w:val="00CF0FAD"/>
    <w:rsid w:val="00CF162D"/>
    <w:rsid w:val="00CF4763"/>
    <w:rsid w:val="00CF703F"/>
    <w:rsid w:val="00CF7F5E"/>
    <w:rsid w:val="00D11121"/>
    <w:rsid w:val="00D111DD"/>
    <w:rsid w:val="00D116A4"/>
    <w:rsid w:val="00D133BE"/>
    <w:rsid w:val="00D148AF"/>
    <w:rsid w:val="00D23CE2"/>
    <w:rsid w:val="00D2582A"/>
    <w:rsid w:val="00D302E2"/>
    <w:rsid w:val="00D320FA"/>
    <w:rsid w:val="00D337D9"/>
    <w:rsid w:val="00D376EB"/>
    <w:rsid w:val="00D4251C"/>
    <w:rsid w:val="00D435A0"/>
    <w:rsid w:val="00D45275"/>
    <w:rsid w:val="00D46869"/>
    <w:rsid w:val="00D537EC"/>
    <w:rsid w:val="00D6048E"/>
    <w:rsid w:val="00D625CB"/>
    <w:rsid w:val="00D71170"/>
    <w:rsid w:val="00D722F8"/>
    <w:rsid w:val="00D73145"/>
    <w:rsid w:val="00D73275"/>
    <w:rsid w:val="00D802C9"/>
    <w:rsid w:val="00D816DF"/>
    <w:rsid w:val="00D81A2A"/>
    <w:rsid w:val="00D83852"/>
    <w:rsid w:val="00D8560D"/>
    <w:rsid w:val="00D91103"/>
    <w:rsid w:val="00D969E5"/>
    <w:rsid w:val="00DA1046"/>
    <w:rsid w:val="00DA3462"/>
    <w:rsid w:val="00DA722C"/>
    <w:rsid w:val="00DA7BDB"/>
    <w:rsid w:val="00DB08C8"/>
    <w:rsid w:val="00DB0966"/>
    <w:rsid w:val="00DB149D"/>
    <w:rsid w:val="00DB1779"/>
    <w:rsid w:val="00DB23C7"/>
    <w:rsid w:val="00DB3CA9"/>
    <w:rsid w:val="00DB60F0"/>
    <w:rsid w:val="00DC0F12"/>
    <w:rsid w:val="00DC116F"/>
    <w:rsid w:val="00DC27DD"/>
    <w:rsid w:val="00DC6671"/>
    <w:rsid w:val="00DD01BC"/>
    <w:rsid w:val="00DD3FB4"/>
    <w:rsid w:val="00DD43D3"/>
    <w:rsid w:val="00DD551D"/>
    <w:rsid w:val="00DD6A4E"/>
    <w:rsid w:val="00DE219E"/>
    <w:rsid w:val="00DE242D"/>
    <w:rsid w:val="00DE2DBE"/>
    <w:rsid w:val="00DE3EFC"/>
    <w:rsid w:val="00DE4608"/>
    <w:rsid w:val="00DE49EE"/>
    <w:rsid w:val="00DF4DA7"/>
    <w:rsid w:val="00DF6E08"/>
    <w:rsid w:val="00DF7473"/>
    <w:rsid w:val="00E001BB"/>
    <w:rsid w:val="00E02E78"/>
    <w:rsid w:val="00E054CB"/>
    <w:rsid w:val="00E07252"/>
    <w:rsid w:val="00E10F96"/>
    <w:rsid w:val="00E11B89"/>
    <w:rsid w:val="00E12518"/>
    <w:rsid w:val="00E15E43"/>
    <w:rsid w:val="00E16BE5"/>
    <w:rsid w:val="00E172E2"/>
    <w:rsid w:val="00E23F94"/>
    <w:rsid w:val="00E27CC6"/>
    <w:rsid w:val="00E35FED"/>
    <w:rsid w:val="00E4032A"/>
    <w:rsid w:val="00E4253D"/>
    <w:rsid w:val="00E449B8"/>
    <w:rsid w:val="00E45FF4"/>
    <w:rsid w:val="00E512EF"/>
    <w:rsid w:val="00E5405A"/>
    <w:rsid w:val="00E562B4"/>
    <w:rsid w:val="00E567C6"/>
    <w:rsid w:val="00E57549"/>
    <w:rsid w:val="00E6023D"/>
    <w:rsid w:val="00E604B5"/>
    <w:rsid w:val="00E60EAF"/>
    <w:rsid w:val="00E675FB"/>
    <w:rsid w:val="00E7192B"/>
    <w:rsid w:val="00E7255C"/>
    <w:rsid w:val="00E72A77"/>
    <w:rsid w:val="00E73BBD"/>
    <w:rsid w:val="00E757D8"/>
    <w:rsid w:val="00E806E5"/>
    <w:rsid w:val="00E82227"/>
    <w:rsid w:val="00E827EA"/>
    <w:rsid w:val="00E84708"/>
    <w:rsid w:val="00E86DED"/>
    <w:rsid w:val="00E90ED9"/>
    <w:rsid w:val="00E910E7"/>
    <w:rsid w:val="00E94938"/>
    <w:rsid w:val="00E9570F"/>
    <w:rsid w:val="00EA298E"/>
    <w:rsid w:val="00EA2C5C"/>
    <w:rsid w:val="00EA71F8"/>
    <w:rsid w:val="00EB057B"/>
    <w:rsid w:val="00EB1ED3"/>
    <w:rsid w:val="00EB6C67"/>
    <w:rsid w:val="00EC29B0"/>
    <w:rsid w:val="00EC2BBD"/>
    <w:rsid w:val="00EC2CEC"/>
    <w:rsid w:val="00EC3810"/>
    <w:rsid w:val="00EC4538"/>
    <w:rsid w:val="00EC5889"/>
    <w:rsid w:val="00ED24D1"/>
    <w:rsid w:val="00ED372C"/>
    <w:rsid w:val="00ED4C92"/>
    <w:rsid w:val="00ED5C40"/>
    <w:rsid w:val="00ED707E"/>
    <w:rsid w:val="00EE1659"/>
    <w:rsid w:val="00EE4088"/>
    <w:rsid w:val="00EF0C83"/>
    <w:rsid w:val="00EF385F"/>
    <w:rsid w:val="00EF634F"/>
    <w:rsid w:val="00F006C3"/>
    <w:rsid w:val="00F01C7E"/>
    <w:rsid w:val="00F03C8E"/>
    <w:rsid w:val="00F04575"/>
    <w:rsid w:val="00F05064"/>
    <w:rsid w:val="00F1174F"/>
    <w:rsid w:val="00F11A39"/>
    <w:rsid w:val="00F157A6"/>
    <w:rsid w:val="00F22F3B"/>
    <w:rsid w:val="00F24041"/>
    <w:rsid w:val="00F25AB4"/>
    <w:rsid w:val="00F27C97"/>
    <w:rsid w:val="00F334E0"/>
    <w:rsid w:val="00F359E8"/>
    <w:rsid w:val="00F40080"/>
    <w:rsid w:val="00F43FAC"/>
    <w:rsid w:val="00F55440"/>
    <w:rsid w:val="00F57125"/>
    <w:rsid w:val="00F608A1"/>
    <w:rsid w:val="00F60E39"/>
    <w:rsid w:val="00F61971"/>
    <w:rsid w:val="00F62520"/>
    <w:rsid w:val="00F627A0"/>
    <w:rsid w:val="00F639FD"/>
    <w:rsid w:val="00F64219"/>
    <w:rsid w:val="00F715B6"/>
    <w:rsid w:val="00F756EE"/>
    <w:rsid w:val="00F77002"/>
    <w:rsid w:val="00F816F1"/>
    <w:rsid w:val="00F8482E"/>
    <w:rsid w:val="00F84913"/>
    <w:rsid w:val="00F84BE4"/>
    <w:rsid w:val="00F90764"/>
    <w:rsid w:val="00F918EE"/>
    <w:rsid w:val="00F91A58"/>
    <w:rsid w:val="00F929EE"/>
    <w:rsid w:val="00F952CA"/>
    <w:rsid w:val="00F9645E"/>
    <w:rsid w:val="00FA465B"/>
    <w:rsid w:val="00FA55AA"/>
    <w:rsid w:val="00FB07AB"/>
    <w:rsid w:val="00FB2D10"/>
    <w:rsid w:val="00FB5F09"/>
    <w:rsid w:val="00FC638C"/>
    <w:rsid w:val="00FC75DC"/>
    <w:rsid w:val="00FC7AA8"/>
    <w:rsid w:val="00FD047D"/>
    <w:rsid w:val="00FD21C2"/>
    <w:rsid w:val="00FD2B4D"/>
    <w:rsid w:val="00FD3DB3"/>
    <w:rsid w:val="00FE02F7"/>
    <w:rsid w:val="00FE335E"/>
    <w:rsid w:val="00FE3BBA"/>
    <w:rsid w:val="00FE65ED"/>
    <w:rsid w:val="00FF3833"/>
    <w:rsid w:val="00FF3BEC"/>
    <w:rsid w:val="00FF3DAA"/>
    <w:rsid w:val="00FF53B3"/>
    <w:rsid w:val="00FF79B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BBD0D"/>
  <w15:chartTrackingRefBased/>
  <w15:docId w15:val="{2B822598-34C4-4569-AF76-24731C757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98B"/>
    <w:pPr>
      <w:spacing w:after="0" w:line="240" w:lineRule="auto"/>
    </w:pPr>
    <w:rPr>
      <w:rFonts w:ascii="Times New Roman" w:eastAsia="Times New Roman" w:hAnsi="Times New Roman" w:cs="Times New Roman"/>
      <w:sz w:val="24"/>
      <w:szCs w:val="24"/>
      <w:lang w:eastAsia="hr-HR"/>
    </w:rPr>
  </w:style>
  <w:style w:type="paragraph" w:styleId="Naslov5">
    <w:name w:val="heading 5"/>
    <w:basedOn w:val="Normal"/>
    <w:next w:val="Normal"/>
    <w:link w:val="Naslov5Char"/>
    <w:uiPriority w:val="9"/>
    <w:unhideWhenUsed/>
    <w:qFormat/>
    <w:rsid w:val="009C28D8"/>
    <w:pPr>
      <w:spacing w:before="240" w:after="60"/>
      <w:outlineLvl w:val="4"/>
    </w:pPr>
    <w:rPr>
      <w:rFonts w:ascii="Calibri" w:hAnsi="Calibri"/>
      <w:b/>
      <w:bCs/>
      <w:i/>
      <w:iCs/>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semiHidden/>
    <w:rsid w:val="002D2C05"/>
    <w:rPr>
      <w:rFonts w:ascii="Tahoma" w:hAnsi="Tahoma" w:cs="Tahoma"/>
      <w:sz w:val="16"/>
      <w:szCs w:val="16"/>
    </w:rPr>
  </w:style>
  <w:style w:type="character" w:customStyle="1" w:styleId="TekstbaloniaChar">
    <w:name w:val="Tekst balončića Char"/>
    <w:basedOn w:val="Zadanifontodlomka"/>
    <w:link w:val="Tekstbalonia"/>
    <w:semiHidden/>
    <w:rsid w:val="002D2C05"/>
    <w:rPr>
      <w:rFonts w:ascii="Tahoma" w:eastAsia="Times New Roman" w:hAnsi="Tahoma" w:cs="Tahoma"/>
      <w:sz w:val="16"/>
      <w:szCs w:val="16"/>
      <w:lang w:eastAsia="hr-HR"/>
    </w:rPr>
  </w:style>
  <w:style w:type="paragraph" w:styleId="Podnoje">
    <w:name w:val="footer"/>
    <w:basedOn w:val="Normal"/>
    <w:link w:val="PodnojeChar"/>
    <w:uiPriority w:val="99"/>
    <w:rsid w:val="002D2C05"/>
    <w:pPr>
      <w:tabs>
        <w:tab w:val="center" w:pos="4536"/>
        <w:tab w:val="right" w:pos="9072"/>
      </w:tabs>
    </w:pPr>
    <w:rPr>
      <w:lang w:val="x-none" w:eastAsia="x-none"/>
    </w:rPr>
  </w:style>
  <w:style w:type="character" w:customStyle="1" w:styleId="PodnojeChar">
    <w:name w:val="Podnožje Char"/>
    <w:basedOn w:val="Zadanifontodlomka"/>
    <w:link w:val="Podnoje"/>
    <w:uiPriority w:val="99"/>
    <w:rsid w:val="002D2C05"/>
    <w:rPr>
      <w:rFonts w:ascii="Times New Roman" w:eastAsia="Times New Roman" w:hAnsi="Times New Roman" w:cs="Times New Roman"/>
      <w:sz w:val="24"/>
      <w:szCs w:val="24"/>
      <w:lang w:val="x-none" w:eastAsia="x-none"/>
    </w:rPr>
  </w:style>
  <w:style w:type="character" w:styleId="Brojstranice">
    <w:name w:val="page number"/>
    <w:basedOn w:val="Zadanifontodlomka"/>
    <w:rsid w:val="002D2C05"/>
  </w:style>
  <w:style w:type="paragraph" w:styleId="Kartadokumenta">
    <w:name w:val="Document Map"/>
    <w:basedOn w:val="Normal"/>
    <w:link w:val="KartadokumentaChar"/>
    <w:semiHidden/>
    <w:rsid w:val="002D2C05"/>
    <w:pPr>
      <w:shd w:val="clear" w:color="auto" w:fill="000080"/>
    </w:pPr>
    <w:rPr>
      <w:rFonts w:ascii="Tahoma" w:hAnsi="Tahoma" w:cs="Tahoma"/>
      <w:sz w:val="20"/>
      <w:szCs w:val="20"/>
    </w:rPr>
  </w:style>
  <w:style w:type="character" w:customStyle="1" w:styleId="KartadokumentaChar">
    <w:name w:val="Karta dokumenta Char"/>
    <w:basedOn w:val="Zadanifontodlomka"/>
    <w:link w:val="Kartadokumenta"/>
    <w:semiHidden/>
    <w:rsid w:val="002D2C05"/>
    <w:rPr>
      <w:rFonts w:ascii="Tahoma" w:eastAsia="Times New Roman" w:hAnsi="Tahoma" w:cs="Tahoma"/>
      <w:sz w:val="20"/>
      <w:szCs w:val="20"/>
      <w:shd w:val="clear" w:color="auto" w:fill="000080"/>
      <w:lang w:eastAsia="hr-HR"/>
    </w:rPr>
  </w:style>
  <w:style w:type="paragraph" w:customStyle="1" w:styleId="ListParagraph1">
    <w:name w:val="List Paragraph1"/>
    <w:basedOn w:val="Normal"/>
    <w:rsid w:val="002D2C05"/>
    <w:pPr>
      <w:spacing w:after="200" w:line="276" w:lineRule="auto"/>
      <w:ind w:left="720"/>
    </w:pPr>
    <w:rPr>
      <w:rFonts w:ascii="Calibri" w:hAnsi="Calibri" w:cs="Calibri"/>
      <w:sz w:val="22"/>
      <w:szCs w:val="22"/>
    </w:rPr>
  </w:style>
  <w:style w:type="paragraph" w:styleId="Zaglavlje">
    <w:name w:val="header"/>
    <w:basedOn w:val="Normal"/>
    <w:link w:val="ZaglavljeChar"/>
    <w:rsid w:val="002D2C05"/>
    <w:pPr>
      <w:tabs>
        <w:tab w:val="center" w:pos="4536"/>
        <w:tab w:val="right" w:pos="9072"/>
      </w:tabs>
    </w:pPr>
    <w:rPr>
      <w:lang w:val="x-none" w:eastAsia="x-none"/>
    </w:rPr>
  </w:style>
  <w:style w:type="character" w:customStyle="1" w:styleId="ZaglavljeChar">
    <w:name w:val="Zaglavlje Char"/>
    <w:basedOn w:val="Zadanifontodlomka"/>
    <w:link w:val="Zaglavlje"/>
    <w:rsid w:val="002D2C05"/>
    <w:rPr>
      <w:rFonts w:ascii="Times New Roman" w:eastAsia="Times New Roman" w:hAnsi="Times New Roman" w:cs="Times New Roman"/>
      <w:sz w:val="24"/>
      <w:szCs w:val="24"/>
      <w:lang w:val="x-none" w:eastAsia="x-none"/>
    </w:rPr>
  </w:style>
  <w:style w:type="paragraph" w:customStyle="1" w:styleId="msolistparagraph0">
    <w:name w:val="msolistparagraph"/>
    <w:basedOn w:val="Normal"/>
    <w:rsid w:val="002D2C05"/>
    <w:pPr>
      <w:ind w:left="720"/>
    </w:pPr>
  </w:style>
  <w:style w:type="paragraph" w:styleId="StandardWeb">
    <w:name w:val="Normal (Web)"/>
    <w:basedOn w:val="Normal"/>
    <w:uiPriority w:val="99"/>
    <w:rsid w:val="002D2C05"/>
    <w:pPr>
      <w:spacing w:before="100" w:beforeAutospacing="1" w:after="119"/>
    </w:pPr>
  </w:style>
  <w:style w:type="paragraph" w:styleId="Odlomakpopisa">
    <w:name w:val="List Paragraph"/>
    <w:basedOn w:val="Normal"/>
    <w:uiPriority w:val="34"/>
    <w:qFormat/>
    <w:rsid w:val="002D2C05"/>
    <w:pPr>
      <w:ind w:left="720"/>
    </w:pPr>
    <w:rPr>
      <w:rFonts w:ascii="Calibri" w:eastAsia="Calibri" w:hAnsi="Calibri"/>
      <w:sz w:val="22"/>
      <w:szCs w:val="22"/>
    </w:rPr>
  </w:style>
  <w:style w:type="table" w:styleId="Klasinatablica1">
    <w:name w:val="Table Classic 1"/>
    <w:basedOn w:val="Obinatablica"/>
    <w:rsid w:val="002D2C05"/>
    <w:pPr>
      <w:spacing w:after="0" w:line="240" w:lineRule="auto"/>
    </w:pPr>
    <w:rPr>
      <w:rFonts w:ascii="Times New Roman" w:eastAsia="Times New Roman" w:hAnsi="Times New Roman" w:cs="Times New Roman"/>
      <w:sz w:val="20"/>
      <w:szCs w:val="20"/>
      <w:lang w:eastAsia="hr-H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Reetkatablice">
    <w:name w:val="Table Grid"/>
    <w:basedOn w:val="Obinatablica"/>
    <w:rsid w:val="002D2C05"/>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uiPriority w:val="99"/>
    <w:unhideWhenUsed/>
    <w:rsid w:val="002D2C05"/>
    <w:rPr>
      <w:color w:val="0000FF"/>
      <w:u w:val="single"/>
    </w:rPr>
  </w:style>
  <w:style w:type="character" w:styleId="SlijeenaHiperveza">
    <w:name w:val="FollowedHyperlink"/>
    <w:uiPriority w:val="99"/>
    <w:unhideWhenUsed/>
    <w:rsid w:val="002D2C05"/>
    <w:rPr>
      <w:color w:val="800080"/>
      <w:u w:val="single"/>
    </w:rPr>
  </w:style>
  <w:style w:type="character" w:customStyle="1" w:styleId="apple-converted-space">
    <w:name w:val="apple-converted-space"/>
    <w:basedOn w:val="Zadanifontodlomka"/>
    <w:uiPriority w:val="99"/>
    <w:rsid w:val="00CF162D"/>
  </w:style>
  <w:style w:type="character" w:customStyle="1" w:styleId="ng-binding">
    <w:name w:val="ng-binding"/>
    <w:rsid w:val="00CF162D"/>
  </w:style>
  <w:style w:type="character" w:customStyle="1" w:styleId="Naslov5Char">
    <w:name w:val="Naslov 5 Char"/>
    <w:basedOn w:val="Zadanifontodlomka"/>
    <w:link w:val="Naslov5"/>
    <w:uiPriority w:val="9"/>
    <w:rsid w:val="009C28D8"/>
    <w:rPr>
      <w:rFonts w:ascii="Calibri" w:eastAsia="Times New Roman" w:hAnsi="Calibri" w:cs="Times New Roman"/>
      <w:b/>
      <w:bCs/>
      <w:i/>
      <w:iCs/>
      <w:sz w:val="26"/>
      <w:szCs w:val="26"/>
      <w:lang w:eastAsia="hr-HR"/>
    </w:rPr>
  </w:style>
  <w:style w:type="character" w:styleId="Istaknuto">
    <w:name w:val="Emphasis"/>
    <w:basedOn w:val="Zadanifontodlomka"/>
    <w:uiPriority w:val="20"/>
    <w:qFormat/>
    <w:rsid w:val="009639FB"/>
    <w:rPr>
      <w:i/>
      <w:iCs/>
    </w:rPr>
  </w:style>
  <w:style w:type="character" w:styleId="Naglaeno">
    <w:name w:val="Strong"/>
    <w:basedOn w:val="Zadanifontodlomka"/>
    <w:uiPriority w:val="22"/>
    <w:qFormat/>
    <w:rsid w:val="00692B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40">
      <w:bodyDiv w:val="1"/>
      <w:marLeft w:val="0"/>
      <w:marRight w:val="0"/>
      <w:marTop w:val="0"/>
      <w:marBottom w:val="0"/>
      <w:divBdr>
        <w:top w:val="none" w:sz="0" w:space="0" w:color="auto"/>
        <w:left w:val="none" w:sz="0" w:space="0" w:color="auto"/>
        <w:bottom w:val="none" w:sz="0" w:space="0" w:color="auto"/>
        <w:right w:val="none" w:sz="0" w:space="0" w:color="auto"/>
      </w:divBdr>
    </w:div>
    <w:div w:id="40836446">
      <w:bodyDiv w:val="1"/>
      <w:marLeft w:val="0"/>
      <w:marRight w:val="0"/>
      <w:marTop w:val="0"/>
      <w:marBottom w:val="0"/>
      <w:divBdr>
        <w:top w:val="none" w:sz="0" w:space="0" w:color="auto"/>
        <w:left w:val="none" w:sz="0" w:space="0" w:color="auto"/>
        <w:bottom w:val="none" w:sz="0" w:space="0" w:color="auto"/>
        <w:right w:val="none" w:sz="0" w:space="0" w:color="auto"/>
      </w:divBdr>
    </w:div>
    <w:div w:id="72512406">
      <w:bodyDiv w:val="1"/>
      <w:marLeft w:val="0"/>
      <w:marRight w:val="0"/>
      <w:marTop w:val="0"/>
      <w:marBottom w:val="0"/>
      <w:divBdr>
        <w:top w:val="none" w:sz="0" w:space="0" w:color="auto"/>
        <w:left w:val="none" w:sz="0" w:space="0" w:color="auto"/>
        <w:bottom w:val="none" w:sz="0" w:space="0" w:color="auto"/>
        <w:right w:val="none" w:sz="0" w:space="0" w:color="auto"/>
      </w:divBdr>
    </w:div>
    <w:div w:id="93284005">
      <w:bodyDiv w:val="1"/>
      <w:marLeft w:val="0"/>
      <w:marRight w:val="0"/>
      <w:marTop w:val="0"/>
      <w:marBottom w:val="0"/>
      <w:divBdr>
        <w:top w:val="none" w:sz="0" w:space="0" w:color="auto"/>
        <w:left w:val="none" w:sz="0" w:space="0" w:color="auto"/>
        <w:bottom w:val="none" w:sz="0" w:space="0" w:color="auto"/>
        <w:right w:val="none" w:sz="0" w:space="0" w:color="auto"/>
      </w:divBdr>
    </w:div>
    <w:div w:id="93669124">
      <w:bodyDiv w:val="1"/>
      <w:marLeft w:val="0"/>
      <w:marRight w:val="0"/>
      <w:marTop w:val="0"/>
      <w:marBottom w:val="0"/>
      <w:divBdr>
        <w:top w:val="none" w:sz="0" w:space="0" w:color="auto"/>
        <w:left w:val="none" w:sz="0" w:space="0" w:color="auto"/>
        <w:bottom w:val="none" w:sz="0" w:space="0" w:color="auto"/>
        <w:right w:val="none" w:sz="0" w:space="0" w:color="auto"/>
      </w:divBdr>
    </w:div>
    <w:div w:id="98330272">
      <w:bodyDiv w:val="1"/>
      <w:marLeft w:val="0"/>
      <w:marRight w:val="0"/>
      <w:marTop w:val="0"/>
      <w:marBottom w:val="0"/>
      <w:divBdr>
        <w:top w:val="none" w:sz="0" w:space="0" w:color="auto"/>
        <w:left w:val="none" w:sz="0" w:space="0" w:color="auto"/>
        <w:bottom w:val="none" w:sz="0" w:space="0" w:color="auto"/>
        <w:right w:val="none" w:sz="0" w:space="0" w:color="auto"/>
      </w:divBdr>
    </w:div>
    <w:div w:id="111630789">
      <w:bodyDiv w:val="1"/>
      <w:marLeft w:val="0"/>
      <w:marRight w:val="0"/>
      <w:marTop w:val="0"/>
      <w:marBottom w:val="0"/>
      <w:divBdr>
        <w:top w:val="none" w:sz="0" w:space="0" w:color="auto"/>
        <w:left w:val="none" w:sz="0" w:space="0" w:color="auto"/>
        <w:bottom w:val="none" w:sz="0" w:space="0" w:color="auto"/>
        <w:right w:val="none" w:sz="0" w:space="0" w:color="auto"/>
      </w:divBdr>
    </w:div>
    <w:div w:id="138116461">
      <w:bodyDiv w:val="1"/>
      <w:marLeft w:val="0"/>
      <w:marRight w:val="0"/>
      <w:marTop w:val="0"/>
      <w:marBottom w:val="0"/>
      <w:divBdr>
        <w:top w:val="none" w:sz="0" w:space="0" w:color="auto"/>
        <w:left w:val="none" w:sz="0" w:space="0" w:color="auto"/>
        <w:bottom w:val="none" w:sz="0" w:space="0" w:color="auto"/>
        <w:right w:val="none" w:sz="0" w:space="0" w:color="auto"/>
      </w:divBdr>
    </w:div>
    <w:div w:id="139853908">
      <w:bodyDiv w:val="1"/>
      <w:marLeft w:val="0"/>
      <w:marRight w:val="0"/>
      <w:marTop w:val="0"/>
      <w:marBottom w:val="0"/>
      <w:divBdr>
        <w:top w:val="none" w:sz="0" w:space="0" w:color="auto"/>
        <w:left w:val="none" w:sz="0" w:space="0" w:color="auto"/>
        <w:bottom w:val="none" w:sz="0" w:space="0" w:color="auto"/>
        <w:right w:val="none" w:sz="0" w:space="0" w:color="auto"/>
      </w:divBdr>
    </w:div>
    <w:div w:id="152189495">
      <w:bodyDiv w:val="1"/>
      <w:marLeft w:val="0"/>
      <w:marRight w:val="0"/>
      <w:marTop w:val="0"/>
      <w:marBottom w:val="0"/>
      <w:divBdr>
        <w:top w:val="none" w:sz="0" w:space="0" w:color="auto"/>
        <w:left w:val="none" w:sz="0" w:space="0" w:color="auto"/>
        <w:bottom w:val="none" w:sz="0" w:space="0" w:color="auto"/>
        <w:right w:val="none" w:sz="0" w:space="0" w:color="auto"/>
      </w:divBdr>
    </w:div>
    <w:div w:id="179705805">
      <w:bodyDiv w:val="1"/>
      <w:marLeft w:val="0"/>
      <w:marRight w:val="0"/>
      <w:marTop w:val="0"/>
      <w:marBottom w:val="0"/>
      <w:divBdr>
        <w:top w:val="none" w:sz="0" w:space="0" w:color="auto"/>
        <w:left w:val="none" w:sz="0" w:space="0" w:color="auto"/>
        <w:bottom w:val="none" w:sz="0" w:space="0" w:color="auto"/>
        <w:right w:val="none" w:sz="0" w:space="0" w:color="auto"/>
      </w:divBdr>
    </w:div>
    <w:div w:id="221990292">
      <w:bodyDiv w:val="1"/>
      <w:marLeft w:val="0"/>
      <w:marRight w:val="0"/>
      <w:marTop w:val="0"/>
      <w:marBottom w:val="0"/>
      <w:divBdr>
        <w:top w:val="none" w:sz="0" w:space="0" w:color="auto"/>
        <w:left w:val="none" w:sz="0" w:space="0" w:color="auto"/>
        <w:bottom w:val="none" w:sz="0" w:space="0" w:color="auto"/>
        <w:right w:val="none" w:sz="0" w:space="0" w:color="auto"/>
      </w:divBdr>
    </w:div>
    <w:div w:id="230698313">
      <w:bodyDiv w:val="1"/>
      <w:marLeft w:val="0"/>
      <w:marRight w:val="0"/>
      <w:marTop w:val="0"/>
      <w:marBottom w:val="0"/>
      <w:divBdr>
        <w:top w:val="none" w:sz="0" w:space="0" w:color="auto"/>
        <w:left w:val="none" w:sz="0" w:space="0" w:color="auto"/>
        <w:bottom w:val="none" w:sz="0" w:space="0" w:color="auto"/>
        <w:right w:val="none" w:sz="0" w:space="0" w:color="auto"/>
      </w:divBdr>
    </w:div>
    <w:div w:id="233469636">
      <w:bodyDiv w:val="1"/>
      <w:marLeft w:val="0"/>
      <w:marRight w:val="0"/>
      <w:marTop w:val="0"/>
      <w:marBottom w:val="0"/>
      <w:divBdr>
        <w:top w:val="none" w:sz="0" w:space="0" w:color="auto"/>
        <w:left w:val="none" w:sz="0" w:space="0" w:color="auto"/>
        <w:bottom w:val="none" w:sz="0" w:space="0" w:color="auto"/>
        <w:right w:val="none" w:sz="0" w:space="0" w:color="auto"/>
      </w:divBdr>
    </w:div>
    <w:div w:id="240524881">
      <w:bodyDiv w:val="1"/>
      <w:marLeft w:val="0"/>
      <w:marRight w:val="0"/>
      <w:marTop w:val="0"/>
      <w:marBottom w:val="0"/>
      <w:divBdr>
        <w:top w:val="none" w:sz="0" w:space="0" w:color="auto"/>
        <w:left w:val="none" w:sz="0" w:space="0" w:color="auto"/>
        <w:bottom w:val="none" w:sz="0" w:space="0" w:color="auto"/>
        <w:right w:val="none" w:sz="0" w:space="0" w:color="auto"/>
      </w:divBdr>
    </w:div>
    <w:div w:id="255557510">
      <w:bodyDiv w:val="1"/>
      <w:marLeft w:val="0"/>
      <w:marRight w:val="0"/>
      <w:marTop w:val="0"/>
      <w:marBottom w:val="0"/>
      <w:divBdr>
        <w:top w:val="none" w:sz="0" w:space="0" w:color="auto"/>
        <w:left w:val="none" w:sz="0" w:space="0" w:color="auto"/>
        <w:bottom w:val="none" w:sz="0" w:space="0" w:color="auto"/>
        <w:right w:val="none" w:sz="0" w:space="0" w:color="auto"/>
      </w:divBdr>
    </w:div>
    <w:div w:id="261912364">
      <w:bodyDiv w:val="1"/>
      <w:marLeft w:val="0"/>
      <w:marRight w:val="0"/>
      <w:marTop w:val="0"/>
      <w:marBottom w:val="0"/>
      <w:divBdr>
        <w:top w:val="none" w:sz="0" w:space="0" w:color="auto"/>
        <w:left w:val="none" w:sz="0" w:space="0" w:color="auto"/>
        <w:bottom w:val="none" w:sz="0" w:space="0" w:color="auto"/>
        <w:right w:val="none" w:sz="0" w:space="0" w:color="auto"/>
      </w:divBdr>
    </w:div>
    <w:div w:id="262959247">
      <w:bodyDiv w:val="1"/>
      <w:marLeft w:val="0"/>
      <w:marRight w:val="0"/>
      <w:marTop w:val="0"/>
      <w:marBottom w:val="0"/>
      <w:divBdr>
        <w:top w:val="none" w:sz="0" w:space="0" w:color="auto"/>
        <w:left w:val="none" w:sz="0" w:space="0" w:color="auto"/>
        <w:bottom w:val="none" w:sz="0" w:space="0" w:color="auto"/>
        <w:right w:val="none" w:sz="0" w:space="0" w:color="auto"/>
      </w:divBdr>
    </w:div>
    <w:div w:id="272710368">
      <w:bodyDiv w:val="1"/>
      <w:marLeft w:val="0"/>
      <w:marRight w:val="0"/>
      <w:marTop w:val="0"/>
      <w:marBottom w:val="0"/>
      <w:divBdr>
        <w:top w:val="none" w:sz="0" w:space="0" w:color="auto"/>
        <w:left w:val="none" w:sz="0" w:space="0" w:color="auto"/>
        <w:bottom w:val="none" w:sz="0" w:space="0" w:color="auto"/>
        <w:right w:val="none" w:sz="0" w:space="0" w:color="auto"/>
      </w:divBdr>
    </w:div>
    <w:div w:id="282226257">
      <w:bodyDiv w:val="1"/>
      <w:marLeft w:val="0"/>
      <w:marRight w:val="0"/>
      <w:marTop w:val="0"/>
      <w:marBottom w:val="0"/>
      <w:divBdr>
        <w:top w:val="none" w:sz="0" w:space="0" w:color="auto"/>
        <w:left w:val="none" w:sz="0" w:space="0" w:color="auto"/>
        <w:bottom w:val="none" w:sz="0" w:space="0" w:color="auto"/>
        <w:right w:val="none" w:sz="0" w:space="0" w:color="auto"/>
      </w:divBdr>
    </w:div>
    <w:div w:id="286007133">
      <w:bodyDiv w:val="1"/>
      <w:marLeft w:val="0"/>
      <w:marRight w:val="0"/>
      <w:marTop w:val="0"/>
      <w:marBottom w:val="0"/>
      <w:divBdr>
        <w:top w:val="none" w:sz="0" w:space="0" w:color="auto"/>
        <w:left w:val="none" w:sz="0" w:space="0" w:color="auto"/>
        <w:bottom w:val="none" w:sz="0" w:space="0" w:color="auto"/>
        <w:right w:val="none" w:sz="0" w:space="0" w:color="auto"/>
      </w:divBdr>
    </w:div>
    <w:div w:id="293220960">
      <w:bodyDiv w:val="1"/>
      <w:marLeft w:val="0"/>
      <w:marRight w:val="0"/>
      <w:marTop w:val="0"/>
      <w:marBottom w:val="0"/>
      <w:divBdr>
        <w:top w:val="none" w:sz="0" w:space="0" w:color="auto"/>
        <w:left w:val="none" w:sz="0" w:space="0" w:color="auto"/>
        <w:bottom w:val="none" w:sz="0" w:space="0" w:color="auto"/>
        <w:right w:val="none" w:sz="0" w:space="0" w:color="auto"/>
      </w:divBdr>
    </w:div>
    <w:div w:id="308019672">
      <w:bodyDiv w:val="1"/>
      <w:marLeft w:val="0"/>
      <w:marRight w:val="0"/>
      <w:marTop w:val="0"/>
      <w:marBottom w:val="0"/>
      <w:divBdr>
        <w:top w:val="none" w:sz="0" w:space="0" w:color="auto"/>
        <w:left w:val="none" w:sz="0" w:space="0" w:color="auto"/>
        <w:bottom w:val="none" w:sz="0" w:space="0" w:color="auto"/>
        <w:right w:val="none" w:sz="0" w:space="0" w:color="auto"/>
      </w:divBdr>
    </w:div>
    <w:div w:id="321131308">
      <w:bodyDiv w:val="1"/>
      <w:marLeft w:val="0"/>
      <w:marRight w:val="0"/>
      <w:marTop w:val="0"/>
      <w:marBottom w:val="0"/>
      <w:divBdr>
        <w:top w:val="none" w:sz="0" w:space="0" w:color="auto"/>
        <w:left w:val="none" w:sz="0" w:space="0" w:color="auto"/>
        <w:bottom w:val="none" w:sz="0" w:space="0" w:color="auto"/>
        <w:right w:val="none" w:sz="0" w:space="0" w:color="auto"/>
      </w:divBdr>
    </w:div>
    <w:div w:id="334572565">
      <w:bodyDiv w:val="1"/>
      <w:marLeft w:val="0"/>
      <w:marRight w:val="0"/>
      <w:marTop w:val="0"/>
      <w:marBottom w:val="0"/>
      <w:divBdr>
        <w:top w:val="none" w:sz="0" w:space="0" w:color="auto"/>
        <w:left w:val="none" w:sz="0" w:space="0" w:color="auto"/>
        <w:bottom w:val="none" w:sz="0" w:space="0" w:color="auto"/>
        <w:right w:val="none" w:sz="0" w:space="0" w:color="auto"/>
      </w:divBdr>
    </w:div>
    <w:div w:id="350834995">
      <w:bodyDiv w:val="1"/>
      <w:marLeft w:val="0"/>
      <w:marRight w:val="0"/>
      <w:marTop w:val="0"/>
      <w:marBottom w:val="0"/>
      <w:divBdr>
        <w:top w:val="none" w:sz="0" w:space="0" w:color="auto"/>
        <w:left w:val="none" w:sz="0" w:space="0" w:color="auto"/>
        <w:bottom w:val="none" w:sz="0" w:space="0" w:color="auto"/>
        <w:right w:val="none" w:sz="0" w:space="0" w:color="auto"/>
      </w:divBdr>
    </w:div>
    <w:div w:id="359166954">
      <w:bodyDiv w:val="1"/>
      <w:marLeft w:val="0"/>
      <w:marRight w:val="0"/>
      <w:marTop w:val="0"/>
      <w:marBottom w:val="0"/>
      <w:divBdr>
        <w:top w:val="none" w:sz="0" w:space="0" w:color="auto"/>
        <w:left w:val="none" w:sz="0" w:space="0" w:color="auto"/>
        <w:bottom w:val="none" w:sz="0" w:space="0" w:color="auto"/>
        <w:right w:val="none" w:sz="0" w:space="0" w:color="auto"/>
      </w:divBdr>
    </w:div>
    <w:div w:id="365834030">
      <w:bodyDiv w:val="1"/>
      <w:marLeft w:val="0"/>
      <w:marRight w:val="0"/>
      <w:marTop w:val="0"/>
      <w:marBottom w:val="0"/>
      <w:divBdr>
        <w:top w:val="none" w:sz="0" w:space="0" w:color="auto"/>
        <w:left w:val="none" w:sz="0" w:space="0" w:color="auto"/>
        <w:bottom w:val="none" w:sz="0" w:space="0" w:color="auto"/>
        <w:right w:val="none" w:sz="0" w:space="0" w:color="auto"/>
      </w:divBdr>
    </w:div>
    <w:div w:id="374043390">
      <w:bodyDiv w:val="1"/>
      <w:marLeft w:val="0"/>
      <w:marRight w:val="0"/>
      <w:marTop w:val="0"/>
      <w:marBottom w:val="0"/>
      <w:divBdr>
        <w:top w:val="none" w:sz="0" w:space="0" w:color="auto"/>
        <w:left w:val="none" w:sz="0" w:space="0" w:color="auto"/>
        <w:bottom w:val="none" w:sz="0" w:space="0" w:color="auto"/>
        <w:right w:val="none" w:sz="0" w:space="0" w:color="auto"/>
      </w:divBdr>
    </w:div>
    <w:div w:id="387609336">
      <w:bodyDiv w:val="1"/>
      <w:marLeft w:val="0"/>
      <w:marRight w:val="0"/>
      <w:marTop w:val="0"/>
      <w:marBottom w:val="0"/>
      <w:divBdr>
        <w:top w:val="none" w:sz="0" w:space="0" w:color="auto"/>
        <w:left w:val="none" w:sz="0" w:space="0" w:color="auto"/>
        <w:bottom w:val="none" w:sz="0" w:space="0" w:color="auto"/>
        <w:right w:val="none" w:sz="0" w:space="0" w:color="auto"/>
      </w:divBdr>
    </w:div>
    <w:div w:id="462230865">
      <w:bodyDiv w:val="1"/>
      <w:marLeft w:val="0"/>
      <w:marRight w:val="0"/>
      <w:marTop w:val="0"/>
      <w:marBottom w:val="0"/>
      <w:divBdr>
        <w:top w:val="none" w:sz="0" w:space="0" w:color="auto"/>
        <w:left w:val="none" w:sz="0" w:space="0" w:color="auto"/>
        <w:bottom w:val="none" w:sz="0" w:space="0" w:color="auto"/>
        <w:right w:val="none" w:sz="0" w:space="0" w:color="auto"/>
      </w:divBdr>
    </w:div>
    <w:div w:id="486751398">
      <w:bodyDiv w:val="1"/>
      <w:marLeft w:val="0"/>
      <w:marRight w:val="0"/>
      <w:marTop w:val="0"/>
      <w:marBottom w:val="0"/>
      <w:divBdr>
        <w:top w:val="none" w:sz="0" w:space="0" w:color="auto"/>
        <w:left w:val="none" w:sz="0" w:space="0" w:color="auto"/>
        <w:bottom w:val="none" w:sz="0" w:space="0" w:color="auto"/>
        <w:right w:val="none" w:sz="0" w:space="0" w:color="auto"/>
      </w:divBdr>
    </w:div>
    <w:div w:id="489828593">
      <w:bodyDiv w:val="1"/>
      <w:marLeft w:val="0"/>
      <w:marRight w:val="0"/>
      <w:marTop w:val="0"/>
      <w:marBottom w:val="0"/>
      <w:divBdr>
        <w:top w:val="none" w:sz="0" w:space="0" w:color="auto"/>
        <w:left w:val="none" w:sz="0" w:space="0" w:color="auto"/>
        <w:bottom w:val="none" w:sz="0" w:space="0" w:color="auto"/>
        <w:right w:val="none" w:sz="0" w:space="0" w:color="auto"/>
      </w:divBdr>
    </w:div>
    <w:div w:id="499584041">
      <w:bodyDiv w:val="1"/>
      <w:marLeft w:val="0"/>
      <w:marRight w:val="0"/>
      <w:marTop w:val="0"/>
      <w:marBottom w:val="0"/>
      <w:divBdr>
        <w:top w:val="none" w:sz="0" w:space="0" w:color="auto"/>
        <w:left w:val="none" w:sz="0" w:space="0" w:color="auto"/>
        <w:bottom w:val="none" w:sz="0" w:space="0" w:color="auto"/>
        <w:right w:val="none" w:sz="0" w:space="0" w:color="auto"/>
      </w:divBdr>
    </w:div>
    <w:div w:id="515659928">
      <w:bodyDiv w:val="1"/>
      <w:marLeft w:val="0"/>
      <w:marRight w:val="0"/>
      <w:marTop w:val="0"/>
      <w:marBottom w:val="0"/>
      <w:divBdr>
        <w:top w:val="none" w:sz="0" w:space="0" w:color="auto"/>
        <w:left w:val="none" w:sz="0" w:space="0" w:color="auto"/>
        <w:bottom w:val="none" w:sz="0" w:space="0" w:color="auto"/>
        <w:right w:val="none" w:sz="0" w:space="0" w:color="auto"/>
      </w:divBdr>
    </w:div>
    <w:div w:id="529419769">
      <w:bodyDiv w:val="1"/>
      <w:marLeft w:val="0"/>
      <w:marRight w:val="0"/>
      <w:marTop w:val="0"/>
      <w:marBottom w:val="0"/>
      <w:divBdr>
        <w:top w:val="none" w:sz="0" w:space="0" w:color="auto"/>
        <w:left w:val="none" w:sz="0" w:space="0" w:color="auto"/>
        <w:bottom w:val="none" w:sz="0" w:space="0" w:color="auto"/>
        <w:right w:val="none" w:sz="0" w:space="0" w:color="auto"/>
      </w:divBdr>
    </w:div>
    <w:div w:id="538468496">
      <w:bodyDiv w:val="1"/>
      <w:marLeft w:val="0"/>
      <w:marRight w:val="0"/>
      <w:marTop w:val="0"/>
      <w:marBottom w:val="0"/>
      <w:divBdr>
        <w:top w:val="none" w:sz="0" w:space="0" w:color="auto"/>
        <w:left w:val="none" w:sz="0" w:space="0" w:color="auto"/>
        <w:bottom w:val="none" w:sz="0" w:space="0" w:color="auto"/>
        <w:right w:val="none" w:sz="0" w:space="0" w:color="auto"/>
      </w:divBdr>
    </w:div>
    <w:div w:id="544174253">
      <w:bodyDiv w:val="1"/>
      <w:marLeft w:val="0"/>
      <w:marRight w:val="0"/>
      <w:marTop w:val="0"/>
      <w:marBottom w:val="0"/>
      <w:divBdr>
        <w:top w:val="none" w:sz="0" w:space="0" w:color="auto"/>
        <w:left w:val="none" w:sz="0" w:space="0" w:color="auto"/>
        <w:bottom w:val="none" w:sz="0" w:space="0" w:color="auto"/>
        <w:right w:val="none" w:sz="0" w:space="0" w:color="auto"/>
      </w:divBdr>
    </w:div>
    <w:div w:id="568853103">
      <w:bodyDiv w:val="1"/>
      <w:marLeft w:val="0"/>
      <w:marRight w:val="0"/>
      <w:marTop w:val="0"/>
      <w:marBottom w:val="0"/>
      <w:divBdr>
        <w:top w:val="none" w:sz="0" w:space="0" w:color="auto"/>
        <w:left w:val="none" w:sz="0" w:space="0" w:color="auto"/>
        <w:bottom w:val="none" w:sz="0" w:space="0" w:color="auto"/>
        <w:right w:val="none" w:sz="0" w:space="0" w:color="auto"/>
      </w:divBdr>
    </w:div>
    <w:div w:id="570500801">
      <w:bodyDiv w:val="1"/>
      <w:marLeft w:val="0"/>
      <w:marRight w:val="0"/>
      <w:marTop w:val="0"/>
      <w:marBottom w:val="0"/>
      <w:divBdr>
        <w:top w:val="none" w:sz="0" w:space="0" w:color="auto"/>
        <w:left w:val="none" w:sz="0" w:space="0" w:color="auto"/>
        <w:bottom w:val="none" w:sz="0" w:space="0" w:color="auto"/>
        <w:right w:val="none" w:sz="0" w:space="0" w:color="auto"/>
      </w:divBdr>
    </w:div>
    <w:div w:id="598834985">
      <w:bodyDiv w:val="1"/>
      <w:marLeft w:val="0"/>
      <w:marRight w:val="0"/>
      <w:marTop w:val="0"/>
      <w:marBottom w:val="0"/>
      <w:divBdr>
        <w:top w:val="none" w:sz="0" w:space="0" w:color="auto"/>
        <w:left w:val="none" w:sz="0" w:space="0" w:color="auto"/>
        <w:bottom w:val="none" w:sz="0" w:space="0" w:color="auto"/>
        <w:right w:val="none" w:sz="0" w:space="0" w:color="auto"/>
      </w:divBdr>
    </w:div>
    <w:div w:id="598876749">
      <w:bodyDiv w:val="1"/>
      <w:marLeft w:val="0"/>
      <w:marRight w:val="0"/>
      <w:marTop w:val="0"/>
      <w:marBottom w:val="0"/>
      <w:divBdr>
        <w:top w:val="none" w:sz="0" w:space="0" w:color="auto"/>
        <w:left w:val="none" w:sz="0" w:space="0" w:color="auto"/>
        <w:bottom w:val="none" w:sz="0" w:space="0" w:color="auto"/>
        <w:right w:val="none" w:sz="0" w:space="0" w:color="auto"/>
      </w:divBdr>
    </w:div>
    <w:div w:id="607278209">
      <w:bodyDiv w:val="1"/>
      <w:marLeft w:val="0"/>
      <w:marRight w:val="0"/>
      <w:marTop w:val="0"/>
      <w:marBottom w:val="0"/>
      <w:divBdr>
        <w:top w:val="none" w:sz="0" w:space="0" w:color="auto"/>
        <w:left w:val="none" w:sz="0" w:space="0" w:color="auto"/>
        <w:bottom w:val="none" w:sz="0" w:space="0" w:color="auto"/>
        <w:right w:val="none" w:sz="0" w:space="0" w:color="auto"/>
      </w:divBdr>
    </w:div>
    <w:div w:id="615186525">
      <w:bodyDiv w:val="1"/>
      <w:marLeft w:val="0"/>
      <w:marRight w:val="0"/>
      <w:marTop w:val="0"/>
      <w:marBottom w:val="0"/>
      <w:divBdr>
        <w:top w:val="none" w:sz="0" w:space="0" w:color="auto"/>
        <w:left w:val="none" w:sz="0" w:space="0" w:color="auto"/>
        <w:bottom w:val="none" w:sz="0" w:space="0" w:color="auto"/>
        <w:right w:val="none" w:sz="0" w:space="0" w:color="auto"/>
      </w:divBdr>
    </w:div>
    <w:div w:id="623771698">
      <w:bodyDiv w:val="1"/>
      <w:marLeft w:val="0"/>
      <w:marRight w:val="0"/>
      <w:marTop w:val="0"/>
      <w:marBottom w:val="0"/>
      <w:divBdr>
        <w:top w:val="none" w:sz="0" w:space="0" w:color="auto"/>
        <w:left w:val="none" w:sz="0" w:space="0" w:color="auto"/>
        <w:bottom w:val="none" w:sz="0" w:space="0" w:color="auto"/>
        <w:right w:val="none" w:sz="0" w:space="0" w:color="auto"/>
      </w:divBdr>
    </w:div>
    <w:div w:id="644705684">
      <w:bodyDiv w:val="1"/>
      <w:marLeft w:val="0"/>
      <w:marRight w:val="0"/>
      <w:marTop w:val="0"/>
      <w:marBottom w:val="0"/>
      <w:divBdr>
        <w:top w:val="none" w:sz="0" w:space="0" w:color="auto"/>
        <w:left w:val="none" w:sz="0" w:space="0" w:color="auto"/>
        <w:bottom w:val="none" w:sz="0" w:space="0" w:color="auto"/>
        <w:right w:val="none" w:sz="0" w:space="0" w:color="auto"/>
      </w:divBdr>
    </w:div>
    <w:div w:id="648091835">
      <w:bodyDiv w:val="1"/>
      <w:marLeft w:val="0"/>
      <w:marRight w:val="0"/>
      <w:marTop w:val="0"/>
      <w:marBottom w:val="0"/>
      <w:divBdr>
        <w:top w:val="none" w:sz="0" w:space="0" w:color="auto"/>
        <w:left w:val="none" w:sz="0" w:space="0" w:color="auto"/>
        <w:bottom w:val="none" w:sz="0" w:space="0" w:color="auto"/>
        <w:right w:val="none" w:sz="0" w:space="0" w:color="auto"/>
      </w:divBdr>
    </w:div>
    <w:div w:id="669672310">
      <w:bodyDiv w:val="1"/>
      <w:marLeft w:val="0"/>
      <w:marRight w:val="0"/>
      <w:marTop w:val="0"/>
      <w:marBottom w:val="0"/>
      <w:divBdr>
        <w:top w:val="none" w:sz="0" w:space="0" w:color="auto"/>
        <w:left w:val="none" w:sz="0" w:space="0" w:color="auto"/>
        <w:bottom w:val="none" w:sz="0" w:space="0" w:color="auto"/>
        <w:right w:val="none" w:sz="0" w:space="0" w:color="auto"/>
      </w:divBdr>
    </w:div>
    <w:div w:id="700978271">
      <w:bodyDiv w:val="1"/>
      <w:marLeft w:val="0"/>
      <w:marRight w:val="0"/>
      <w:marTop w:val="0"/>
      <w:marBottom w:val="0"/>
      <w:divBdr>
        <w:top w:val="none" w:sz="0" w:space="0" w:color="auto"/>
        <w:left w:val="none" w:sz="0" w:space="0" w:color="auto"/>
        <w:bottom w:val="none" w:sz="0" w:space="0" w:color="auto"/>
        <w:right w:val="none" w:sz="0" w:space="0" w:color="auto"/>
      </w:divBdr>
    </w:div>
    <w:div w:id="704868005">
      <w:bodyDiv w:val="1"/>
      <w:marLeft w:val="0"/>
      <w:marRight w:val="0"/>
      <w:marTop w:val="0"/>
      <w:marBottom w:val="0"/>
      <w:divBdr>
        <w:top w:val="none" w:sz="0" w:space="0" w:color="auto"/>
        <w:left w:val="none" w:sz="0" w:space="0" w:color="auto"/>
        <w:bottom w:val="none" w:sz="0" w:space="0" w:color="auto"/>
        <w:right w:val="none" w:sz="0" w:space="0" w:color="auto"/>
      </w:divBdr>
    </w:div>
    <w:div w:id="705716818">
      <w:bodyDiv w:val="1"/>
      <w:marLeft w:val="0"/>
      <w:marRight w:val="0"/>
      <w:marTop w:val="0"/>
      <w:marBottom w:val="0"/>
      <w:divBdr>
        <w:top w:val="none" w:sz="0" w:space="0" w:color="auto"/>
        <w:left w:val="none" w:sz="0" w:space="0" w:color="auto"/>
        <w:bottom w:val="none" w:sz="0" w:space="0" w:color="auto"/>
        <w:right w:val="none" w:sz="0" w:space="0" w:color="auto"/>
      </w:divBdr>
    </w:div>
    <w:div w:id="707144022">
      <w:bodyDiv w:val="1"/>
      <w:marLeft w:val="0"/>
      <w:marRight w:val="0"/>
      <w:marTop w:val="0"/>
      <w:marBottom w:val="0"/>
      <w:divBdr>
        <w:top w:val="none" w:sz="0" w:space="0" w:color="auto"/>
        <w:left w:val="none" w:sz="0" w:space="0" w:color="auto"/>
        <w:bottom w:val="none" w:sz="0" w:space="0" w:color="auto"/>
        <w:right w:val="none" w:sz="0" w:space="0" w:color="auto"/>
      </w:divBdr>
    </w:div>
    <w:div w:id="718482940">
      <w:bodyDiv w:val="1"/>
      <w:marLeft w:val="0"/>
      <w:marRight w:val="0"/>
      <w:marTop w:val="0"/>
      <w:marBottom w:val="0"/>
      <w:divBdr>
        <w:top w:val="none" w:sz="0" w:space="0" w:color="auto"/>
        <w:left w:val="none" w:sz="0" w:space="0" w:color="auto"/>
        <w:bottom w:val="none" w:sz="0" w:space="0" w:color="auto"/>
        <w:right w:val="none" w:sz="0" w:space="0" w:color="auto"/>
      </w:divBdr>
    </w:div>
    <w:div w:id="752896801">
      <w:bodyDiv w:val="1"/>
      <w:marLeft w:val="0"/>
      <w:marRight w:val="0"/>
      <w:marTop w:val="0"/>
      <w:marBottom w:val="0"/>
      <w:divBdr>
        <w:top w:val="none" w:sz="0" w:space="0" w:color="auto"/>
        <w:left w:val="none" w:sz="0" w:space="0" w:color="auto"/>
        <w:bottom w:val="none" w:sz="0" w:space="0" w:color="auto"/>
        <w:right w:val="none" w:sz="0" w:space="0" w:color="auto"/>
      </w:divBdr>
    </w:div>
    <w:div w:id="766389468">
      <w:bodyDiv w:val="1"/>
      <w:marLeft w:val="0"/>
      <w:marRight w:val="0"/>
      <w:marTop w:val="0"/>
      <w:marBottom w:val="0"/>
      <w:divBdr>
        <w:top w:val="none" w:sz="0" w:space="0" w:color="auto"/>
        <w:left w:val="none" w:sz="0" w:space="0" w:color="auto"/>
        <w:bottom w:val="none" w:sz="0" w:space="0" w:color="auto"/>
        <w:right w:val="none" w:sz="0" w:space="0" w:color="auto"/>
      </w:divBdr>
    </w:div>
    <w:div w:id="767894733">
      <w:bodyDiv w:val="1"/>
      <w:marLeft w:val="0"/>
      <w:marRight w:val="0"/>
      <w:marTop w:val="0"/>
      <w:marBottom w:val="0"/>
      <w:divBdr>
        <w:top w:val="none" w:sz="0" w:space="0" w:color="auto"/>
        <w:left w:val="none" w:sz="0" w:space="0" w:color="auto"/>
        <w:bottom w:val="none" w:sz="0" w:space="0" w:color="auto"/>
        <w:right w:val="none" w:sz="0" w:space="0" w:color="auto"/>
      </w:divBdr>
    </w:div>
    <w:div w:id="799952928">
      <w:bodyDiv w:val="1"/>
      <w:marLeft w:val="0"/>
      <w:marRight w:val="0"/>
      <w:marTop w:val="0"/>
      <w:marBottom w:val="0"/>
      <w:divBdr>
        <w:top w:val="none" w:sz="0" w:space="0" w:color="auto"/>
        <w:left w:val="none" w:sz="0" w:space="0" w:color="auto"/>
        <w:bottom w:val="none" w:sz="0" w:space="0" w:color="auto"/>
        <w:right w:val="none" w:sz="0" w:space="0" w:color="auto"/>
      </w:divBdr>
    </w:div>
    <w:div w:id="801190163">
      <w:bodyDiv w:val="1"/>
      <w:marLeft w:val="0"/>
      <w:marRight w:val="0"/>
      <w:marTop w:val="0"/>
      <w:marBottom w:val="0"/>
      <w:divBdr>
        <w:top w:val="none" w:sz="0" w:space="0" w:color="auto"/>
        <w:left w:val="none" w:sz="0" w:space="0" w:color="auto"/>
        <w:bottom w:val="none" w:sz="0" w:space="0" w:color="auto"/>
        <w:right w:val="none" w:sz="0" w:space="0" w:color="auto"/>
      </w:divBdr>
    </w:div>
    <w:div w:id="832912816">
      <w:bodyDiv w:val="1"/>
      <w:marLeft w:val="0"/>
      <w:marRight w:val="0"/>
      <w:marTop w:val="0"/>
      <w:marBottom w:val="0"/>
      <w:divBdr>
        <w:top w:val="none" w:sz="0" w:space="0" w:color="auto"/>
        <w:left w:val="none" w:sz="0" w:space="0" w:color="auto"/>
        <w:bottom w:val="none" w:sz="0" w:space="0" w:color="auto"/>
        <w:right w:val="none" w:sz="0" w:space="0" w:color="auto"/>
      </w:divBdr>
    </w:div>
    <w:div w:id="834611050">
      <w:bodyDiv w:val="1"/>
      <w:marLeft w:val="0"/>
      <w:marRight w:val="0"/>
      <w:marTop w:val="0"/>
      <w:marBottom w:val="0"/>
      <w:divBdr>
        <w:top w:val="none" w:sz="0" w:space="0" w:color="auto"/>
        <w:left w:val="none" w:sz="0" w:space="0" w:color="auto"/>
        <w:bottom w:val="none" w:sz="0" w:space="0" w:color="auto"/>
        <w:right w:val="none" w:sz="0" w:space="0" w:color="auto"/>
      </w:divBdr>
    </w:div>
    <w:div w:id="839350823">
      <w:bodyDiv w:val="1"/>
      <w:marLeft w:val="0"/>
      <w:marRight w:val="0"/>
      <w:marTop w:val="0"/>
      <w:marBottom w:val="0"/>
      <w:divBdr>
        <w:top w:val="none" w:sz="0" w:space="0" w:color="auto"/>
        <w:left w:val="none" w:sz="0" w:space="0" w:color="auto"/>
        <w:bottom w:val="none" w:sz="0" w:space="0" w:color="auto"/>
        <w:right w:val="none" w:sz="0" w:space="0" w:color="auto"/>
      </w:divBdr>
    </w:div>
    <w:div w:id="849101122">
      <w:bodyDiv w:val="1"/>
      <w:marLeft w:val="0"/>
      <w:marRight w:val="0"/>
      <w:marTop w:val="0"/>
      <w:marBottom w:val="0"/>
      <w:divBdr>
        <w:top w:val="none" w:sz="0" w:space="0" w:color="auto"/>
        <w:left w:val="none" w:sz="0" w:space="0" w:color="auto"/>
        <w:bottom w:val="none" w:sz="0" w:space="0" w:color="auto"/>
        <w:right w:val="none" w:sz="0" w:space="0" w:color="auto"/>
      </w:divBdr>
    </w:div>
    <w:div w:id="873080720">
      <w:bodyDiv w:val="1"/>
      <w:marLeft w:val="0"/>
      <w:marRight w:val="0"/>
      <w:marTop w:val="0"/>
      <w:marBottom w:val="0"/>
      <w:divBdr>
        <w:top w:val="none" w:sz="0" w:space="0" w:color="auto"/>
        <w:left w:val="none" w:sz="0" w:space="0" w:color="auto"/>
        <w:bottom w:val="none" w:sz="0" w:space="0" w:color="auto"/>
        <w:right w:val="none" w:sz="0" w:space="0" w:color="auto"/>
      </w:divBdr>
    </w:div>
    <w:div w:id="890767380">
      <w:bodyDiv w:val="1"/>
      <w:marLeft w:val="0"/>
      <w:marRight w:val="0"/>
      <w:marTop w:val="0"/>
      <w:marBottom w:val="0"/>
      <w:divBdr>
        <w:top w:val="none" w:sz="0" w:space="0" w:color="auto"/>
        <w:left w:val="none" w:sz="0" w:space="0" w:color="auto"/>
        <w:bottom w:val="none" w:sz="0" w:space="0" w:color="auto"/>
        <w:right w:val="none" w:sz="0" w:space="0" w:color="auto"/>
      </w:divBdr>
    </w:div>
    <w:div w:id="901327745">
      <w:bodyDiv w:val="1"/>
      <w:marLeft w:val="0"/>
      <w:marRight w:val="0"/>
      <w:marTop w:val="0"/>
      <w:marBottom w:val="0"/>
      <w:divBdr>
        <w:top w:val="none" w:sz="0" w:space="0" w:color="auto"/>
        <w:left w:val="none" w:sz="0" w:space="0" w:color="auto"/>
        <w:bottom w:val="none" w:sz="0" w:space="0" w:color="auto"/>
        <w:right w:val="none" w:sz="0" w:space="0" w:color="auto"/>
      </w:divBdr>
    </w:div>
    <w:div w:id="907769394">
      <w:bodyDiv w:val="1"/>
      <w:marLeft w:val="0"/>
      <w:marRight w:val="0"/>
      <w:marTop w:val="0"/>
      <w:marBottom w:val="0"/>
      <w:divBdr>
        <w:top w:val="none" w:sz="0" w:space="0" w:color="auto"/>
        <w:left w:val="none" w:sz="0" w:space="0" w:color="auto"/>
        <w:bottom w:val="none" w:sz="0" w:space="0" w:color="auto"/>
        <w:right w:val="none" w:sz="0" w:space="0" w:color="auto"/>
      </w:divBdr>
    </w:div>
    <w:div w:id="912663920">
      <w:bodyDiv w:val="1"/>
      <w:marLeft w:val="0"/>
      <w:marRight w:val="0"/>
      <w:marTop w:val="0"/>
      <w:marBottom w:val="0"/>
      <w:divBdr>
        <w:top w:val="none" w:sz="0" w:space="0" w:color="auto"/>
        <w:left w:val="none" w:sz="0" w:space="0" w:color="auto"/>
        <w:bottom w:val="none" w:sz="0" w:space="0" w:color="auto"/>
        <w:right w:val="none" w:sz="0" w:space="0" w:color="auto"/>
      </w:divBdr>
    </w:div>
    <w:div w:id="934049483">
      <w:bodyDiv w:val="1"/>
      <w:marLeft w:val="0"/>
      <w:marRight w:val="0"/>
      <w:marTop w:val="0"/>
      <w:marBottom w:val="0"/>
      <w:divBdr>
        <w:top w:val="none" w:sz="0" w:space="0" w:color="auto"/>
        <w:left w:val="none" w:sz="0" w:space="0" w:color="auto"/>
        <w:bottom w:val="none" w:sz="0" w:space="0" w:color="auto"/>
        <w:right w:val="none" w:sz="0" w:space="0" w:color="auto"/>
      </w:divBdr>
    </w:div>
    <w:div w:id="961770828">
      <w:bodyDiv w:val="1"/>
      <w:marLeft w:val="0"/>
      <w:marRight w:val="0"/>
      <w:marTop w:val="0"/>
      <w:marBottom w:val="0"/>
      <w:divBdr>
        <w:top w:val="none" w:sz="0" w:space="0" w:color="auto"/>
        <w:left w:val="none" w:sz="0" w:space="0" w:color="auto"/>
        <w:bottom w:val="none" w:sz="0" w:space="0" w:color="auto"/>
        <w:right w:val="none" w:sz="0" w:space="0" w:color="auto"/>
      </w:divBdr>
    </w:div>
    <w:div w:id="962464620">
      <w:bodyDiv w:val="1"/>
      <w:marLeft w:val="0"/>
      <w:marRight w:val="0"/>
      <w:marTop w:val="0"/>
      <w:marBottom w:val="0"/>
      <w:divBdr>
        <w:top w:val="none" w:sz="0" w:space="0" w:color="auto"/>
        <w:left w:val="none" w:sz="0" w:space="0" w:color="auto"/>
        <w:bottom w:val="none" w:sz="0" w:space="0" w:color="auto"/>
        <w:right w:val="none" w:sz="0" w:space="0" w:color="auto"/>
      </w:divBdr>
    </w:div>
    <w:div w:id="997927349">
      <w:bodyDiv w:val="1"/>
      <w:marLeft w:val="0"/>
      <w:marRight w:val="0"/>
      <w:marTop w:val="0"/>
      <w:marBottom w:val="0"/>
      <w:divBdr>
        <w:top w:val="none" w:sz="0" w:space="0" w:color="auto"/>
        <w:left w:val="none" w:sz="0" w:space="0" w:color="auto"/>
        <w:bottom w:val="none" w:sz="0" w:space="0" w:color="auto"/>
        <w:right w:val="none" w:sz="0" w:space="0" w:color="auto"/>
      </w:divBdr>
    </w:div>
    <w:div w:id="1000425831">
      <w:bodyDiv w:val="1"/>
      <w:marLeft w:val="0"/>
      <w:marRight w:val="0"/>
      <w:marTop w:val="0"/>
      <w:marBottom w:val="0"/>
      <w:divBdr>
        <w:top w:val="none" w:sz="0" w:space="0" w:color="auto"/>
        <w:left w:val="none" w:sz="0" w:space="0" w:color="auto"/>
        <w:bottom w:val="none" w:sz="0" w:space="0" w:color="auto"/>
        <w:right w:val="none" w:sz="0" w:space="0" w:color="auto"/>
      </w:divBdr>
    </w:div>
    <w:div w:id="1022708741">
      <w:bodyDiv w:val="1"/>
      <w:marLeft w:val="0"/>
      <w:marRight w:val="0"/>
      <w:marTop w:val="0"/>
      <w:marBottom w:val="0"/>
      <w:divBdr>
        <w:top w:val="none" w:sz="0" w:space="0" w:color="auto"/>
        <w:left w:val="none" w:sz="0" w:space="0" w:color="auto"/>
        <w:bottom w:val="none" w:sz="0" w:space="0" w:color="auto"/>
        <w:right w:val="none" w:sz="0" w:space="0" w:color="auto"/>
      </w:divBdr>
    </w:div>
    <w:div w:id="1023745618">
      <w:bodyDiv w:val="1"/>
      <w:marLeft w:val="0"/>
      <w:marRight w:val="0"/>
      <w:marTop w:val="0"/>
      <w:marBottom w:val="0"/>
      <w:divBdr>
        <w:top w:val="none" w:sz="0" w:space="0" w:color="auto"/>
        <w:left w:val="none" w:sz="0" w:space="0" w:color="auto"/>
        <w:bottom w:val="none" w:sz="0" w:space="0" w:color="auto"/>
        <w:right w:val="none" w:sz="0" w:space="0" w:color="auto"/>
      </w:divBdr>
    </w:div>
    <w:div w:id="1085957385">
      <w:bodyDiv w:val="1"/>
      <w:marLeft w:val="0"/>
      <w:marRight w:val="0"/>
      <w:marTop w:val="0"/>
      <w:marBottom w:val="0"/>
      <w:divBdr>
        <w:top w:val="none" w:sz="0" w:space="0" w:color="auto"/>
        <w:left w:val="none" w:sz="0" w:space="0" w:color="auto"/>
        <w:bottom w:val="none" w:sz="0" w:space="0" w:color="auto"/>
        <w:right w:val="none" w:sz="0" w:space="0" w:color="auto"/>
      </w:divBdr>
    </w:div>
    <w:div w:id="1119451203">
      <w:bodyDiv w:val="1"/>
      <w:marLeft w:val="0"/>
      <w:marRight w:val="0"/>
      <w:marTop w:val="0"/>
      <w:marBottom w:val="0"/>
      <w:divBdr>
        <w:top w:val="none" w:sz="0" w:space="0" w:color="auto"/>
        <w:left w:val="none" w:sz="0" w:space="0" w:color="auto"/>
        <w:bottom w:val="none" w:sz="0" w:space="0" w:color="auto"/>
        <w:right w:val="none" w:sz="0" w:space="0" w:color="auto"/>
      </w:divBdr>
    </w:div>
    <w:div w:id="1121727255">
      <w:bodyDiv w:val="1"/>
      <w:marLeft w:val="0"/>
      <w:marRight w:val="0"/>
      <w:marTop w:val="0"/>
      <w:marBottom w:val="0"/>
      <w:divBdr>
        <w:top w:val="none" w:sz="0" w:space="0" w:color="auto"/>
        <w:left w:val="none" w:sz="0" w:space="0" w:color="auto"/>
        <w:bottom w:val="none" w:sz="0" w:space="0" w:color="auto"/>
        <w:right w:val="none" w:sz="0" w:space="0" w:color="auto"/>
      </w:divBdr>
    </w:div>
    <w:div w:id="1124159915">
      <w:bodyDiv w:val="1"/>
      <w:marLeft w:val="0"/>
      <w:marRight w:val="0"/>
      <w:marTop w:val="0"/>
      <w:marBottom w:val="0"/>
      <w:divBdr>
        <w:top w:val="none" w:sz="0" w:space="0" w:color="auto"/>
        <w:left w:val="none" w:sz="0" w:space="0" w:color="auto"/>
        <w:bottom w:val="none" w:sz="0" w:space="0" w:color="auto"/>
        <w:right w:val="none" w:sz="0" w:space="0" w:color="auto"/>
      </w:divBdr>
    </w:div>
    <w:div w:id="1127891603">
      <w:bodyDiv w:val="1"/>
      <w:marLeft w:val="0"/>
      <w:marRight w:val="0"/>
      <w:marTop w:val="0"/>
      <w:marBottom w:val="0"/>
      <w:divBdr>
        <w:top w:val="none" w:sz="0" w:space="0" w:color="auto"/>
        <w:left w:val="none" w:sz="0" w:space="0" w:color="auto"/>
        <w:bottom w:val="none" w:sz="0" w:space="0" w:color="auto"/>
        <w:right w:val="none" w:sz="0" w:space="0" w:color="auto"/>
      </w:divBdr>
    </w:div>
    <w:div w:id="1129860356">
      <w:bodyDiv w:val="1"/>
      <w:marLeft w:val="0"/>
      <w:marRight w:val="0"/>
      <w:marTop w:val="0"/>
      <w:marBottom w:val="0"/>
      <w:divBdr>
        <w:top w:val="none" w:sz="0" w:space="0" w:color="auto"/>
        <w:left w:val="none" w:sz="0" w:space="0" w:color="auto"/>
        <w:bottom w:val="none" w:sz="0" w:space="0" w:color="auto"/>
        <w:right w:val="none" w:sz="0" w:space="0" w:color="auto"/>
      </w:divBdr>
    </w:div>
    <w:div w:id="1153528875">
      <w:bodyDiv w:val="1"/>
      <w:marLeft w:val="0"/>
      <w:marRight w:val="0"/>
      <w:marTop w:val="0"/>
      <w:marBottom w:val="0"/>
      <w:divBdr>
        <w:top w:val="none" w:sz="0" w:space="0" w:color="auto"/>
        <w:left w:val="none" w:sz="0" w:space="0" w:color="auto"/>
        <w:bottom w:val="none" w:sz="0" w:space="0" w:color="auto"/>
        <w:right w:val="none" w:sz="0" w:space="0" w:color="auto"/>
      </w:divBdr>
    </w:div>
    <w:div w:id="1164007306">
      <w:bodyDiv w:val="1"/>
      <w:marLeft w:val="0"/>
      <w:marRight w:val="0"/>
      <w:marTop w:val="0"/>
      <w:marBottom w:val="0"/>
      <w:divBdr>
        <w:top w:val="none" w:sz="0" w:space="0" w:color="auto"/>
        <w:left w:val="none" w:sz="0" w:space="0" w:color="auto"/>
        <w:bottom w:val="none" w:sz="0" w:space="0" w:color="auto"/>
        <w:right w:val="none" w:sz="0" w:space="0" w:color="auto"/>
      </w:divBdr>
    </w:div>
    <w:div w:id="1184127075">
      <w:bodyDiv w:val="1"/>
      <w:marLeft w:val="0"/>
      <w:marRight w:val="0"/>
      <w:marTop w:val="0"/>
      <w:marBottom w:val="0"/>
      <w:divBdr>
        <w:top w:val="none" w:sz="0" w:space="0" w:color="auto"/>
        <w:left w:val="none" w:sz="0" w:space="0" w:color="auto"/>
        <w:bottom w:val="none" w:sz="0" w:space="0" w:color="auto"/>
        <w:right w:val="none" w:sz="0" w:space="0" w:color="auto"/>
      </w:divBdr>
    </w:div>
    <w:div w:id="1195078073">
      <w:bodyDiv w:val="1"/>
      <w:marLeft w:val="0"/>
      <w:marRight w:val="0"/>
      <w:marTop w:val="0"/>
      <w:marBottom w:val="0"/>
      <w:divBdr>
        <w:top w:val="none" w:sz="0" w:space="0" w:color="auto"/>
        <w:left w:val="none" w:sz="0" w:space="0" w:color="auto"/>
        <w:bottom w:val="none" w:sz="0" w:space="0" w:color="auto"/>
        <w:right w:val="none" w:sz="0" w:space="0" w:color="auto"/>
      </w:divBdr>
    </w:div>
    <w:div w:id="1214778714">
      <w:bodyDiv w:val="1"/>
      <w:marLeft w:val="0"/>
      <w:marRight w:val="0"/>
      <w:marTop w:val="0"/>
      <w:marBottom w:val="0"/>
      <w:divBdr>
        <w:top w:val="none" w:sz="0" w:space="0" w:color="auto"/>
        <w:left w:val="none" w:sz="0" w:space="0" w:color="auto"/>
        <w:bottom w:val="none" w:sz="0" w:space="0" w:color="auto"/>
        <w:right w:val="none" w:sz="0" w:space="0" w:color="auto"/>
      </w:divBdr>
    </w:div>
    <w:div w:id="1230726089">
      <w:bodyDiv w:val="1"/>
      <w:marLeft w:val="0"/>
      <w:marRight w:val="0"/>
      <w:marTop w:val="0"/>
      <w:marBottom w:val="0"/>
      <w:divBdr>
        <w:top w:val="none" w:sz="0" w:space="0" w:color="auto"/>
        <w:left w:val="none" w:sz="0" w:space="0" w:color="auto"/>
        <w:bottom w:val="none" w:sz="0" w:space="0" w:color="auto"/>
        <w:right w:val="none" w:sz="0" w:space="0" w:color="auto"/>
      </w:divBdr>
    </w:div>
    <w:div w:id="1256481746">
      <w:bodyDiv w:val="1"/>
      <w:marLeft w:val="0"/>
      <w:marRight w:val="0"/>
      <w:marTop w:val="0"/>
      <w:marBottom w:val="0"/>
      <w:divBdr>
        <w:top w:val="none" w:sz="0" w:space="0" w:color="auto"/>
        <w:left w:val="none" w:sz="0" w:space="0" w:color="auto"/>
        <w:bottom w:val="none" w:sz="0" w:space="0" w:color="auto"/>
        <w:right w:val="none" w:sz="0" w:space="0" w:color="auto"/>
      </w:divBdr>
    </w:div>
    <w:div w:id="1267346939">
      <w:bodyDiv w:val="1"/>
      <w:marLeft w:val="0"/>
      <w:marRight w:val="0"/>
      <w:marTop w:val="0"/>
      <w:marBottom w:val="0"/>
      <w:divBdr>
        <w:top w:val="none" w:sz="0" w:space="0" w:color="auto"/>
        <w:left w:val="none" w:sz="0" w:space="0" w:color="auto"/>
        <w:bottom w:val="none" w:sz="0" w:space="0" w:color="auto"/>
        <w:right w:val="none" w:sz="0" w:space="0" w:color="auto"/>
      </w:divBdr>
    </w:div>
    <w:div w:id="1270043562">
      <w:bodyDiv w:val="1"/>
      <w:marLeft w:val="0"/>
      <w:marRight w:val="0"/>
      <w:marTop w:val="0"/>
      <w:marBottom w:val="0"/>
      <w:divBdr>
        <w:top w:val="none" w:sz="0" w:space="0" w:color="auto"/>
        <w:left w:val="none" w:sz="0" w:space="0" w:color="auto"/>
        <w:bottom w:val="none" w:sz="0" w:space="0" w:color="auto"/>
        <w:right w:val="none" w:sz="0" w:space="0" w:color="auto"/>
      </w:divBdr>
    </w:div>
    <w:div w:id="1334604132">
      <w:bodyDiv w:val="1"/>
      <w:marLeft w:val="0"/>
      <w:marRight w:val="0"/>
      <w:marTop w:val="0"/>
      <w:marBottom w:val="0"/>
      <w:divBdr>
        <w:top w:val="none" w:sz="0" w:space="0" w:color="auto"/>
        <w:left w:val="none" w:sz="0" w:space="0" w:color="auto"/>
        <w:bottom w:val="none" w:sz="0" w:space="0" w:color="auto"/>
        <w:right w:val="none" w:sz="0" w:space="0" w:color="auto"/>
      </w:divBdr>
    </w:div>
    <w:div w:id="1347053518">
      <w:bodyDiv w:val="1"/>
      <w:marLeft w:val="0"/>
      <w:marRight w:val="0"/>
      <w:marTop w:val="0"/>
      <w:marBottom w:val="0"/>
      <w:divBdr>
        <w:top w:val="none" w:sz="0" w:space="0" w:color="auto"/>
        <w:left w:val="none" w:sz="0" w:space="0" w:color="auto"/>
        <w:bottom w:val="none" w:sz="0" w:space="0" w:color="auto"/>
        <w:right w:val="none" w:sz="0" w:space="0" w:color="auto"/>
      </w:divBdr>
    </w:div>
    <w:div w:id="1347947969">
      <w:bodyDiv w:val="1"/>
      <w:marLeft w:val="0"/>
      <w:marRight w:val="0"/>
      <w:marTop w:val="0"/>
      <w:marBottom w:val="0"/>
      <w:divBdr>
        <w:top w:val="none" w:sz="0" w:space="0" w:color="auto"/>
        <w:left w:val="none" w:sz="0" w:space="0" w:color="auto"/>
        <w:bottom w:val="none" w:sz="0" w:space="0" w:color="auto"/>
        <w:right w:val="none" w:sz="0" w:space="0" w:color="auto"/>
      </w:divBdr>
    </w:div>
    <w:div w:id="1369448251">
      <w:bodyDiv w:val="1"/>
      <w:marLeft w:val="0"/>
      <w:marRight w:val="0"/>
      <w:marTop w:val="0"/>
      <w:marBottom w:val="0"/>
      <w:divBdr>
        <w:top w:val="none" w:sz="0" w:space="0" w:color="auto"/>
        <w:left w:val="none" w:sz="0" w:space="0" w:color="auto"/>
        <w:bottom w:val="none" w:sz="0" w:space="0" w:color="auto"/>
        <w:right w:val="none" w:sz="0" w:space="0" w:color="auto"/>
      </w:divBdr>
    </w:div>
    <w:div w:id="1371682768">
      <w:bodyDiv w:val="1"/>
      <w:marLeft w:val="0"/>
      <w:marRight w:val="0"/>
      <w:marTop w:val="0"/>
      <w:marBottom w:val="0"/>
      <w:divBdr>
        <w:top w:val="none" w:sz="0" w:space="0" w:color="auto"/>
        <w:left w:val="none" w:sz="0" w:space="0" w:color="auto"/>
        <w:bottom w:val="none" w:sz="0" w:space="0" w:color="auto"/>
        <w:right w:val="none" w:sz="0" w:space="0" w:color="auto"/>
      </w:divBdr>
    </w:div>
    <w:div w:id="1376151915">
      <w:bodyDiv w:val="1"/>
      <w:marLeft w:val="0"/>
      <w:marRight w:val="0"/>
      <w:marTop w:val="0"/>
      <w:marBottom w:val="0"/>
      <w:divBdr>
        <w:top w:val="none" w:sz="0" w:space="0" w:color="auto"/>
        <w:left w:val="none" w:sz="0" w:space="0" w:color="auto"/>
        <w:bottom w:val="none" w:sz="0" w:space="0" w:color="auto"/>
        <w:right w:val="none" w:sz="0" w:space="0" w:color="auto"/>
      </w:divBdr>
    </w:div>
    <w:div w:id="1381635148">
      <w:bodyDiv w:val="1"/>
      <w:marLeft w:val="0"/>
      <w:marRight w:val="0"/>
      <w:marTop w:val="0"/>
      <w:marBottom w:val="0"/>
      <w:divBdr>
        <w:top w:val="none" w:sz="0" w:space="0" w:color="auto"/>
        <w:left w:val="none" w:sz="0" w:space="0" w:color="auto"/>
        <w:bottom w:val="none" w:sz="0" w:space="0" w:color="auto"/>
        <w:right w:val="none" w:sz="0" w:space="0" w:color="auto"/>
      </w:divBdr>
    </w:div>
    <w:div w:id="1384599853">
      <w:bodyDiv w:val="1"/>
      <w:marLeft w:val="0"/>
      <w:marRight w:val="0"/>
      <w:marTop w:val="0"/>
      <w:marBottom w:val="0"/>
      <w:divBdr>
        <w:top w:val="none" w:sz="0" w:space="0" w:color="auto"/>
        <w:left w:val="none" w:sz="0" w:space="0" w:color="auto"/>
        <w:bottom w:val="none" w:sz="0" w:space="0" w:color="auto"/>
        <w:right w:val="none" w:sz="0" w:space="0" w:color="auto"/>
      </w:divBdr>
      <w:divsChild>
        <w:div w:id="1318529486">
          <w:marLeft w:val="0"/>
          <w:marRight w:val="0"/>
          <w:marTop w:val="0"/>
          <w:marBottom w:val="0"/>
          <w:divBdr>
            <w:top w:val="none" w:sz="0" w:space="0" w:color="auto"/>
            <w:left w:val="none" w:sz="0" w:space="0" w:color="auto"/>
            <w:bottom w:val="none" w:sz="0" w:space="0" w:color="auto"/>
            <w:right w:val="none" w:sz="0" w:space="0" w:color="auto"/>
          </w:divBdr>
          <w:divsChild>
            <w:div w:id="38117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272421">
      <w:bodyDiv w:val="1"/>
      <w:marLeft w:val="0"/>
      <w:marRight w:val="0"/>
      <w:marTop w:val="0"/>
      <w:marBottom w:val="0"/>
      <w:divBdr>
        <w:top w:val="none" w:sz="0" w:space="0" w:color="auto"/>
        <w:left w:val="none" w:sz="0" w:space="0" w:color="auto"/>
        <w:bottom w:val="none" w:sz="0" w:space="0" w:color="auto"/>
        <w:right w:val="none" w:sz="0" w:space="0" w:color="auto"/>
      </w:divBdr>
    </w:div>
    <w:div w:id="1394430718">
      <w:bodyDiv w:val="1"/>
      <w:marLeft w:val="0"/>
      <w:marRight w:val="0"/>
      <w:marTop w:val="0"/>
      <w:marBottom w:val="0"/>
      <w:divBdr>
        <w:top w:val="none" w:sz="0" w:space="0" w:color="auto"/>
        <w:left w:val="none" w:sz="0" w:space="0" w:color="auto"/>
        <w:bottom w:val="none" w:sz="0" w:space="0" w:color="auto"/>
        <w:right w:val="none" w:sz="0" w:space="0" w:color="auto"/>
      </w:divBdr>
    </w:div>
    <w:div w:id="1403524880">
      <w:bodyDiv w:val="1"/>
      <w:marLeft w:val="0"/>
      <w:marRight w:val="0"/>
      <w:marTop w:val="0"/>
      <w:marBottom w:val="0"/>
      <w:divBdr>
        <w:top w:val="none" w:sz="0" w:space="0" w:color="auto"/>
        <w:left w:val="none" w:sz="0" w:space="0" w:color="auto"/>
        <w:bottom w:val="none" w:sz="0" w:space="0" w:color="auto"/>
        <w:right w:val="none" w:sz="0" w:space="0" w:color="auto"/>
      </w:divBdr>
    </w:div>
    <w:div w:id="1407531751">
      <w:bodyDiv w:val="1"/>
      <w:marLeft w:val="0"/>
      <w:marRight w:val="0"/>
      <w:marTop w:val="0"/>
      <w:marBottom w:val="0"/>
      <w:divBdr>
        <w:top w:val="none" w:sz="0" w:space="0" w:color="auto"/>
        <w:left w:val="none" w:sz="0" w:space="0" w:color="auto"/>
        <w:bottom w:val="none" w:sz="0" w:space="0" w:color="auto"/>
        <w:right w:val="none" w:sz="0" w:space="0" w:color="auto"/>
      </w:divBdr>
    </w:div>
    <w:div w:id="1449928560">
      <w:bodyDiv w:val="1"/>
      <w:marLeft w:val="0"/>
      <w:marRight w:val="0"/>
      <w:marTop w:val="0"/>
      <w:marBottom w:val="0"/>
      <w:divBdr>
        <w:top w:val="none" w:sz="0" w:space="0" w:color="auto"/>
        <w:left w:val="none" w:sz="0" w:space="0" w:color="auto"/>
        <w:bottom w:val="none" w:sz="0" w:space="0" w:color="auto"/>
        <w:right w:val="none" w:sz="0" w:space="0" w:color="auto"/>
      </w:divBdr>
    </w:div>
    <w:div w:id="1451824343">
      <w:bodyDiv w:val="1"/>
      <w:marLeft w:val="0"/>
      <w:marRight w:val="0"/>
      <w:marTop w:val="0"/>
      <w:marBottom w:val="0"/>
      <w:divBdr>
        <w:top w:val="none" w:sz="0" w:space="0" w:color="auto"/>
        <w:left w:val="none" w:sz="0" w:space="0" w:color="auto"/>
        <w:bottom w:val="none" w:sz="0" w:space="0" w:color="auto"/>
        <w:right w:val="none" w:sz="0" w:space="0" w:color="auto"/>
      </w:divBdr>
    </w:div>
    <w:div w:id="1454209613">
      <w:bodyDiv w:val="1"/>
      <w:marLeft w:val="0"/>
      <w:marRight w:val="0"/>
      <w:marTop w:val="0"/>
      <w:marBottom w:val="0"/>
      <w:divBdr>
        <w:top w:val="none" w:sz="0" w:space="0" w:color="auto"/>
        <w:left w:val="none" w:sz="0" w:space="0" w:color="auto"/>
        <w:bottom w:val="none" w:sz="0" w:space="0" w:color="auto"/>
        <w:right w:val="none" w:sz="0" w:space="0" w:color="auto"/>
      </w:divBdr>
    </w:div>
    <w:div w:id="1465075184">
      <w:bodyDiv w:val="1"/>
      <w:marLeft w:val="0"/>
      <w:marRight w:val="0"/>
      <w:marTop w:val="0"/>
      <w:marBottom w:val="0"/>
      <w:divBdr>
        <w:top w:val="none" w:sz="0" w:space="0" w:color="auto"/>
        <w:left w:val="none" w:sz="0" w:space="0" w:color="auto"/>
        <w:bottom w:val="none" w:sz="0" w:space="0" w:color="auto"/>
        <w:right w:val="none" w:sz="0" w:space="0" w:color="auto"/>
      </w:divBdr>
    </w:div>
    <w:div w:id="1482886782">
      <w:bodyDiv w:val="1"/>
      <w:marLeft w:val="0"/>
      <w:marRight w:val="0"/>
      <w:marTop w:val="0"/>
      <w:marBottom w:val="0"/>
      <w:divBdr>
        <w:top w:val="none" w:sz="0" w:space="0" w:color="auto"/>
        <w:left w:val="none" w:sz="0" w:space="0" w:color="auto"/>
        <w:bottom w:val="none" w:sz="0" w:space="0" w:color="auto"/>
        <w:right w:val="none" w:sz="0" w:space="0" w:color="auto"/>
      </w:divBdr>
    </w:div>
    <w:div w:id="1489402187">
      <w:bodyDiv w:val="1"/>
      <w:marLeft w:val="0"/>
      <w:marRight w:val="0"/>
      <w:marTop w:val="0"/>
      <w:marBottom w:val="0"/>
      <w:divBdr>
        <w:top w:val="none" w:sz="0" w:space="0" w:color="auto"/>
        <w:left w:val="none" w:sz="0" w:space="0" w:color="auto"/>
        <w:bottom w:val="none" w:sz="0" w:space="0" w:color="auto"/>
        <w:right w:val="none" w:sz="0" w:space="0" w:color="auto"/>
      </w:divBdr>
    </w:div>
    <w:div w:id="1493259458">
      <w:bodyDiv w:val="1"/>
      <w:marLeft w:val="0"/>
      <w:marRight w:val="0"/>
      <w:marTop w:val="0"/>
      <w:marBottom w:val="0"/>
      <w:divBdr>
        <w:top w:val="none" w:sz="0" w:space="0" w:color="auto"/>
        <w:left w:val="none" w:sz="0" w:space="0" w:color="auto"/>
        <w:bottom w:val="none" w:sz="0" w:space="0" w:color="auto"/>
        <w:right w:val="none" w:sz="0" w:space="0" w:color="auto"/>
      </w:divBdr>
    </w:div>
    <w:div w:id="1511794813">
      <w:bodyDiv w:val="1"/>
      <w:marLeft w:val="0"/>
      <w:marRight w:val="0"/>
      <w:marTop w:val="0"/>
      <w:marBottom w:val="0"/>
      <w:divBdr>
        <w:top w:val="none" w:sz="0" w:space="0" w:color="auto"/>
        <w:left w:val="none" w:sz="0" w:space="0" w:color="auto"/>
        <w:bottom w:val="none" w:sz="0" w:space="0" w:color="auto"/>
        <w:right w:val="none" w:sz="0" w:space="0" w:color="auto"/>
      </w:divBdr>
    </w:div>
    <w:div w:id="1518545996">
      <w:bodyDiv w:val="1"/>
      <w:marLeft w:val="0"/>
      <w:marRight w:val="0"/>
      <w:marTop w:val="0"/>
      <w:marBottom w:val="0"/>
      <w:divBdr>
        <w:top w:val="none" w:sz="0" w:space="0" w:color="auto"/>
        <w:left w:val="none" w:sz="0" w:space="0" w:color="auto"/>
        <w:bottom w:val="none" w:sz="0" w:space="0" w:color="auto"/>
        <w:right w:val="none" w:sz="0" w:space="0" w:color="auto"/>
      </w:divBdr>
    </w:div>
    <w:div w:id="1546990980">
      <w:bodyDiv w:val="1"/>
      <w:marLeft w:val="0"/>
      <w:marRight w:val="0"/>
      <w:marTop w:val="0"/>
      <w:marBottom w:val="0"/>
      <w:divBdr>
        <w:top w:val="none" w:sz="0" w:space="0" w:color="auto"/>
        <w:left w:val="none" w:sz="0" w:space="0" w:color="auto"/>
        <w:bottom w:val="none" w:sz="0" w:space="0" w:color="auto"/>
        <w:right w:val="none" w:sz="0" w:space="0" w:color="auto"/>
      </w:divBdr>
    </w:div>
    <w:div w:id="1572036500">
      <w:bodyDiv w:val="1"/>
      <w:marLeft w:val="0"/>
      <w:marRight w:val="0"/>
      <w:marTop w:val="0"/>
      <w:marBottom w:val="0"/>
      <w:divBdr>
        <w:top w:val="none" w:sz="0" w:space="0" w:color="auto"/>
        <w:left w:val="none" w:sz="0" w:space="0" w:color="auto"/>
        <w:bottom w:val="none" w:sz="0" w:space="0" w:color="auto"/>
        <w:right w:val="none" w:sz="0" w:space="0" w:color="auto"/>
      </w:divBdr>
    </w:div>
    <w:div w:id="1573733021">
      <w:bodyDiv w:val="1"/>
      <w:marLeft w:val="0"/>
      <w:marRight w:val="0"/>
      <w:marTop w:val="0"/>
      <w:marBottom w:val="0"/>
      <w:divBdr>
        <w:top w:val="none" w:sz="0" w:space="0" w:color="auto"/>
        <w:left w:val="none" w:sz="0" w:space="0" w:color="auto"/>
        <w:bottom w:val="none" w:sz="0" w:space="0" w:color="auto"/>
        <w:right w:val="none" w:sz="0" w:space="0" w:color="auto"/>
      </w:divBdr>
    </w:div>
    <w:div w:id="1577284765">
      <w:bodyDiv w:val="1"/>
      <w:marLeft w:val="0"/>
      <w:marRight w:val="0"/>
      <w:marTop w:val="0"/>
      <w:marBottom w:val="0"/>
      <w:divBdr>
        <w:top w:val="none" w:sz="0" w:space="0" w:color="auto"/>
        <w:left w:val="none" w:sz="0" w:space="0" w:color="auto"/>
        <w:bottom w:val="none" w:sz="0" w:space="0" w:color="auto"/>
        <w:right w:val="none" w:sz="0" w:space="0" w:color="auto"/>
      </w:divBdr>
    </w:div>
    <w:div w:id="1592657922">
      <w:bodyDiv w:val="1"/>
      <w:marLeft w:val="0"/>
      <w:marRight w:val="0"/>
      <w:marTop w:val="0"/>
      <w:marBottom w:val="0"/>
      <w:divBdr>
        <w:top w:val="none" w:sz="0" w:space="0" w:color="auto"/>
        <w:left w:val="none" w:sz="0" w:space="0" w:color="auto"/>
        <w:bottom w:val="none" w:sz="0" w:space="0" w:color="auto"/>
        <w:right w:val="none" w:sz="0" w:space="0" w:color="auto"/>
      </w:divBdr>
    </w:div>
    <w:div w:id="1595939335">
      <w:bodyDiv w:val="1"/>
      <w:marLeft w:val="0"/>
      <w:marRight w:val="0"/>
      <w:marTop w:val="0"/>
      <w:marBottom w:val="0"/>
      <w:divBdr>
        <w:top w:val="none" w:sz="0" w:space="0" w:color="auto"/>
        <w:left w:val="none" w:sz="0" w:space="0" w:color="auto"/>
        <w:bottom w:val="none" w:sz="0" w:space="0" w:color="auto"/>
        <w:right w:val="none" w:sz="0" w:space="0" w:color="auto"/>
      </w:divBdr>
    </w:div>
    <w:div w:id="1597252717">
      <w:bodyDiv w:val="1"/>
      <w:marLeft w:val="0"/>
      <w:marRight w:val="0"/>
      <w:marTop w:val="0"/>
      <w:marBottom w:val="0"/>
      <w:divBdr>
        <w:top w:val="none" w:sz="0" w:space="0" w:color="auto"/>
        <w:left w:val="none" w:sz="0" w:space="0" w:color="auto"/>
        <w:bottom w:val="none" w:sz="0" w:space="0" w:color="auto"/>
        <w:right w:val="none" w:sz="0" w:space="0" w:color="auto"/>
      </w:divBdr>
    </w:div>
    <w:div w:id="1604074052">
      <w:bodyDiv w:val="1"/>
      <w:marLeft w:val="0"/>
      <w:marRight w:val="0"/>
      <w:marTop w:val="0"/>
      <w:marBottom w:val="0"/>
      <w:divBdr>
        <w:top w:val="none" w:sz="0" w:space="0" w:color="auto"/>
        <w:left w:val="none" w:sz="0" w:space="0" w:color="auto"/>
        <w:bottom w:val="none" w:sz="0" w:space="0" w:color="auto"/>
        <w:right w:val="none" w:sz="0" w:space="0" w:color="auto"/>
      </w:divBdr>
    </w:div>
    <w:div w:id="1616327168">
      <w:bodyDiv w:val="1"/>
      <w:marLeft w:val="0"/>
      <w:marRight w:val="0"/>
      <w:marTop w:val="0"/>
      <w:marBottom w:val="0"/>
      <w:divBdr>
        <w:top w:val="none" w:sz="0" w:space="0" w:color="auto"/>
        <w:left w:val="none" w:sz="0" w:space="0" w:color="auto"/>
        <w:bottom w:val="none" w:sz="0" w:space="0" w:color="auto"/>
        <w:right w:val="none" w:sz="0" w:space="0" w:color="auto"/>
      </w:divBdr>
    </w:div>
    <w:div w:id="1656684636">
      <w:bodyDiv w:val="1"/>
      <w:marLeft w:val="0"/>
      <w:marRight w:val="0"/>
      <w:marTop w:val="0"/>
      <w:marBottom w:val="0"/>
      <w:divBdr>
        <w:top w:val="none" w:sz="0" w:space="0" w:color="auto"/>
        <w:left w:val="none" w:sz="0" w:space="0" w:color="auto"/>
        <w:bottom w:val="none" w:sz="0" w:space="0" w:color="auto"/>
        <w:right w:val="none" w:sz="0" w:space="0" w:color="auto"/>
      </w:divBdr>
    </w:div>
    <w:div w:id="1663851007">
      <w:bodyDiv w:val="1"/>
      <w:marLeft w:val="0"/>
      <w:marRight w:val="0"/>
      <w:marTop w:val="0"/>
      <w:marBottom w:val="0"/>
      <w:divBdr>
        <w:top w:val="none" w:sz="0" w:space="0" w:color="auto"/>
        <w:left w:val="none" w:sz="0" w:space="0" w:color="auto"/>
        <w:bottom w:val="none" w:sz="0" w:space="0" w:color="auto"/>
        <w:right w:val="none" w:sz="0" w:space="0" w:color="auto"/>
      </w:divBdr>
    </w:div>
    <w:div w:id="1687828007">
      <w:bodyDiv w:val="1"/>
      <w:marLeft w:val="0"/>
      <w:marRight w:val="0"/>
      <w:marTop w:val="0"/>
      <w:marBottom w:val="0"/>
      <w:divBdr>
        <w:top w:val="none" w:sz="0" w:space="0" w:color="auto"/>
        <w:left w:val="none" w:sz="0" w:space="0" w:color="auto"/>
        <w:bottom w:val="none" w:sz="0" w:space="0" w:color="auto"/>
        <w:right w:val="none" w:sz="0" w:space="0" w:color="auto"/>
      </w:divBdr>
    </w:div>
    <w:div w:id="1714622978">
      <w:bodyDiv w:val="1"/>
      <w:marLeft w:val="0"/>
      <w:marRight w:val="0"/>
      <w:marTop w:val="0"/>
      <w:marBottom w:val="0"/>
      <w:divBdr>
        <w:top w:val="none" w:sz="0" w:space="0" w:color="auto"/>
        <w:left w:val="none" w:sz="0" w:space="0" w:color="auto"/>
        <w:bottom w:val="none" w:sz="0" w:space="0" w:color="auto"/>
        <w:right w:val="none" w:sz="0" w:space="0" w:color="auto"/>
      </w:divBdr>
    </w:div>
    <w:div w:id="1719237982">
      <w:bodyDiv w:val="1"/>
      <w:marLeft w:val="0"/>
      <w:marRight w:val="0"/>
      <w:marTop w:val="0"/>
      <w:marBottom w:val="0"/>
      <w:divBdr>
        <w:top w:val="none" w:sz="0" w:space="0" w:color="auto"/>
        <w:left w:val="none" w:sz="0" w:space="0" w:color="auto"/>
        <w:bottom w:val="none" w:sz="0" w:space="0" w:color="auto"/>
        <w:right w:val="none" w:sz="0" w:space="0" w:color="auto"/>
      </w:divBdr>
    </w:div>
    <w:div w:id="1743873931">
      <w:bodyDiv w:val="1"/>
      <w:marLeft w:val="0"/>
      <w:marRight w:val="0"/>
      <w:marTop w:val="0"/>
      <w:marBottom w:val="0"/>
      <w:divBdr>
        <w:top w:val="none" w:sz="0" w:space="0" w:color="auto"/>
        <w:left w:val="none" w:sz="0" w:space="0" w:color="auto"/>
        <w:bottom w:val="none" w:sz="0" w:space="0" w:color="auto"/>
        <w:right w:val="none" w:sz="0" w:space="0" w:color="auto"/>
      </w:divBdr>
    </w:div>
    <w:div w:id="1754551229">
      <w:bodyDiv w:val="1"/>
      <w:marLeft w:val="0"/>
      <w:marRight w:val="0"/>
      <w:marTop w:val="0"/>
      <w:marBottom w:val="0"/>
      <w:divBdr>
        <w:top w:val="none" w:sz="0" w:space="0" w:color="auto"/>
        <w:left w:val="none" w:sz="0" w:space="0" w:color="auto"/>
        <w:bottom w:val="none" w:sz="0" w:space="0" w:color="auto"/>
        <w:right w:val="none" w:sz="0" w:space="0" w:color="auto"/>
      </w:divBdr>
    </w:div>
    <w:div w:id="1760827451">
      <w:bodyDiv w:val="1"/>
      <w:marLeft w:val="0"/>
      <w:marRight w:val="0"/>
      <w:marTop w:val="0"/>
      <w:marBottom w:val="0"/>
      <w:divBdr>
        <w:top w:val="none" w:sz="0" w:space="0" w:color="auto"/>
        <w:left w:val="none" w:sz="0" w:space="0" w:color="auto"/>
        <w:bottom w:val="none" w:sz="0" w:space="0" w:color="auto"/>
        <w:right w:val="none" w:sz="0" w:space="0" w:color="auto"/>
      </w:divBdr>
    </w:div>
    <w:div w:id="1771506617">
      <w:bodyDiv w:val="1"/>
      <w:marLeft w:val="0"/>
      <w:marRight w:val="0"/>
      <w:marTop w:val="0"/>
      <w:marBottom w:val="0"/>
      <w:divBdr>
        <w:top w:val="none" w:sz="0" w:space="0" w:color="auto"/>
        <w:left w:val="none" w:sz="0" w:space="0" w:color="auto"/>
        <w:bottom w:val="none" w:sz="0" w:space="0" w:color="auto"/>
        <w:right w:val="none" w:sz="0" w:space="0" w:color="auto"/>
      </w:divBdr>
    </w:div>
    <w:div w:id="1773739844">
      <w:bodyDiv w:val="1"/>
      <w:marLeft w:val="0"/>
      <w:marRight w:val="0"/>
      <w:marTop w:val="0"/>
      <w:marBottom w:val="0"/>
      <w:divBdr>
        <w:top w:val="none" w:sz="0" w:space="0" w:color="auto"/>
        <w:left w:val="none" w:sz="0" w:space="0" w:color="auto"/>
        <w:bottom w:val="none" w:sz="0" w:space="0" w:color="auto"/>
        <w:right w:val="none" w:sz="0" w:space="0" w:color="auto"/>
      </w:divBdr>
    </w:div>
    <w:div w:id="1780177565">
      <w:bodyDiv w:val="1"/>
      <w:marLeft w:val="0"/>
      <w:marRight w:val="0"/>
      <w:marTop w:val="0"/>
      <w:marBottom w:val="0"/>
      <w:divBdr>
        <w:top w:val="none" w:sz="0" w:space="0" w:color="auto"/>
        <w:left w:val="none" w:sz="0" w:space="0" w:color="auto"/>
        <w:bottom w:val="none" w:sz="0" w:space="0" w:color="auto"/>
        <w:right w:val="none" w:sz="0" w:space="0" w:color="auto"/>
      </w:divBdr>
    </w:div>
    <w:div w:id="1790394451">
      <w:bodyDiv w:val="1"/>
      <w:marLeft w:val="0"/>
      <w:marRight w:val="0"/>
      <w:marTop w:val="0"/>
      <w:marBottom w:val="0"/>
      <w:divBdr>
        <w:top w:val="none" w:sz="0" w:space="0" w:color="auto"/>
        <w:left w:val="none" w:sz="0" w:space="0" w:color="auto"/>
        <w:bottom w:val="none" w:sz="0" w:space="0" w:color="auto"/>
        <w:right w:val="none" w:sz="0" w:space="0" w:color="auto"/>
      </w:divBdr>
    </w:div>
    <w:div w:id="1792675367">
      <w:bodyDiv w:val="1"/>
      <w:marLeft w:val="0"/>
      <w:marRight w:val="0"/>
      <w:marTop w:val="0"/>
      <w:marBottom w:val="0"/>
      <w:divBdr>
        <w:top w:val="none" w:sz="0" w:space="0" w:color="auto"/>
        <w:left w:val="none" w:sz="0" w:space="0" w:color="auto"/>
        <w:bottom w:val="none" w:sz="0" w:space="0" w:color="auto"/>
        <w:right w:val="none" w:sz="0" w:space="0" w:color="auto"/>
      </w:divBdr>
    </w:div>
    <w:div w:id="1797946959">
      <w:bodyDiv w:val="1"/>
      <w:marLeft w:val="0"/>
      <w:marRight w:val="0"/>
      <w:marTop w:val="0"/>
      <w:marBottom w:val="0"/>
      <w:divBdr>
        <w:top w:val="none" w:sz="0" w:space="0" w:color="auto"/>
        <w:left w:val="none" w:sz="0" w:space="0" w:color="auto"/>
        <w:bottom w:val="none" w:sz="0" w:space="0" w:color="auto"/>
        <w:right w:val="none" w:sz="0" w:space="0" w:color="auto"/>
      </w:divBdr>
    </w:div>
    <w:div w:id="1805654886">
      <w:bodyDiv w:val="1"/>
      <w:marLeft w:val="0"/>
      <w:marRight w:val="0"/>
      <w:marTop w:val="0"/>
      <w:marBottom w:val="0"/>
      <w:divBdr>
        <w:top w:val="none" w:sz="0" w:space="0" w:color="auto"/>
        <w:left w:val="none" w:sz="0" w:space="0" w:color="auto"/>
        <w:bottom w:val="none" w:sz="0" w:space="0" w:color="auto"/>
        <w:right w:val="none" w:sz="0" w:space="0" w:color="auto"/>
      </w:divBdr>
    </w:div>
    <w:div w:id="1821653060">
      <w:bodyDiv w:val="1"/>
      <w:marLeft w:val="0"/>
      <w:marRight w:val="0"/>
      <w:marTop w:val="0"/>
      <w:marBottom w:val="0"/>
      <w:divBdr>
        <w:top w:val="none" w:sz="0" w:space="0" w:color="auto"/>
        <w:left w:val="none" w:sz="0" w:space="0" w:color="auto"/>
        <w:bottom w:val="none" w:sz="0" w:space="0" w:color="auto"/>
        <w:right w:val="none" w:sz="0" w:space="0" w:color="auto"/>
      </w:divBdr>
    </w:div>
    <w:div w:id="1824010227">
      <w:bodyDiv w:val="1"/>
      <w:marLeft w:val="0"/>
      <w:marRight w:val="0"/>
      <w:marTop w:val="0"/>
      <w:marBottom w:val="0"/>
      <w:divBdr>
        <w:top w:val="none" w:sz="0" w:space="0" w:color="auto"/>
        <w:left w:val="none" w:sz="0" w:space="0" w:color="auto"/>
        <w:bottom w:val="none" w:sz="0" w:space="0" w:color="auto"/>
        <w:right w:val="none" w:sz="0" w:space="0" w:color="auto"/>
      </w:divBdr>
    </w:div>
    <w:div w:id="1825707349">
      <w:bodyDiv w:val="1"/>
      <w:marLeft w:val="0"/>
      <w:marRight w:val="0"/>
      <w:marTop w:val="0"/>
      <w:marBottom w:val="0"/>
      <w:divBdr>
        <w:top w:val="none" w:sz="0" w:space="0" w:color="auto"/>
        <w:left w:val="none" w:sz="0" w:space="0" w:color="auto"/>
        <w:bottom w:val="none" w:sz="0" w:space="0" w:color="auto"/>
        <w:right w:val="none" w:sz="0" w:space="0" w:color="auto"/>
      </w:divBdr>
    </w:div>
    <w:div w:id="1847868642">
      <w:bodyDiv w:val="1"/>
      <w:marLeft w:val="0"/>
      <w:marRight w:val="0"/>
      <w:marTop w:val="0"/>
      <w:marBottom w:val="0"/>
      <w:divBdr>
        <w:top w:val="none" w:sz="0" w:space="0" w:color="auto"/>
        <w:left w:val="none" w:sz="0" w:space="0" w:color="auto"/>
        <w:bottom w:val="none" w:sz="0" w:space="0" w:color="auto"/>
        <w:right w:val="none" w:sz="0" w:space="0" w:color="auto"/>
      </w:divBdr>
    </w:div>
    <w:div w:id="1849444533">
      <w:bodyDiv w:val="1"/>
      <w:marLeft w:val="0"/>
      <w:marRight w:val="0"/>
      <w:marTop w:val="0"/>
      <w:marBottom w:val="0"/>
      <w:divBdr>
        <w:top w:val="none" w:sz="0" w:space="0" w:color="auto"/>
        <w:left w:val="none" w:sz="0" w:space="0" w:color="auto"/>
        <w:bottom w:val="none" w:sz="0" w:space="0" w:color="auto"/>
        <w:right w:val="none" w:sz="0" w:space="0" w:color="auto"/>
      </w:divBdr>
    </w:div>
    <w:div w:id="1859585579">
      <w:bodyDiv w:val="1"/>
      <w:marLeft w:val="0"/>
      <w:marRight w:val="0"/>
      <w:marTop w:val="0"/>
      <w:marBottom w:val="0"/>
      <w:divBdr>
        <w:top w:val="none" w:sz="0" w:space="0" w:color="auto"/>
        <w:left w:val="none" w:sz="0" w:space="0" w:color="auto"/>
        <w:bottom w:val="none" w:sz="0" w:space="0" w:color="auto"/>
        <w:right w:val="none" w:sz="0" w:space="0" w:color="auto"/>
      </w:divBdr>
    </w:div>
    <w:div w:id="1881940176">
      <w:bodyDiv w:val="1"/>
      <w:marLeft w:val="0"/>
      <w:marRight w:val="0"/>
      <w:marTop w:val="0"/>
      <w:marBottom w:val="0"/>
      <w:divBdr>
        <w:top w:val="none" w:sz="0" w:space="0" w:color="auto"/>
        <w:left w:val="none" w:sz="0" w:space="0" w:color="auto"/>
        <w:bottom w:val="none" w:sz="0" w:space="0" w:color="auto"/>
        <w:right w:val="none" w:sz="0" w:space="0" w:color="auto"/>
      </w:divBdr>
    </w:div>
    <w:div w:id="1890416451">
      <w:bodyDiv w:val="1"/>
      <w:marLeft w:val="0"/>
      <w:marRight w:val="0"/>
      <w:marTop w:val="0"/>
      <w:marBottom w:val="0"/>
      <w:divBdr>
        <w:top w:val="none" w:sz="0" w:space="0" w:color="auto"/>
        <w:left w:val="none" w:sz="0" w:space="0" w:color="auto"/>
        <w:bottom w:val="none" w:sz="0" w:space="0" w:color="auto"/>
        <w:right w:val="none" w:sz="0" w:space="0" w:color="auto"/>
      </w:divBdr>
    </w:div>
    <w:div w:id="1900508642">
      <w:bodyDiv w:val="1"/>
      <w:marLeft w:val="0"/>
      <w:marRight w:val="0"/>
      <w:marTop w:val="0"/>
      <w:marBottom w:val="0"/>
      <w:divBdr>
        <w:top w:val="none" w:sz="0" w:space="0" w:color="auto"/>
        <w:left w:val="none" w:sz="0" w:space="0" w:color="auto"/>
        <w:bottom w:val="none" w:sz="0" w:space="0" w:color="auto"/>
        <w:right w:val="none" w:sz="0" w:space="0" w:color="auto"/>
      </w:divBdr>
    </w:div>
    <w:div w:id="1910380664">
      <w:bodyDiv w:val="1"/>
      <w:marLeft w:val="0"/>
      <w:marRight w:val="0"/>
      <w:marTop w:val="0"/>
      <w:marBottom w:val="0"/>
      <w:divBdr>
        <w:top w:val="none" w:sz="0" w:space="0" w:color="auto"/>
        <w:left w:val="none" w:sz="0" w:space="0" w:color="auto"/>
        <w:bottom w:val="none" w:sz="0" w:space="0" w:color="auto"/>
        <w:right w:val="none" w:sz="0" w:space="0" w:color="auto"/>
      </w:divBdr>
    </w:div>
    <w:div w:id="1946645637">
      <w:bodyDiv w:val="1"/>
      <w:marLeft w:val="0"/>
      <w:marRight w:val="0"/>
      <w:marTop w:val="0"/>
      <w:marBottom w:val="0"/>
      <w:divBdr>
        <w:top w:val="none" w:sz="0" w:space="0" w:color="auto"/>
        <w:left w:val="none" w:sz="0" w:space="0" w:color="auto"/>
        <w:bottom w:val="none" w:sz="0" w:space="0" w:color="auto"/>
        <w:right w:val="none" w:sz="0" w:space="0" w:color="auto"/>
      </w:divBdr>
    </w:div>
    <w:div w:id="1958371647">
      <w:bodyDiv w:val="1"/>
      <w:marLeft w:val="0"/>
      <w:marRight w:val="0"/>
      <w:marTop w:val="0"/>
      <w:marBottom w:val="0"/>
      <w:divBdr>
        <w:top w:val="none" w:sz="0" w:space="0" w:color="auto"/>
        <w:left w:val="none" w:sz="0" w:space="0" w:color="auto"/>
        <w:bottom w:val="none" w:sz="0" w:space="0" w:color="auto"/>
        <w:right w:val="none" w:sz="0" w:space="0" w:color="auto"/>
      </w:divBdr>
    </w:div>
    <w:div w:id="1983343203">
      <w:bodyDiv w:val="1"/>
      <w:marLeft w:val="0"/>
      <w:marRight w:val="0"/>
      <w:marTop w:val="0"/>
      <w:marBottom w:val="0"/>
      <w:divBdr>
        <w:top w:val="none" w:sz="0" w:space="0" w:color="auto"/>
        <w:left w:val="none" w:sz="0" w:space="0" w:color="auto"/>
        <w:bottom w:val="none" w:sz="0" w:space="0" w:color="auto"/>
        <w:right w:val="none" w:sz="0" w:space="0" w:color="auto"/>
      </w:divBdr>
    </w:div>
    <w:div w:id="2010475305">
      <w:bodyDiv w:val="1"/>
      <w:marLeft w:val="0"/>
      <w:marRight w:val="0"/>
      <w:marTop w:val="0"/>
      <w:marBottom w:val="0"/>
      <w:divBdr>
        <w:top w:val="none" w:sz="0" w:space="0" w:color="auto"/>
        <w:left w:val="none" w:sz="0" w:space="0" w:color="auto"/>
        <w:bottom w:val="none" w:sz="0" w:space="0" w:color="auto"/>
        <w:right w:val="none" w:sz="0" w:space="0" w:color="auto"/>
      </w:divBdr>
    </w:div>
    <w:div w:id="2035886628">
      <w:bodyDiv w:val="1"/>
      <w:marLeft w:val="0"/>
      <w:marRight w:val="0"/>
      <w:marTop w:val="0"/>
      <w:marBottom w:val="0"/>
      <w:divBdr>
        <w:top w:val="none" w:sz="0" w:space="0" w:color="auto"/>
        <w:left w:val="none" w:sz="0" w:space="0" w:color="auto"/>
        <w:bottom w:val="none" w:sz="0" w:space="0" w:color="auto"/>
        <w:right w:val="none" w:sz="0" w:space="0" w:color="auto"/>
      </w:divBdr>
    </w:div>
    <w:div w:id="2039308367">
      <w:bodyDiv w:val="1"/>
      <w:marLeft w:val="0"/>
      <w:marRight w:val="0"/>
      <w:marTop w:val="0"/>
      <w:marBottom w:val="0"/>
      <w:divBdr>
        <w:top w:val="none" w:sz="0" w:space="0" w:color="auto"/>
        <w:left w:val="none" w:sz="0" w:space="0" w:color="auto"/>
        <w:bottom w:val="none" w:sz="0" w:space="0" w:color="auto"/>
        <w:right w:val="none" w:sz="0" w:space="0" w:color="auto"/>
      </w:divBdr>
    </w:div>
    <w:div w:id="2053653322">
      <w:bodyDiv w:val="1"/>
      <w:marLeft w:val="0"/>
      <w:marRight w:val="0"/>
      <w:marTop w:val="0"/>
      <w:marBottom w:val="0"/>
      <w:divBdr>
        <w:top w:val="none" w:sz="0" w:space="0" w:color="auto"/>
        <w:left w:val="none" w:sz="0" w:space="0" w:color="auto"/>
        <w:bottom w:val="none" w:sz="0" w:space="0" w:color="auto"/>
        <w:right w:val="none" w:sz="0" w:space="0" w:color="auto"/>
      </w:divBdr>
    </w:div>
    <w:div w:id="2068141239">
      <w:bodyDiv w:val="1"/>
      <w:marLeft w:val="0"/>
      <w:marRight w:val="0"/>
      <w:marTop w:val="0"/>
      <w:marBottom w:val="0"/>
      <w:divBdr>
        <w:top w:val="none" w:sz="0" w:space="0" w:color="auto"/>
        <w:left w:val="none" w:sz="0" w:space="0" w:color="auto"/>
        <w:bottom w:val="none" w:sz="0" w:space="0" w:color="auto"/>
        <w:right w:val="none" w:sz="0" w:space="0" w:color="auto"/>
      </w:divBdr>
    </w:div>
    <w:div w:id="209685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B5CD4-F312-4A72-ADF8-14B4808E1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28</Pages>
  <Words>10752</Words>
  <Characters>61289</Characters>
  <Application>Microsoft Office Word</Application>
  <DocSecurity>0</DocSecurity>
  <Lines>510</Lines>
  <Paragraphs>143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Gordana Grubešić</cp:lastModifiedBy>
  <cp:revision>4</cp:revision>
  <cp:lastPrinted>2026-03-19T08:42:00Z</cp:lastPrinted>
  <dcterms:created xsi:type="dcterms:W3CDTF">2026-03-20T12:42:00Z</dcterms:created>
  <dcterms:modified xsi:type="dcterms:W3CDTF">2026-03-26T08:35:00Z</dcterms:modified>
</cp:coreProperties>
</file>